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56" w:rsidRPr="00C87454" w:rsidRDefault="00393456" w:rsidP="00393456">
      <w:pPr>
        <w:numPr>
          <w:ilvl w:val="0"/>
          <w:numId w:val="1"/>
        </w:numPr>
        <w:spacing w:after="160" w:line="259" w:lineRule="auto"/>
        <w:ind w:left="360"/>
        <w:jc w:val="both"/>
        <w:rPr>
          <w:lang w:val="en-US"/>
        </w:rPr>
      </w:pPr>
      <w:r w:rsidRPr="00C87454">
        <w:rPr>
          <w:lang w:val="en-US"/>
        </w:rPr>
        <w:t>An initial varie</w:t>
      </w:r>
      <w:r>
        <w:rPr>
          <w:lang w:val="en-US"/>
        </w:rPr>
        <w:t>tal trial</w:t>
      </w:r>
      <w:r w:rsidRPr="00C87454">
        <w:rPr>
          <w:lang w:val="en-US"/>
        </w:rPr>
        <w:t xml:space="preserve"> was conducte</w:t>
      </w:r>
      <w:r>
        <w:rPr>
          <w:lang w:val="en-US"/>
        </w:rPr>
        <w:t>d to study the performance of 6</w:t>
      </w:r>
      <w:r w:rsidRPr="00C87454">
        <w:rPr>
          <w:lang w:val="en-US"/>
        </w:rPr>
        <w:t xml:space="preserve"> new strains of mustard with 3 replications. The seed yield in kg/ha was recorded. The details of the experiment are given below: analyze with </w:t>
      </w:r>
      <w:r>
        <w:rPr>
          <w:lang w:val="en-US"/>
        </w:rPr>
        <w:t xml:space="preserve">one way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 xml:space="preserve"> </w:t>
      </w:r>
      <w:r w:rsidRPr="00C87454">
        <w:rPr>
          <w:lang w:val="en-US"/>
        </w:rPr>
        <w:t>to</w:t>
      </w:r>
      <w:r w:rsidRPr="00C87454">
        <w:rPr>
          <w:lang w:val="en-US"/>
        </w:rPr>
        <w:t xml:space="preserve"> check the significant di</w:t>
      </w:r>
      <w:r>
        <w:rPr>
          <w:lang w:val="en-US"/>
        </w:rPr>
        <w:t xml:space="preserve">fference between strains.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763"/>
        <w:gridCol w:w="996"/>
        <w:gridCol w:w="996"/>
        <w:gridCol w:w="996"/>
      </w:tblGrid>
      <w:tr w:rsidR="00393456" w:rsidRPr="00C87454" w:rsidTr="002753F0">
        <w:trPr>
          <w:trHeight w:val="315"/>
        </w:trPr>
        <w:tc>
          <w:tcPr>
            <w:tcW w:w="960" w:type="dxa"/>
            <w:noWrap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</w:p>
        </w:tc>
        <w:tc>
          <w:tcPr>
            <w:tcW w:w="1763" w:type="dxa"/>
            <w:noWrap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strains</w:t>
            </w:r>
          </w:p>
        </w:tc>
        <w:tc>
          <w:tcPr>
            <w:tcW w:w="996" w:type="dxa"/>
            <w:noWrap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r1</w:t>
            </w:r>
          </w:p>
        </w:tc>
        <w:tc>
          <w:tcPr>
            <w:tcW w:w="996" w:type="dxa"/>
            <w:noWrap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r2</w:t>
            </w:r>
          </w:p>
        </w:tc>
        <w:tc>
          <w:tcPr>
            <w:tcW w:w="996" w:type="dxa"/>
            <w:noWrap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r3</w:t>
            </w:r>
          </w:p>
        </w:tc>
      </w:tr>
      <w:tr w:rsidR="00393456" w:rsidRPr="00C87454" w:rsidTr="002753F0">
        <w:trPr>
          <w:trHeight w:val="315"/>
        </w:trPr>
        <w:tc>
          <w:tcPr>
            <w:tcW w:w="960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1</w:t>
            </w:r>
          </w:p>
        </w:tc>
        <w:tc>
          <w:tcPr>
            <w:tcW w:w="1763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RK-04-3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539.69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412.35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319.73</w:t>
            </w:r>
          </w:p>
        </w:tc>
      </w:tr>
      <w:tr w:rsidR="00393456" w:rsidRPr="00C87454" w:rsidTr="002753F0">
        <w:trPr>
          <w:trHeight w:val="287"/>
        </w:trPr>
        <w:tc>
          <w:tcPr>
            <w:tcW w:w="960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</w:t>
            </w:r>
          </w:p>
        </w:tc>
        <w:tc>
          <w:tcPr>
            <w:tcW w:w="1763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RK-04-4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261.85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065.05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111.36</w:t>
            </w:r>
          </w:p>
        </w:tc>
      </w:tr>
      <w:tr w:rsidR="00393456" w:rsidRPr="00C87454" w:rsidTr="002753F0">
        <w:trPr>
          <w:trHeight w:val="315"/>
        </w:trPr>
        <w:tc>
          <w:tcPr>
            <w:tcW w:w="960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3</w:t>
            </w:r>
          </w:p>
        </w:tc>
        <w:tc>
          <w:tcPr>
            <w:tcW w:w="1763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RGN-124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389.19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516.54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203.97</w:t>
            </w:r>
          </w:p>
        </w:tc>
      </w:tr>
      <w:tr w:rsidR="00393456" w:rsidRPr="00C87454" w:rsidTr="002753F0">
        <w:trPr>
          <w:trHeight w:val="315"/>
        </w:trPr>
        <w:tc>
          <w:tcPr>
            <w:tcW w:w="960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4</w:t>
            </w:r>
          </w:p>
        </w:tc>
        <w:tc>
          <w:tcPr>
            <w:tcW w:w="1763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HYT-27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192.39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215.55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157.66</w:t>
            </w:r>
          </w:p>
        </w:tc>
        <w:bookmarkStart w:id="0" w:name="_GoBack"/>
        <w:bookmarkEnd w:id="0"/>
      </w:tr>
      <w:tr w:rsidR="00393456" w:rsidRPr="00C87454" w:rsidTr="002753F0">
        <w:trPr>
          <w:trHeight w:val="315"/>
        </w:trPr>
        <w:tc>
          <w:tcPr>
            <w:tcW w:w="960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5</w:t>
            </w:r>
          </w:p>
        </w:tc>
        <w:tc>
          <w:tcPr>
            <w:tcW w:w="1763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PBR-275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250.27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203.97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366.04</w:t>
            </w:r>
          </w:p>
        </w:tc>
      </w:tr>
      <w:tr w:rsidR="00393456" w:rsidRPr="00C87454" w:rsidTr="002753F0">
        <w:trPr>
          <w:trHeight w:val="510"/>
        </w:trPr>
        <w:tc>
          <w:tcPr>
            <w:tcW w:w="960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6</w:t>
            </w:r>
          </w:p>
        </w:tc>
        <w:tc>
          <w:tcPr>
            <w:tcW w:w="1763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HUJM-03-03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296.58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273.43</w:t>
            </w:r>
          </w:p>
        </w:tc>
        <w:tc>
          <w:tcPr>
            <w:tcW w:w="996" w:type="dxa"/>
            <w:hideMark/>
          </w:tcPr>
          <w:p w:rsidR="00393456" w:rsidRPr="00C87454" w:rsidRDefault="00393456" w:rsidP="002753F0">
            <w:pPr>
              <w:spacing w:line="259" w:lineRule="auto"/>
              <w:jc w:val="both"/>
            </w:pPr>
            <w:r w:rsidRPr="00C87454">
              <w:t>308.16</w:t>
            </w:r>
          </w:p>
        </w:tc>
      </w:tr>
    </w:tbl>
    <w:p w:rsidR="00D432A5" w:rsidRDefault="00D432A5" w:rsidP="00D432A5">
      <w:pPr>
        <w:pStyle w:val="ListParagraph"/>
        <w:ind w:left="284" w:hanging="142"/>
        <w:jc w:val="both"/>
        <w:rPr>
          <w:rFonts w:ascii="Times New Roman" w:hAnsi="Times New Roman"/>
          <w:sz w:val="24"/>
          <w:szCs w:val="24"/>
        </w:rPr>
      </w:pPr>
    </w:p>
    <w:p w:rsidR="00393456" w:rsidRDefault="00393456" w:rsidP="00D432A5">
      <w:pPr>
        <w:pStyle w:val="ListParagraph"/>
        <w:ind w:left="284" w:hanging="142"/>
        <w:jc w:val="both"/>
        <w:rPr>
          <w:rFonts w:ascii="Times New Roman" w:hAnsi="Times New Roman"/>
          <w:sz w:val="24"/>
          <w:szCs w:val="24"/>
        </w:rPr>
      </w:pPr>
    </w:p>
    <w:p w:rsidR="00D432A5" w:rsidRPr="000D2564" w:rsidRDefault="00D432A5" w:rsidP="00D432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D2564">
        <w:rPr>
          <w:rFonts w:ascii="Times New Roman" w:hAnsi="Times New Roman"/>
          <w:sz w:val="24"/>
          <w:szCs w:val="24"/>
        </w:rPr>
        <w:t xml:space="preserve">A feeding trial with 3 feeds namely (i) </w:t>
      </w:r>
      <w:proofErr w:type="gramStart"/>
      <w:r w:rsidRPr="000D2564">
        <w:rPr>
          <w:rFonts w:ascii="Times New Roman" w:hAnsi="Times New Roman"/>
          <w:sz w:val="24"/>
          <w:szCs w:val="24"/>
        </w:rPr>
        <w:t>Pasture(</w:t>
      </w:r>
      <w:proofErr w:type="gramEnd"/>
      <w:r w:rsidRPr="000D2564">
        <w:rPr>
          <w:rFonts w:ascii="Times New Roman" w:hAnsi="Times New Roman"/>
          <w:sz w:val="24"/>
          <w:szCs w:val="24"/>
        </w:rPr>
        <w:t xml:space="preserve">control), (ii) Pasture and Concentrates and (iii) Pasture,  Concentrates and Minerals was conducted at the </w:t>
      </w:r>
      <w:proofErr w:type="spellStart"/>
      <w:r w:rsidRPr="000D2564">
        <w:rPr>
          <w:rFonts w:ascii="Times New Roman" w:hAnsi="Times New Roman"/>
          <w:sz w:val="24"/>
          <w:szCs w:val="24"/>
        </w:rPr>
        <w:t>Yellachihalli</w:t>
      </w:r>
      <w:proofErr w:type="spellEnd"/>
      <w:r w:rsidRPr="000D2564">
        <w:rPr>
          <w:rFonts w:ascii="Times New Roman" w:hAnsi="Times New Roman"/>
          <w:sz w:val="24"/>
          <w:szCs w:val="24"/>
        </w:rPr>
        <w:t xml:space="preserve"> Sheep Farm, Mysore, to study their effect on wool yield of Sheep with totally controlled condition. For this purpose twenty-two ewe lambs were allotted at random to each of the three tre</w:t>
      </w:r>
      <w:r>
        <w:rPr>
          <w:rFonts w:ascii="Times New Roman" w:hAnsi="Times New Roman"/>
          <w:sz w:val="24"/>
          <w:szCs w:val="24"/>
        </w:rPr>
        <w:t xml:space="preserve">atments </w:t>
      </w:r>
      <w:r w:rsidRPr="000D2564">
        <w:rPr>
          <w:rFonts w:ascii="Times New Roman" w:hAnsi="Times New Roman"/>
          <w:sz w:val="24"/>
          <w:szCs w:val="24"/>
        </w:rPr>
        <w:t xml:space="preserve"> and the weight records of the total wool yield (in </w:t>
      </w:r>
      <w:proofErr w:type="spellStart"/>
      <w:r w:rsidRPr="000D2564">
        <w:rPr>
          <w:rFonts w:ascii="Times New Roman" w:hAnsi="Times New Roman"/>
          <w:sz w:val="24"/>
          <w:szCs w:val="24"/>
        </w:rPr>
        <w:t>gms</w:t>
      </w:r>
      <w:proofErr w:type="spellEnd"/>
      <w:r w:rsidRPr="000D2564">
        <w:rPr>
          <w:rFonts w:ascii="Times New Roman" w:hAnsi="Times New Roman"/>
          <w:sz w:val="24"/>
          <w:szCs w:val="24"/>
        </w:rPr>
        <w:t>) of first two clipping were obtain</w:t>
      </w:r>
      <w:r w:rsidR="00393456">
        <w:rPr>
          <w:rFonts w:ascii="Times New Roman" w:hAnsi="Times New Roman"/>
          <w:sz w:val="24"/>
          <w:szCs w:val="24"/>
        </w:rPr>
        <w:t>ed. Compare 3 different feeding trails</w:t>
      </w:r>
      <w:r w:rsidRPr="000D2564">
        <w:rPr>
          <w:rFonts w:ascii="Times New Roman" w:hAnsi="Times New Roman"/>
          <w:sz w:val="24"/>
          <w:szCs w:val="24"/>
        </w:rPr>
        <w:t xml:space="preserve">. </w:t>
      </w:r>
      <w:r w:rsidRPr="000D256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528D">
              <w:rPr>
                <w:rFonts w:ascii="Times New Roman" w:hAnsi="Times New Roman"/>
                <w:b/>
                <w:bCs/>
                <w:sz w:val="24"/>
                <w:szCs w:val="24"/>
              </w:rPr>
              <w:t>FEED 1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528D">
              <w:rPr>
                <w:rFonts w:ascii="Times New Roman" w:hAnsi="Times New Roman"/>
                <w:b/>
                <w:bCs/>
                <w:sz w:val="24"/>
                <w:szCs w:val="24"/>
              </w:rPr>
              <w:t>FEED 2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528D">
              <w:rPr>
                <w:rFonts w:ascii="Times New Roman" w:hAnsi="Times New Roman"/>
                <w:b/>
                <w:bCs/>
                <w:sz w:val="24"/>
                <w:szCs w:val="24"/>
              </w:rPr>
              <w:t>FEED 3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850.5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510.3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992.25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453.6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963.9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850.5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878.85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652.05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1474.2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623.7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1020.6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510.3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510.3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878.85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850.5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765.45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793.8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680.4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680.4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453.6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595.35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538.65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935.55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538.65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1190.7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850.5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510.3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481.95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850.5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425.25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623.7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lastRenderedPageBreak/>
              <w:t>793.8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878.85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1020.6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623.7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1077.3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708.75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538.65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850.5</w:t>
            </w:r>
          </w:p>
        </w:tc>
      </w:tr>
      <w:tr w:rsidR="00D432A5" w:rsidRPr="00D4528D" w:rsidTr="00825054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652.05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737.1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680.4</w:t>
            </w: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623.7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453.6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396.9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481.95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822.15</w:t>
            </w: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368.55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595.35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2A5" w:rsidRPr="00D4528D" w:rsidTr="00393456">
        <w:trPr>
          <w:trHeight w:val="315"/>
        </w:trPr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528D">
              <w:rPr>
                <w:rFonts w:ascii="Times New Roman" w:hAnsi="Times New Roman"/>
                <w:sz w:val="24"/>
                <w:szCs w:val="24"/>
              </w:rPr>
              <w:t>595.35</w:t>
            </w:r>
          </w:p>
        </w:tc>
        <w:tc>
          <w:tcPr>
            <w:tcW w:w="960" w:type="dxa"/>
          </w:tcPr>
          <w:p w:rsidR="00D432A5" w:rsidRPr="00D4528D" w:rsidRDefault="00D432A5" w:rsidP="008250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65EB" w:rsidRDefault="009265EB"/>
    <w:sectPr w:rsidR="009265EB" w:rsidSect="008C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570"/>
    <w:multiLevelType w:val="hybridMultilevel"/>
    <w:tmpl w:val="20D6351A"/>
    <w:lvl w:ilvl="0" w:tplc="55004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32A5"/>
    <w:rsid w:val="00393456"/>
    <w:rsid w:val="008C47BE"/>
    <w:rsid w:val="009265EB"/>
    <w:rsid w:val="00C254B8"/>
    <w:rsid w:val="00D4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A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39"/>
    <w:rsid w:val="0039345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2019-06-10T17:13:00Z</dcterms:created>
  <dcterms:modified xsi:type="dcterms:W3CDTF">2019-06-17T14:28:00Z</dcterms:modified>
</cp:coreProperties>
</file>