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Hanna Statistics – Technical Appendix</w:t>
      </w:r>
    </w:p>
    <w:p>
      <w:pPr>
        <w:pStyle w:val="Heading1"/>
      </w:pPr>
      <w:r>
        <w:t>System Context</w:t>
      </w:r>
    </w:p>
    <w:p>
      <w:r>
        <w:br/>
        <w:t>The Hanna Statistics system will integrate with the existing Gibertini software</w:t>
        <w:br/>
        <w:t>environment used at the Hanna Instruments Nusfalau production facility.</w:t>
        <w:br/>
        <w:br/>
        <w:t>The main source of data consists of Excel files exported by the Chemical QC</w:t>
        <w:br/>
        <w:t>software, each representing a production lot containing instrument readings</w:t>
        <w:br/>
        <w:t>for multiple standards.</w:t>
        <w:br/>
      </w:r>
    </w:p>
    <w:p>
      <w:pPr>
        <w:pStyle w:val="Heading1"/>
      </w:pPr>
      <w:r>
        <w:t>QC Data Structure</w:t>
      </w:r>
    </w:p>
    <w:p>
      <w:r>
        <w:br/>
        <w:t>Each QC file contains:</w:t>
        <w:br/>
        <w:t>• Product metadata</w:t>
        <w:br/>
        <w:t>• Lot identification</w:t>
        <w:br/>
        <w:t>• Reference standard values</w:t>
        <w:br/>
        <w:t>• Instrument readings from up to four meters</w:t>
        <w:br/>
        <w:t>• QC operator information</w:t>
        <w:br/>
        <w:t>• Optional corrections for invalid readings</w:t>
        <w:br/>
      </w:r>
    </w:p>
    <w:p>
      <w:pPr>
        <w:pStyle w:val="Heading1"/>
      </w:pPr>
      <w:r>
        <w:t>Statistical Processing</w:t>
      </w:r>
    </w:p>
    <w:p>
      <w:r>
        <w:br/>
        <w:t>The system will automatically compute:</w:t>
        <w:br/>
        <w:t>• Running averages across lots</w:t>
        <w:br/>
        <w:t>• Sigma distributions for readings</w:t>
        <w:br/>
        <w:t>• Control chart limits based on product tolerances</w:t>
        <w:br/>
        <w:t>• Statistical summaries per lot and per standard value</w:t>
        <w:br/>
      </w:r>
    </w:p>
    <w:p>
      <w:pPr>
        <w:pStyle w:val="Heading1"/>
      </w:pPr>
      <w:r>
        <w:t>Potential Advanced Analyses</w:t>
      </w:r>
    </w:p>
    <w:p>
      <w:r>
        <w:br/>
        <w:t>The available datasets allow additional analysis such as:</w:t>
        <w:br/>
        <w:br/>
        <w:t>• Inter‑meter comparison (M1–M4)</w:t>
        <w:br/>
        <w:t>• Early trend drift detection</w:t>
        <w:br/>
        <w:t>• Correlation between sample weight and measurement values</w:t>
        <w:br/>
        <w:t>• First‑pass yield for buffer production</w:t>
        <w:br/>
        <w:t>• Correction frequency per buffer type</w:t>
        <w:br/>
      </w:r>
    </w:p>
    <w:p>
      <w:pPr>
        <w:pStyle w:val="Heading1"/>
      </w:pPr>
      <w:r>
        <w:t>Data Volume Considerations</w:t>
      </w:r>
    </w:p>
    <w:p>
      <w:r>
        <w:br/>
        <w:t>The estimated annual data volume includes more than 100,000 individual</w:t>
        <w:br/>
        <w:t>measurement readings. The database structure therefore includes indexed</w:t>
        <w:br/>
        <w:t>tables and cached statistical summaries to guarantee responsive analysis</w:t>
        <w:br/>
        <w:t>even with multi‑year historical datasets.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