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998206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 w:val="0"/>
          <w:color w:val="auto"/>
          <w:spacing w:val="0"/>
          <w:kern w:val="0"/>
          <w:sz w:val="22"/>
          <w:szCs w:val="22"/>
        </w:rPr>
      </w:sdtEndPr>
      <w:sdtContent>
        <w:p w:rsidR="004049DF" w:rsidRDefault="004049DF">
          <w:pPr>
            <w:pStyle w:val="TtulodeTDC"/>
          </w:pPr>
          <w:r>
            <w:t>Contenido</w:t>
          </w:r>
        </w:p>
        <w:p w:rsidR="004049DF" w:rsidRDefault="004049DF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EC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503175949" w:history="1">
            <w:r w:rsidRPr="00986413">
              <w:rPr>
                <w:rStyle w:val="Hipervnculo"/>
                <w:noProof/>
              </w:rPr>
              <w:t>Introducción: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_Toc503175949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9DF" w:rsidRDefault="004049DF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EC"/>
            </w:rPr>
          </w:pPr>
          <w:hyperlink w:anchor="_Toc503175950" w:history="1">
            <w:r w:rsidRPr="00986413">
              <w:rPr>
                <w:rStyle w:val="Hipervnculo"/>
                <w:noProof/>
              </w:rPr>
              <w:t>FORMATO GENERAL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_Toc503175950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9DF" w:rsidRDefault="004049DF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EC"/>
            </w:rPr>
          </w:pPr>
          <w:hyperlink w:anchor="_Toc503175951" w:history="1">
            <w:r w:rsidRPr="00986413">
              <w:rPr>
                <w:rStyle w:val="Hipervnculo"/>
                <w:noProof/>
              </w:rPr>
              <w:t>SECRETARIAS (OS) CONTADORAS (OS)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_Toc503175951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9DF" w:rsidRDefault="004049DF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EC"/>
            </w:rPr>
          </w:pPr>
          <w:hyperlink w:anchor="_Toc503175952" w:history="1">
            <w:r w:rsidRPr="00986413">
              <w:rPr>
                <w:rStyle w:val="Hipervnculo"/>
                <w:noProof/>
              </w:rPr>
              <w:t>ADMINISTRADORAS (ES)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_Toc503175952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9DF" w:rsidRDefault="004049DF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EC"/>
            </w:rPr>
          </w:pPr>
          <w:hyperlink w:anchor="_Toc503175953" w:history="1">
            <w:r w:rsidRPr="00986413">
              <w:rPr>
                <w:rStyle w:val="Hipervnculo"/>
                <w:noProof/>
              </w:rPr>
              <w:t>CONTABILIDAD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_Toc503175953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9DF" w:rsidRDefault="004049DF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EC"/>
            </w:rPr>
          </w:pPr>
          <w:hyperlink w:anchor="_Toc503175954" w:history="1">
            <w:r w:rsidRPr="00986413">
              <w:rPr>
                <w:rStyle w:val="Hipervnculo"/>
                <w:noProof/>
              </w:rPr>
              <w:t>GERENCIA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_Toc503175954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9DF" w:rsidRDefault="004049DF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4049DF" w:rsidRDefault="00E811C2">
      <w:pPr>
        <w:rPr>
          <w:rFonts w:asciiTheme="majorHAnsi" w:eastAsiaTheme="majorEastAsia" w:hAnsiTheme="majorHAnsi" w:cstheme="majorBidi"/>
          <w:b/>
          <w:color w:val="17365D" w:themeColor="text2" w:themeShade="BF"/>
          <w:spacing w:val="5"/>
          <w:kern w:val="28"/>
          <w:sz w:val="20"/>
          <w:szCs w:val="52"/>
          <w:lang w:val="es-ES"/>
        </w:rPr>
      </w:pPr>
      <w:r>
        <w:br w:type="page"/>
      </w:r>
    </w:p>
    <w:p w:rsidR="004049DF" w:rsidRDefault="004049DF" w:rsidP="004049DF">
      <w:pPr>
        <w:pStyle w:val="Ttulo1"/>
      </w:pPr>
      <w:bookmarkStart w:id="0" w:name="_Toc503175949"/>
      <w:r>
        <w:lastRenderedPageBreak/>
        <w:t>Introducción:</w:t>
      </w:r>
      <w:bookmarkEnd w:id="0"/>
    </w:p>
    <w:p w:rsidR="004049DF" w:rsidRDefault="004049DF" w:rsidP="004049DF">
      <w:r>
        <w:t xml:space="preserve">ACEFDOS es un sistema que se encuentra en pleno desarrollo,  desciende del ACEF, este nuevo sistema cumple con estándares tanto técnicos como institucionales.  </w:t>
      </w:r>
    </w:p>
    <w:p w:rsidR="004049DF" w:rsidRDefault="004049DF" w:rsidP="004049DF">
      <w:r>
        <w:t>Para el ingreso de usuario es necesario cumplir con los requisitos de que pertenezca a la institución y llene toda la información necesaria.</w:t>
      </w:r>
    </w:p>
    <w:p w:rsidR="004049DF" w:rsidRDefault="004049DF" w:rsidP="004049DF">
      <w:r>
        <w:t>Este documento puede sufrir cambios, por</w:t>
      </w:r>
      <w:r w:rsidR="00DC45E6">
        <w:t xml:space="preserve"> </w:t>
      </w:r>
      <w:r>
        <w:t>qu</w:t>
      </w:r>
      <w:r w:rsidR="00DC45E6">
        <w:t>é</w:t>
      </w:r>
      <w:r>
        <w:t xml:space="preserve"> , como se ha indicado ACEFDOS está en proceso de verificación, comprobación y sus respectivas correcciones. </w:t>
      </w:r>
    </w:p>
    <w:p w:rsidR="004049DF" w:rsidRDefault="004049DF" w:rsidP="004049DF"/>
    <w:tbl>
      <w:tblPr>
        <w:tblStyle w:val="Listaclara-nfasis1"/>
        <w:tblW w:w="17261" w:type="dxa"/>
        <w:tblLayout w:type="fixed"/>
        <w:tblLook w:val="04A0"/>
      </w:tblPr>
      <w:tblGrid>
        <w:gridCol w:w="1951"/>
        <w:gridCol w:w="284"/>
        <w:gridCol w:w="6095"/>
        <w:gridCol w:w="567"/>
        <w:gridCol w:w="7797"/>
        <w:gridCol w:w="567"/>
      </w:tblGrid>
      <w:tr w:rsidR="00BF1434" w:rsidTr="00E4520B">
        <w:trPr>
          <w:gridAfter w:val="1"/>
          <w:cnfStyle w:val="100000000000"/>
          <w:wAfter w:w="567" w:type="dxa"/>
          <w:trHeight w:val="204"/>
        </w:trPr>
        <w:tc>
          <w:tcPr>
            <w:cnfStyle w:val="001000000000"/>
            <w:tcW w:w="1951" w:type="dxa"/>
          </w:tcPr>
          <w:p w:rsidR="001915B7" w:rsidRDefault="001915B7" w:rsidP="00A916B8">
            <w:r>
              <w:t>Opción</w:t>
            </w:r>
          </w:p>
        </w:tc>
        <w:tc>
          <w:tcPr>
            <w:tcW w:w="6379" w:type="dxa"/>
            <w:gridSpan w:val="2"/>
          </w:tcPr>
          <w:p w:rsidR="001915B7" w:rsidRDefault="001915B7" w:rsidP="00A916B8">
            <w:pPr>
              <w:cnfStyle w:val="100000000000"/>
            </w:pPr>
            <w:r>
              <w:t>Descripción</w:t>
            </w:r>
          </w:p>
        </w:tc>
        <w:tc>
          <w:tcPr>
            <w:tcW w:w="8364" w:type="dxa"/>
            <w:gridSpan w:val="2"/>
          </w:tcPr>
          <w:p w:rsidR="001915B7" w:rsidRDefault="001915B7" w:rsidP="00A916B8">
            <w:pPr>
              <w:cnfStyle w:val="100000000000"/>
            </w:pPr>
            <w:r>
              <w:t>Imagen</w:t>
            </w:r>
          </w:p>
        </w:tc>
      </w:tr>
      <w:tr w:rsidR="00BF1434" w:rsidTr="00E4520B">
        <w:trPr>
          <w:gridAfter w:val="1"/>
          <w:cnfStyle w:val="000000100000"/>
          <w:wAfter w:w="567" w:type="dxa"/>
          <w:trHeight w:val="4105"/>
        </w:trPr>
        <w:tc>
          <w:tcPr>
            <w:cnfStyle w:val="001000000000"/>
            <w:tcW w:w="1951" w:type="dxa"/>
          </w:tcPr>
          <w:p w:rsidR="001B29DA" w:rsidRPr="004049DF" w:rsidRDefault="001B29DA" w:rsidP="004049DF">
            <w:pPr>
              <w:pStyle w:val="Ttulo1"/>
            </w:pPr>
            <w:bookmarkStart w:id="1" w:name="_Toc503175950"/>
            <w:r w:rsidRPr="004049DF">
              <w:t>FORMATO GENERAL DE USO</w:t>
            </w:r>
            <w:bookmarkEnd w:id="1"/>
          </w:p>
          <w:p w:rsidR="001915B7" w:rsidRDefault="001915B7" w:rsidP="00A916B8"/>
        </w:tc>
        <w:tc>
          <w:tcPr>
            <w:tcW w:w="6379" w:type="dxa"/>
            <w:gridSpan w:val="2"/>
          </w:tcPr>
          <w:p w:rsidR="00807F19" w:rsidRDefault="00895285" w:rsidP="00895285">
            <w:pPr>
              <w:cnfStyle w:val="000000100000"/>
            </w:pPr>
            <w:r>
              <w:t>AcefDos presenta 3 estilos para su navegación.</w:t>
            </w:r>
          </w:p>
          <w:p w:rsidR="00895285" w:rsidRDefault="00895285" w:rsidP="00895285">
            <w:pPr>
              <w:cnfStyle w:val="000000100000"/>
            </w:pPr>
            <w:r>
              <w:t>El MENÚ PRINCIPAL aparecen las opciones de acuerdo al usuario al ingresar al sistema.</w:t>
            </w:r>
          </w:p>
          <w:p w:rsidR="00895285" w:rsidRDefault="00895285" w:rsidP="00895285">
            <w:pPr>
              <w:cnfStyle w:val="000000100000"/>
            </w:pPr>
            <w:r>
              <w:t>Al dar click en cualquiera de las opciones les aparece el SUBMENÚ .</w:t>
            </w:r>
          </w:p>
          <w:p w:rsidR="00895285" w:rsidRDefault="00895285" w:rsidP="00895285">
            <w:pPr>
              <w:cnfStyle w:val="000000100000"/>
            </w:pPr>
          </w:p>
          <w:p w:rsidR="00895285" w:rsidRDefault="00895285" w:rsidP="00895285">
            <w:pPr>
              <w:cnfStyle w:val="000000100000"/>
            </w:pPr>
            <w:r>
              <w:t>En la mayoría de procesos les aparece listados de consulta (ESTANDAR DE CONSULTAS DE INFORMACIÓN) que son casilleros donde deben escoger o digitar las opciones y uno o más botones que al presionar entregará la información pertinente.</w:t>
            </w:r>
          </w:p>
        </w:tc>
        <w:tc>
          <w:tcPr>
            <w:tcW w:w="8364" w:type="dxa"/>
            <w:gridSpan w:val="2"/>
          </w:tcPr>
          <w:p w:rsidR="001915B7" w:rsidRDefault="001B29DA" w:rsidP="003351EC">
            <w:pPr>
              <w:ind w:left="-108" w:firstLine="108"/>
              <w:cnfStyle w:val="000000100000"/>
            </w:pPr>
            <w:r>
              <w:rPr>
                <w:noProof/>
                <w:lang w:eastAsia="es-EC"/>
              </w:rPr>
              <w:drawing>
                <wp:inline distT="0" distB="0" distL="0" distR="0">
                  <wp:extent cx="3412998" cy="2554224"/>
                  <wp:effectExtent l="19050" t="0" r="0" b="0"/>
                  <wp:docPr id="2" name="1 Imagen" descr="estand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tandar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240" cy="2558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434" w:rsidTr="00E4520B">
        <w:trPr>
          <w:gridAfter w:val="1"/>
          <w:wAfter w:w="567" w:type="dxa"/>
          <w:trHeight w:val="109"/>
        </w:trPr>
        <w:tc>
          <w:tcPr>
            <w:cnfStyle w:val="001000000000"/>
            <w:tcW w:w="1951" w:type="dxa"/>
          </w:tcPr>
          <w:p w:rsidR="00BF1434" w:rsidRPr="004049DF" w:rsidRDefault="00BF1434" w:rsidP="004049DF">
            <w:pPr>
              <w:pStyle w:val="Ttulo1"/>
            </w:pPr>
            <w:bookmarkStart w:id="2" w:name="_Toc503175951"/>
            <w:r w:rsidRPr="004049DF">
              <w:t xml:space="preserve">SECRETARIAS (OS) CONTADORAS </w:t>
            </w:r>
            <w:r w:rsidRPr="004049DF">
              <w:lastRenderedPageBreak/>
              <w:t>(OS)</w:t>
            </w:r>
            <w:bookmarkEnd w:id="2"/>
          </w:p>
          <w:p w:rsidR="003931DC" w:rsidRDefault="003931DC" w:rsidP="00A916B8"/>
        </w:tc>
        <w:tc>
          <w:tcPr>
            <w:tcW w:w="6379" w:type="dxa"/>
            <w:gridSpan w:val="2"/>
          </w:tcPr>
          <w:p w:rsidR="00102CC8" w:rsidRDefault="0047431E" w:rsidP="0047431E">
            <w:pPr>
              <w:cnfStyle w:val="000000000000"/>
            </w:pPr>
            <w:r>
              <w:lastRenderedPageBreak/>
              <w:t xml:space="preserve">Las secretarias contadoras o secretarios contadores tienen acceso al menú indicado a la derecha. Con esta opciones pueden revisar la </w:t>
            </w:r>
            <w:r>
              <w:lastRenderedPageBreak/>
              <w:t>facturación, ingresar proveedores, verificar gastos y ventas, etc.</w:t>
            </w:r>
          </w:p>
        </w:tc>
        <w:tc>
          <w:tcPr>
            <w:tcW w:w="8364" w:type="dxa"/>
            <w:gridSpan w:val="2"/>
          </w:tcPr>
          <w:p w:rsidR="003931DC" w:rsidRDefault="0047431E" w:rsidP="00A916B8">
            <w:pPr>
              <w:cnfStyle w:val="000000000000"/>
            </w:pPr>
            <w:r>
              <w:rPr>
                <w:noProof/>
                <w:lang w:eastAsia="es-EC"/>
              </w:rPr>
              <w:lastRenderedPageBreak/>
              <w:drawing>
                <wp:inline distT="0" distB="0" distL="0" distR="0">
                  <wp:extent cx="5173980" cy="300355"/>
                  <wp:effectExtent l="19050" t="0" r="7620" b="0"/>
                  <wp:docPr id="4" name="3 Imagen" descr="secC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Cn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80" cy="30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434" w:rsidTr="00E4520B">
        <w:trPr>
          <w:gridAfter w:val="1"/>
          <w:cnfStyle w:val="000000100000"/>
          <w:wAfter w:w="567" w:type="dxa"/>
          <w:trHeight w:val="109"/>
        </w:trPr>
        <w:tc>
          <w:tcPr>
            <w:cnfStyle w:val="001000000000"/>
            <w:tcW w:w="1951" w:type="dxa"/>
          </w:tcPr>
          <w:p w:rsidR="00BF1434" w:rsidRPr="004049DF" w:rsidRDefault="00BF1434" w:rsidP="004049DF">
            <w:pPr>
              <w:pStyle w:val="Ttulo1"/>
            </w:pPr>
            <w:bookmarkStart w:id="3" w:name="_Toc503175952"/>
            <w:r w:rsidRPr="004049DF">
              <w:lastRenderedPageBreak/>
              <w:t>ADMINISTRADORAS (ES)</w:t>
            </w:r>
            <w:bookmarkEnd w:id="3"/>
            <w:r w:rsidRPr="004049DF">
              <w:t xml:space="preserve"> </w:t>
            </w:r>
          </w:p>
          <w:p w:rsidR="003931DC" w:rsidRDefault="003931DC" w:rsidP="00A916B8"/>
        </w:tc>
        <w:tc>
          <w:tcPr>
            <w:tcW w:w="6379" w:type="dxa"/>
            <w:gridSpan w:val="2"/>
          </w:tcPr>
          <w:p w:rsidR="003B002B" w:rsidRDefault="0047431E" w:rsidP="00205DB2">
            <w:pPr>
              <w:cnfStyle w:val="000000100000"/>
            </w:pPr>
            <w:r>
              <w:t xml:space="preserve">Como administradores o administradoras tienen opciones adicionales como cartera, donde pueden hacer el seguimiento de cartera tanto de cxc o cxp, otra opción importante es HERRAMIENTAS, donde pueden controlar los cierres de </w:t>
            </w:r>
            <w:r w:rsidR="00205DB2">
              <w:t>su</w:t>
            </w:r>
            <w:r>
              <w:t xml:space="preserve"> sucursal.</w:t>
            </w:r>
          </w:p>
        </w:tc>
        <w:tc>
          <w:tcPr>
            <w:tcW w:w="8364" w:type="dxa"/>
            <w:gridSpan w:val="2"/>
          </w:tcPr>
          <w:p w:rsidR="003931DC" w:rsidRDefault="0047431E" w:rsidP="00A916B8">
            <w:pPr>
              <w:cnfStyle w:val="000000100000"/>
            </w:pPr>
            <w:r>
              <w:rPr>
                <w:noProof/>
                <w:lang w:eastAsia="es-EC"/>
              </w:rPr>
              <w:drawing>
                <wp:inline distT="0" distB="0" distL="0" distR="0">
                  <wp:extent cx="3601974" cy="1029535"/>
                  <wp:effectExtent l="19050" t="0" r="0" b="0"/>
                  <wp:docPr id="5" name="4 Imagen" descr="ad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053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434" w:rsidTr="00E4520B">
        <w:trPr>
          <w:gridAfter w:val="1"/>
          <w:wAfter w:w="567" w:type="dxa"/>
          <w:trHeight w:val="109"/>
        </w:trPr>
        <w:tc>
          <w:tcPr>
            <w:cnfStyle w:val="001000000000"/>
            <w:tcW w:w="1951" w:type="dxa"/>
          </w:tcPr>
          <w:p w:rsidR="00BF1434" w:rsidRPr="004049DF" w:rsidRDefault="00BF1434" w:rsidP="004049DF">
            <w:pPr>
              <w:pStyle w:val="Ttulo1"/>
            </w:pPr>
            <w:bookmarkStart w:id="4" w:name="_Toc503175953"/>
            <w:r w:rsidRPr="004049DF">
              <w:t>CONTABILIDAD</w:t>
            </w:r>
            <w:bookmarkEnd w:id="4"/>
          </w:p>
          <w:p w:rsidR="007A476B" w:rsidRPr="004049DF" w:rsidRDefault="007A476B" w:rsidP="004049DF">
            <w:pPr>
              <w:pStyle w:val="Ttulo1"/>
            </w:pPr>
          </w:p>
        </w:tc>
        <w:tc>
          <w:tcPr>
            <w:tcW w:w="6379" w:type="dxa"/>
            <w:gridSpan w:val="2"/>
          </w:tcPr>
          <w:p w:rsidR="007A476B" w:rsidRDefault="0047431E" w:rsidP="002B5568">
            <w:pPr>
              <w:cnfStyle w:val="000000000000"/>
            </w:pPr>
            <w:r>
              <w:t>El departamento de contabilidad cuenta con las opciones para realizar el seguimiento, control y verificación a nivel nacional Adicional a otras opciones como Tributación utilizada solo por el departamento.</w:t>
            </w:r>
          </w:p>
          <w:p w:rsidR="0047431E" w:rsidRDefault="0047431E" w:rsidP="002B5568">
            <w:pPr>
              <w:cnfStyle w:val="000000000000"/>
            </w:pPr>
          </w:p>
          <w:p w:rsidR="00E4520B" w:rsidRDefault="00E4520B" w:rsidP="002B5568">
            <w:pPr>
              <w:cnfStyle w:val="000000000000"/>
            </w:pPr>
            <w:r>
              <w:t>El Departamento de contabilidad cuenta ahora con una opción donde puede verificar cierres de un solo vistazo a todas las sucursales donde los colores indican que : verde han realizado todo el cierre, amarillo que está en proceso y rojo que no han realizado nada</w:t>
            </w:r>
            <w:r w:rsidR="00D363CA">
              <w:t>, en un período indicado</w:t>
            </w:r>
            <w:r>
              <w:t>.</w:t>
            </w:r>
          </w:p>
          <w:p w:rsidR="0047431E" w:rsidRPr="004049DF" w:rsidRDefault="0047431E" w:rsidP="002B5568">
            <w:pPr>
              <w:cnfStyle w:val="000000000000"/>
            </w:pPr>
          </w:p>
        </w:tc>
        <w:tc>
          <w:tcPr>
            <w:tcW w:w="8364" w:type="dxa"/>
            <w:gridSpan w:val="2"/>
          </w:tcPr>
          <w:p w:rsidR="007A476B" w:rsidRDefault="0047431E" w:rsidP="00A916B8">
            <w:pPr>
              <w:cnfStyle w:val="000000000000"/>
            </w:pPr>
            <w:r>
              <w:rPr>
                <w:noProof/>
                <w:lang w:eastAsia="es-EC"/>
              </w:rPr>
              <w:drawing>
                <wp:inline distT="0" distB="0" distL="0" distR="0">
                  <wp:extent cx="3559302" cy="908304"/>
                  <wp:effectExtent l="19050" t="0" r="3048" b="0"/>
                  <wp:docPr id="9" name="8 Imagen" descr="cntAu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ntAux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5772" cy="90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431E" w:rsidRDefault="0047431E" w:rsidP="00A916B8">
            <w:pPr>
              <w:cnfStyle w:val="000000000000"/>
            </w:pPr>
          </w:p>
          <w:p w:rsidR="0047431E" w:rsidRDefault="00E4520B" w:rsidP="00A916B8">
            <w:pPr>
              <w:cnfStyle w:val="000000000000"/>
            </w:pPr>
            <w:r>
              <w:rPr>
                <w:noProof/>
                <w:lang w:eastAsia="es-EC"/>
              </w:rPr>
              <w:drawing>
                <wp:inline distT="0" distB="0" distL="0" distR="0">
                  <wp:extent cx="2997115" cy="1816608"/>
                  <wp:effectExtent l="19050" t="0" r="0" b="0"/>
                  <wp:docPr id="12" name="11 Imagen" descr="ctrlCaj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rlCajas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831" cy="1816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434" w:rsidTr="00E4520B">
        <w:trPr>
          <w:cnfStyle w:val="000000100000"/>
          <w:trHeight w:val="109"/>
        </w:trPr>
        <w:tc>
          <w:tcPr>
            <w:cnfStyle w:val="001000000000"/>
            <w:tcW w:w="2235" w:type="dxa"/>
            <w:gridSpan w:val="2"/>
          </w:tcPr>
          <w:p w:rsidR="00BF1434" w:rsidRPr="004049DF" w:rsidRDefault="00BF1434" w:rsidP="004049DF">
            <w:pPr>
              <w:pStyle w:val="Ttulo1"/>
            </w:pPr>
            <w:bookmarkStart w:id="5" w:name="_Toc503175954"/>
            <w:r w:rsidRPr="004049DF">
              <w:t>GERENCIA</w:t>
            </w:r>
            <w:bookmarkEnd w:id="5"/>
          </w:p>
          <w:p w:rsidR="007A476B" w:rsidRPr="00246424" w:rsidRDefault="007A476B" w:rsidP="00D4020B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6662" w:type="dxa"/>
            <w:gridSpan w:val="2"/>
          </w:tcPr>
          <w:p w:rsidR="007A476B" w:rsidRDefault="00E4520B" w:rsidP="00E4520B">
            <w:pPr>
              <w:cnfStyle w:val="000000100000"/>
            </w:pPr>
            <w:r>
              <w:t>Gerencia</w:t>
            </w:r>
          </w:p>
        </w:tc>
        <w:tc>
          <w:tcPr>
            <w:tcW w:w="8364" w:type="dxa"/>
            <w:gridSpan w:val="2"/>
          </w:tcPr>
          <w:p w:rsidR="007A476B" w:rsidRDefault="007A476B" w:rsidP="00A916B8">
            <w:pPr>
              <w:cnfStyle w:val="000000100000"/>
            </w:pPr>
          </w:p>
        </w:tc>
      </w:tr>
    </w:tbl>
    <w:p w:rsidR="003915BE" w:rsidRDefault="003915BE" w:rsidP="004049DF">
      <w:pPr>
        <w:pStyle w:val="Ttulo1"/>
      </w:pPr>
    </w:p>
    <w:sectPr w:rsidR="003915BE" w:rsidSect="00022893">
      <w:headerReference w:type="default" r:id="rId13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81C" w:rsidRDefault="0035581C" w:rsidP="00A67FD9">
      <w:pPr>
        <w:spacing w:after="0" w:line="240" w:lineRule="auto"/>
      </w:pPr>
      <w:r>
        <w:separator/>
      </w:r>
    </w:p>
  </w:endnote>
  <w:endnote w:type="continuationSeparator" w:id="0">
    <w:p w:rsidR="0035581C" w:rsidRDefault="0035581C" w:rsidP="00A67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81C" w:rsidRDefault="0035581C" w:rsidP="00A67FD9">
      <w:pPr>
        <w:spacing w:after="0" w:line="240" w:lineRule="auto"/>
      </w:pPr>
      <w:r>
        <w:separator/>
      </w:r>
    </w:p>
  </w:footnote>
  <w:footnote w:type="continuationSeparator" w:id="0">
    <w:p w:rsidR="0035581C" w:rsidRDefault="0035581C" w:rsidP="00A67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7FD9" w:rsidRPr="00895285" w:rsidRDefault="00A67FD9">
    <w:pPr>
      <w:pStyle w:val="Encabezado"/>
      <w:rPr>
        <w:b/>
        <w:color w:val="365F91" w:themeColor="accent1" w:themeShade="BF"/>
      </w:rPr>
    </w:pPr>
    <w:r w:rsidRPr="00895285">
      <w:rPr>
        <w:b/>
        <w:noProof/>
        <w:color w:val="365F91" w:themeColor="accent1" w:themeShade="BF"/>
        <w:lang w:eastAsia="es-EC"/>
      </w:rPr>
      <w:drawing>
        <wp:inline distT="0" distB="0" distL="0" distR="0">
          <wp:extent cx="939800" cy="838200"/>
          <wp:effectExtent l="19050" t="0" r="0" b="0"/>
          <wp:docPr id="3" name="2 Imagen" descr="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980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95285" w:rsidRPr="00895285">
      <w:rPr>
        <w:b/>
        <w:color w:val="365F91" w:themeColor="accent1" w:themeShade="BF"/>
      </w:rPr>
      <w:t>AUTOMOVIL CLUB DEL ECUADOR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6C15"/>
    <w:multiLevelType w:val="hybridMultilevel"/>
    <w:tmpl w:val="06D67E32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64010"/>
    <w:multiLevelType w:val="hybridMultilevel"/>
    <w:tmpl w:val="AA0C2BE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8230D"/>
    <w:multiLevelType w:val="hybridMultilevel"/>
    <w:tmpl w:val="06D67E32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BD444A"/>
    <w:multiLevelType w:val="hybridMultilevel"/>
    <w:tmpl w:val="06D67E32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35D10"/>
    <w:multiLevelType w:val="hybridMultilevel"/>
    <w:tmpl w:val="06D67E32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0348B"/>
    <w:multiLevelType w:val="hybridMultilevel"/>
    <w:tmpl w:val="0C627E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140C25"/>
    <w:multiLevelType w:val="hybridMultilevel"/>
    <w:tmpl w:val="26420F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77593B"/>
    <w:multiLevelType w:val="hybridMultilevel"/>
    <w:tmpl w:val="06D67E32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DF10F1"/>
    <w:multiLevelType w:val="hybridMultilevel"/>
    <w:tmpl w:val="AA0C2BE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429F2"/>
    <w:multiLevelType w:val="hybridMultilevel"/>
    <w:tmpl w:val="06D67E32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E404AA"/>
    <w:multiLevelType w:val="hybridMultilevel"/>
    <w:tmpl w:val="06D67E32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8A4713"/>
    <w:multiLevelType w:val="hybridMultilevel"/>
    <w:tmpl w:val="C4A0D454"/>
    <w:lvl w:ilvl="0" w:tplc="CC9655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5"/>
  </w:num>
  <w:num w:numId="5">
    <w:abstractNumId w:val="6"/>
  </w:num>
  <w:num w:numId="6">
    <w:abstractNumId w:val="4"/>
  </w:num>
  <w:num w:numId="7">
    <w:abstractNumId w:val="10"/>
  </w:num>
  <w:num w:numId="8">
    <w:abstractNumId w:val="3"/>
  </w:num>
  <w:num w:numId="9">
    <w:abstractNumId w:val="2"/>
  </w:num>
  <w:num w:numId="10">
    <w:abstractNumId w:val="9"/>
  </w:num>
  <w:num w:numId="11">
    <w:abstractNumId w:val="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22893"/>
    <w:rsid w:val="00022893"/>
    <w:rsid w:val="000315FF"/>
    <w:rsid w:val="00102CC8"/>
    <w:rsid w:val="0013223F"/>
    <w:rsid w:val="001915B7"/>
    <w:rsid w:val="001B29DA"/>
    <w:rsid w:val="001B4F84"/>
    <w:rsid w:val="00205DB2"/>
    <w:rsid w:val="00231EF3"/>
    <w:rsid w:val="00246424"/>
    <w:rsid w:val="002B5568"/>
    <w:rsid w:val="002E4A31"/>
    <w:rsid w:val="003351EC"/>
    <w:rsid w:val="0035581C"/>
    <w:rsid w:val="003915BE"/>
    <w:rsid w:val="003931DC"/>
    <w:rsid w:val="003B002B"/>
    <w:rsid w:val="004049DF"/>
    <w:rsid w:val="0047431E"/>
    <w:rsid w:val="00600510"/>
    <w:rsid w:val="00693970"/>
    <w:rsid w:val="007A476B"/>
    <w:rsid w:val="00807CC9"/>
    <w:rsid w:val="00807F19"/>
    <w:rsid w:val="00895285"/>
    <w:rsid w:val="00946869"/>
    <w:rsid w:val="009D7A14"/>
    <w:rsid w:val="00A67FD9"/>
    <w:rsid w:val="00A916B8"/>
    <w:rsid w:val="00A96D5D"/>
    <w:rsid w:val="00B07CB9"/>
    <w:rsid w:val="00B5329B"/>
    <w:rsid w:val="00B9653C"/>
    <w:rsid w:val="00BF1434"/>
    <w:rsid w:val="00C85458"/>
    <w:rsid w:val="00D363CA"/>
    <w:rsid w:val="00D4020B"/>
    <w:rsid w:val="00DC45E6"/>
    <w:rsid w:val="00DD2068"/>
    <w:rsid w:val="00DE594E"/>
    <w:rsid w:val="00E147B2"/>
    <w:rsid w:val="00E4520B"/>
    <w:rsid w:val="00E81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869"/>
  </w:style>
  <w:style w:type="paragraph" w:styleId="Ttulo1">
    <w:name w:val="heading 1"/>
    <w:basedOn w:val="Ttulo"/>
    <w:next w:val="Normal"/>
    <w:link w:val="Ttulo1Car"/>
    <w:uiPriority w:val="9"/>
    <w:qFormat/>
    <w:rsid w:val="004049DF"/>
    <w:pPr>
      <w:outlineLvl w:val="0"/>
    </w:pPr>
    <w:rPr>
      <w:b w:val="0"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2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289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915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7F19"/>
    <w:pPr>
      <w:ind w:left="720"/>
      <w:contextualSpacing/>
    </w:pPr>
  </w:style>
  <w:style w:type="table" w:customStyle="1" w:styleId="Listaclara-nfasis1">
    <w:name w:val="Light List Accent 1"/>
    <w:basedOn w:val="Tablanormal"/>
    <w:uiPriority w:val="61"/>
    <w:rsid w:val="003931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1B29DA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B29DA"/>
    <w:rPr>
      <w:i/>
      <w:iCs/>
      <w:color w:val="000000" w:themeColor="text1"/>
    </w:rPr>
  </w:style>
  <w:style w:type="paragraph" w:styleId="ndice2">
    <w:name w:val="index 2"/>
    <w:basedOn w:val="Normal"/>
    <w:next w:val="Normal"/>
    <w:autoRedefine/>
    <w:uiPriority w:val="99"/>
    <w:unhideWhenUsed/>
    <w:rsid w:val="00693970"/>
    <w:pPr>
      <w:spacing w:after="0"/>
      <w:ind w:left="440" w:hanging="220"/>
    </w:pPr>
    <w:rPr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693970"/>
    <w:pPr>
      <w:spacing w:after="0"/>
      <w:ind w:left="220" w:hanging="22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93970"/>
    <w:pPr>
      <w:spacing w:after="0"/>
      <w:ind w:left="660" w:hanging="22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93970"/>
    <w:pPr>
      <w:spacing w:after="0"/>
      <w:ind w:left="880" w:hanging="22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93970"/>
    <w:pPr>
      <w:spacing w:after="0"/>
      <w:ind w:left="1100" w:hanging="22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93970"/>
    <w:pPr>
      <w:spacing w:after="0"/>
      <w:ind w:left="1320" w:hanging="22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93970"/>
    <w:pPr>
      <w:spacing w:after="0"/>
      <w:ind w:left="1540" w:hanging="22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93970"/>
    <w:pPr>
      <w:spacing w:after="0"/>
      <w:ind w:left="1760" w:hanging="22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93970"/>
    <w:pPr>
      <w:spacing w:after="0"/>
      <w:ind w:left="1980" w:hanging="22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93970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4049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0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4049DF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0"/>
      <w:szCs w:val="52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434"/>
    <w:pPr>
      <w:numPr>
        <w:ilvl w:val="1"/>
      </w:numPr>
    </w:pPr>
    <w:rPr>
      <w:rFonts w:ascii="Verdana" w:eastAsiaTheme="majorEastAsia" w:hAnsi="Verdana" w:cstheme="majorBidi"/>
      <w:b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F1434"/>
    <w:rPr>
      <w:rFonts w:ascii="Verdana" w:eastAsiaTheme="majorEastAsia" w:hAnsi="Verdana" w:cstheme="majorBidi"/>
      <w:b/>
      <w:iCs/>
      <w:color w:val="4F81BD" w:themeColor="accent1"/>
      <w:spacing w:val="15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049DF"/>
    <w:rPr>
      <w:rFonts w:asciiTheme="majorHAnsi" w:eastAsiaTheme="majorEastAsia" w:hAnsiTheme="majorHAnsi" w:cstheme="majorBidi"/>
      <w:bCs/>
      <w:color w:val="17365D" w:themeColor="text2" w:themeShade="BF"/>
      <w:spacing w:val="5"/>
      <w:kern w:val="28"/>
      <w:sz w:val="20"/>
      <w:szCs w:val="52"/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351EC"/>
    <w:pPr>
      <w:outlineLvl w:val="9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246424"/>
    <w:pPr>
      <w:spacing w:after="100"/>
      <w:ind w:left="220"/>
    </w:pPr>
    <w:rPr>
      <w:rFonts w:eastAsiaTheme="minorEastAsia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46424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246424"/>
    <w:pPr>
      <w:spacing w:after="100"/>
      <w:ind w:left="440"/>
    </w:pPr>
    <w:rPr>
      <w:rFonts w:eastAsiaTheme="minorEastAsia"/>
      <w:lang w:val="es-ES"/>
    </w:rPr>
  </w:style>
  <w:style w:type="character" w:styleId="Hipervnculo">
    <w:name w:val="Hyperlink"/>
    <w:basedOn w:val="Fuentedeprrafopredeter"/>
    <w:uiPriority w:val="99"/>
    <w:unhideWhenUsed/>
    <w:rsid w:val="004049D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A67F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67FD9"/>
  </w:style>
  <w:style w:type="paragraph" w:styleId="Piedepgina">
    <w:name w:val="footer"/>
    <w:basedOn w:val="Normal"/>
    <w:link w:val="PiedepginaCar"/>
    <w:uiPriority w:val="99"/>
    <w:semiHidden/>
    <w:unhideWhenUsed/>
    <w:rsid w:val="00A67F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67F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72CDA"/>
    <w:rsid w:val="00C86C23"/>
    <w:rsid w:val="00E72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1339471C7FD4C6080FED3A785F816C6">
    <w:name w:val="E1339471C7FD4C6080FED3A785F816C6"/>
    <w:rsid w:val="00E72CDA"/>
  </w:style>
  <w:style w:type="paragraph" w:customStyle="1" w:styleId="81640A33FE144EB9AEB35350EBD7EF75">
    <w:name w:val="81640A33FE144EB9AEB35350EBD7EF75"/>
    <w:rsid w:val="00E72CDA"/>
  </w:style>
  <w:style w:type="paragraph" w:customStyle="1" w:styleId="C94C62A9F1BB48368423CDD290AFAE3D">
    <w:name w:val="C94C62A9F1BB48368423CDD290AFAE3D"/>
    <w:rsid w:val="00E72CDA"/>
  </w:style>
  <w:style w:type="paragraph" w:customStyle="1" w:styleId="2168F5C98B454F8080F83627117D3F54">
    <w:name w:val="2168F5C98B454F8080F83627117D3F54"/>
    <w:rsid w:val="00E72CDA"/>
  </w:style>
  <w:style w:type="paragraph" w:customStyle="1" w:styleId="F0F16412F8B844358373CE46A619663F">
    <w:name w:val="F0F16412F8B844358373CE46A619663F"/>
    <w:rsid w:val="00E72CDA"/>
  </w:style>
  <w:style w:type="paragraph" w:customStyle="1" w:styleId="B81CE271695149B5B6E03F429067B92C">
    <w:name w:val="B81CE271695149B5B6E03F429067B92C"/>
    <w:rsid w:val="00E72CD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BFB20-19CC-452C-B40D-A6819989B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ANETA</Company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Automovil Club del Ecuador</dc:creator>
  <cp:lastModifiedBy>Espinosaj</cp:lastModifiedBy>
  <cp:revision>12</cp:revision>
  <dcterms:created xsi:type="dcterms:W3CDTF">2018-01-08T14:28:00Z</dcterms:created>
  <dcterms:modified xsi:type="dcterms:W3CDTF">2018-01-08T17:29:00Z</dcterms:modified>
</cp:coreProperties>
</file>