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B94" w:rsidRPr="00DA1D43" w:rsidRDefault="00A622B7" w:rsidP="00A622B7">
      <w:pPr>
        <w:jc w:val="center"/>
        <w:rPr>
          <w:b/>
        </w:rPr>
      </w:pPr>
      <w:r w:rsidRPr="00DA1D43">
        <w:rPr>
          <w:b/>
        </w:rPr>
        <w:t>Electric Power Company in</w:t>
      </w:r>
      <w:r w:rsidR="00DA1D43" w:rsidRPr="00DA1D43">
        <w:rPr>
          <w:b/>
        </w:rPr>
        <w:t xml:space="preserve"> </w:t>
      </w:r>
      <w:proofErr w:type="spellStart"/>
      <w:r w:rsidR="00DA1D43" w:rsidRPr="00DA1D43">
        <w:rPr>
          <w:b/>
        </w:rPr>
        <w:t>Valpariso</w:t>
      </w:r>
      <w:proofErr w:type="spellEnd"/>
      <w:r w:rsidRPr="00DA1D43">
        <w:rPr>
          <w:b/>
        </w:rPr>
        <w:t xml:space="preserve"> </w:t>
      </w:r>
    </w:p>
    <w:p w:rsidR="00A622B7" w:rsidRPr="00DA1D43" w:rsidRDefault="00A622B7" w:rsidP="00A622B7">
      <w:pPr>
        <w:jc w:val="center"/>
        <w:rPr>
          <w:b/>
          <w:lang w:val="es-CO"/>
        </w:rPr>
      </w:pPr>
      <w:r w:rsidRPr="00DA1D43">
        <w:rPr>
          <w:b/>
          <w:lang w:val="es-CO"/>
        </w:rPr>
        <w:t>Jesus Eduardo Ortiz Sandoval</w:t>
      </w:r>
    </w:p>
    <w:p w:rsidR="00DA1D43" w:rsidRPr="00DA1D43" w:rsidRDefault="00DA1D43" w:rsidP="00DA1D43">
      <w:pPr>
        <w:rPr>
          <w:b/>
        </w:rPr>
      </w:pPr>
      <w:r w:rsidRPr="00DA1D43">
        <w:t xml:space="preserve">Due to the release of many energy consumption data in the country we can have very important information related to companies that have electricity distribution in the </w:t>
      </w:r>
      <w:proofErr w:type="spellStart"/>
      <w:r w:rsidRPr="00DA1D43">
        <w:t>Valpariso</w:t>
      </w:r>
      <w:proofErr w:type="spellEnd"/>
      <w:r w:rsidRPr="00DA1D43">
        <w:t xml:space="preserve"> region, we can also analyze the type of generation, where the generation comes from, etc.</w:t>
      </w:r>
    </w:p>
    <w:p w:rsidR="00DA1D43" w:rsidRDefault="00DA1D43" w:rsidP="00DA1D43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3611E646" wp14:editId="350D4C16">
            <wp:extent cx="5848350" cy="224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142" r="60417" b="39532"/>
                    <a:stretch/>
                  </pic:blipFill>
                  <pic:spPr bwMode="auto">
                    <a:xfrm>
                      <a:off x="0" y="0"/>
                      <a:ext cx="5873658" cy="225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D43" w:rsidRPr="00DA1D43" w:rsidRDefault="00DA1D43" w:rsidP="00DA1D43">
      <w:pPr>
        <w:jc w:val="both"/>
      </w:pPr>
      <w:r w:rsidRPr="00DA1D43">
        <w:t>In the previous graph it is analyzed that the installed capacity is mostly generated by natural gas, followed by coal and oil, generation based on non-renewable natural resources, while solar energy, and other types of source, are equivalent to a very small portion. of installed capacity. While in the monthly generation, the generation with contaminating elements and the almost negligible impact of green energies is much more notable.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77"/>
      </w:tblGrid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Distribuidora</w:t>
            </w:r>
            <w:proofErr w:type="spellEnd"/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Cantidad</w:t>
            </w:r>
            <w:proofErr w:type="spellEnd"/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CGE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120.830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CHILQUINTA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585.893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EDECSA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5.754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EMELCA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5.992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LITORAL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59.348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TILTIL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777.908</w:t>
            </w:r>
          </w:p>
        </w:tc>
      </w:tr>
      <w:tr w:rsidR="00DA1D43" w:rsidRPr="00DA1D43" w:rsidTr="00DA1D43">
        <w:trPr>
          <w:jc w:val="center"/>
        </w:trPr>
        <w:tc>
          <w:tcPr>
            <w:tcW w:w="0" w:type="auto"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DA1D43" w:rsidRPr="00DA1D43" w:rsidRDefault="00DA1D43" w:rsidP="00DA1D4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A1D43" w:rsidRDefault="00DA1D43" w:rsidP="00DA1D43">
      <w:pPr>
        <w:tabs>
          <w:tab w:val="left" w:pos="3000"/>
        </w:tabs>
      </w:pPr>
      <w:r w:rsidRPr="00DA1D43">
        <w:t>As for the distribution companies, the main one is CHILQUINTA that has almost half a million users, more than 60% of the users of the entire V region, CGE, has a percentage close to 18% and we also find some small companies that have a few users.</w:t>
      </w:r>
    </w:p>
    <w:p w:rsidR="00DA1D43" w:rsidRPr="00DA1D43" w:rsidRDefault="00DA1D43" w:rsidP="00DA1D43">
      <w:pPr>
        <w:tabs>
          <w:tab w:val="left" w:pos="3000"/>
        </w:tabs>
        <w:rPr>
          <w:b/>
        </w:rPr>
      </w:pPr>
      <w:bookmarkStart w:id="0" w:name="_GoBack"/>
      <w:bookmarkEnd w:id="0"/>
      <w:r w:rsidRPr="00DA1D43">
        <w:rPr>
          <w:b/>
        </w:rPr>
        <w:t>REFERENCES</w:t>
      </w:r>
    </w:p>
    <w:p w:rsidR="00DA1D43" w:rsidRDefault="00DA1D43" w:rsidP="00DA1D43">
      <w:pPr>
        <w:rPr>
          <w:b/>
          <w:lang w:val="es-CO"/>
        </w:rPr>
      </w:pPr>
      <w:hyperlink r:id="rId5" w:history="1">
        <w:r w:rsidRPr="007F4009">
          <w:rPr>
            <w:rStyle w:val="Hipervnculo"/>
            <w:b/>
            <w:lang w:val="es-CO"/>
          </w:rPr>
          <w:t>https://energiaregion.cl/region/VALPO</w:t>
        </w:r>
      </w:hyperlink>
    </w:p>
    <w:p w:rsidR="00DA1D43" w:rsidRDefault="00DA1D43" w:rsidP="00DA1D43">
      <w:pPr>
        <w:rPr>
          <w:b/>
          <w:lang w:val="es-CO"/>
        </w:rPr>
      </w:pPr>
      <w:hyperlink r:id="rId6" w:history="1">
        <w:r w:rsidRPr="007F4009">
          <w:rPr>
            <w:rStyle w:val="Hipervnculo"/>
            <w:b/>
            <w:lang w:val="es-CO"/>
          </w:rPr>
          <w:t>http://datos.energiaabierta.cl/dataviews/241319/cantidad-de-clientes-regulados/</w:t>
        </w:r>
      </w:hyperlink>
    </w:p>
    <w:p w:rsidR="00DA1D43" w:rsidRPr="00A622B7" w:rsidRDefault="00DA1D43" w:rsidP="00DA1D43">
      <w:pPr>
        <w:rPr>
          <w:b/>
          <w:lang w:val="es-CO"/>
        </w:rPr>
      </w:pPr>
    </w:p>
    <w:sectPr w:rsidR="00DA1D43" w:rsidRPr="00A6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B7"/>
    <w:rsid w:val="00577B94"/>
    <w:rsid w:val="009D795F"/>
    <w:rsid w:val="00A622B7"/>
    <w:rsid w:val="00D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0D01"/>
  <w15:chartTrackingRefBased/>
  <w15:docId w15:val="{0894CE81-76DE-47DA-BF3B-5278F4F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1D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D4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A1D43"/>
    <w:rPr>
      <w:b/>
      <w:bCs/>
    </w:rPr>
  </w:style>
  <w:style w:type="table" w:styleId="Tablaconcuadrcula">
    <w:name w:val="Table Grid"/>
    <w:basedOn w:val="Tablanormal"/>
    <w:uiPriority w:val="39"/>
    <w:rsid w:val="00DA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os.energiaabierta.cl/dataviews/241319/cantidad-de-clientes-regulados/" TargetMode="External"/><Relationship Id="rId5" Type="http://schemas.openxmlformats.org/officeDocument/2006/relationships/hyperlink" Target="https://energiaregion.cl/region/VALP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Ortiz Sandoval</dc:creator>
  <cp:keywords/>
  <dc:description/>
  <cp:lastModifiedBy>Jesús Ortiz Sandoval</cp:lastModifiedBy>
  <cp:revision>1</cp:revision>
  <dcterms:created xsi:type="dcterms:W3CDTF">2019-07-05T13:50:00Z</dcterms:created>
  <dcterms:modified xsi:type="dcterms:W3CDTF">2019-07-08T05:31:00Z</dcterms:modified>
</cp:coreProperties>
</file>