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120"/>
        <w:jc w:val="center"/>
      </w:pPr>
      <w:r>
        <w:rPr>
          <w:rFonts w:ascii="Arial" w:cs="Arial" w:eastAsia="Arial" w:hAnsi="Arial"/>
          <w:b/>
          <w:bCs/>
          <w:color w:val="1F1F5E"/>
          <w:sz w:val="72"/>
          <w:szCs w:val="72"/>
        </w:rPr>
        <w:t xml:space="preserve">SUPPLY CHAIN</w:t>
      </w:r>
    </w:p>
    <w:p>
      <w:pPr>
        <w:spacing w:after="180"/>
        <w:jc w:val="center"/>
      </w:pPr>
      <w:r>
        <w:rPr>
          <w:rFonts w:ascii="Arial" w:cs="Arial" w:eastAsia="Arial" w:hAnsi="Arial"/>
          <w:b/>
          <w:bCs/>
          <w:color w:val="2c5f8a"/>
          <w:sz w:val="72"/>
          <w:szCs w:val="72"/>
        </w:rPr>
        <w:t xml:space="preserve">ANALYTICS REPORT</w:t>
      </w:r>
    </w:p>
    <w:p>
      <w:pPr>
        <w:pBdr>
          <w:bottom w:val="single" w:color="1F1F5E" w:sz="12" w:space="1"/>
        </w:pBdr>
        <w:spacing w:after="220"/>
        <w:jc w:val="center"/>
      </w:pPr>
    </w:p>
    <w:p>
      <w:pPr>
        <w:spacing w:after="100"/>
        <w:jc w:val="center"/>
      </w:pPr>
      <w:r>
        <w:rPr>
          <w:rFonts w:ascii="Arial" w:cs="Arial" w:eastAsia="Arial" w:hAnsi="Arial"/>
          <w:i/>
          <w:iCs/>
          <w:color w:val="555555"/>
          <w:sz w:val="24"/>
          <w:szCs w:val="24"/>
        </w:rPr>
        <w:t xml:space="preserve">Delivery Performance  |  Profitability Analysis  |  Predictive Modeling</w:t>
      </w:r>
    </w:p>
    <w:p>
      <w:pPr>
        <w:spacing w:after="100"/>
        <w:jc w:val="center"/>
      </w:pPr>
      <w:r>
        <w:rPr>
          <w:rFonts w:ascii="Arial" w:cs="Arial" w:eastAsia="Arial" w:hAnsi="Arial"/>
          <w:color w:val="888888"/>
          <w:sz w:val="22"/>
          <w:szCs w:val="22"/>
        </w:rPr>
        <w:t xml:space="preserve">DataCo Global E-Commerce  —  May 2026</w:t>
      </w:r>
    </w:p>
    <w:p>
      <w:pPr>
        <w:spacing w:after="80"/>
      </w:pPr>
    </w:p>
    <w:p>
      <w:pPr>
        <w:spacing w:after="80"/>
      </w:pPr>
    </w:p>
    <w:p>
      <w:pPr>
        <w:spacing w:after="80"/>
      </w:pPr>
    </w:p>
    <w:p>
      <w:pPr>
        <w:spacing w:after="80"/>
      </w:pPr>
    </w:p>
    <w:p>
      <w:pPr>
        <w:spacing w:after="80"/>
      </w:pPr>
    </w:p>
    <w:p>
      <w:pPr>
        <w:spacing w:after="80"/>
      </w:pPr>
    </w:p>
    <w:p>
      <w:r>
        <w:br w:type="page"/>
      </w:r>
    </w:p>
    <w:p>
      <w:pPr>
        <w:spacing w:after="60"/>
      </w:pPr>
      <w:r>
        <w:rPr>
          <w:rFonts w:ascii="Arial" w:cs="Arial" w:eastAsia="Arial" w:hAnsi="Arial"/>
          <w:b/>
          <w:bCs/>
          <w:color w:val="1F1F5E"/>
          <w:sz w:val="32"/>
          <w:szCs w:val="32"/>
        </w:rPr>
        <w:t xml:space="preserve">Table of Contents</w:t>
      </w:r>
    </w:p>
    <w:p>
      <w:pPr>
        <w:pBdr>
          <w:bottom w:val="single" w:color="1F1F5E" w:sz="8" w:space="1"/>
        </w:pBdr>
        <w:spacing w:after="200" w:before="0"/>
      </w:pPr>
    </w:p>
    <w:p>
      <w:pPr>
        <w:spacing w:after="100"/>
        <w:ind/>
      </w:pPr>
      <w:r>
        <w:rPr>
          <w:rFonts w:ascii="Arial" w:cs="Arial" w:eastAsia="Arial" w:hAnsi="Arial"/>
          <w:b/>
          <w:bCs/>
          <w:color w:val="1F1F5E"/>
          <w:sz w:val="22"/>
          <w:szCs w:val="22"/>
        </w:rPr>
        <w:t xml:space="preserve">1.</w:t>
      </w:r>
      <w:r>
        <w:rPr>
          <w:rFonts w:ascii="Arial" w:cs="Arial" w:eastAsia="Arial" w:hAnsi="Arial"/>
          <w:b/>
          <w:bCs/>
          <w:color w:val="1F1F5E"/>
          <w:sz w:val="22"/>
          <w:szCs w:val="22"/>
        </w:rPr>
        <w:t xml:space="preserve">	Business Statement</w:t>
      </w:r>
    </w:p>
    <w:p>
      <w:pPr>
        <w:spacing w:after="100"/>
        <w:ind/>
      </w:pPr>
      <w:r>
        <w:rPr>
          <w:rFonts w:ascii="Arial" w:cs="Arial" w:eastAsia="Arial" w:hAnsi="Arial"/>
          <w:b/>
          <w:bCs/>
          <w:color w:val="1F1F5E"/>
          <w:sz w:val="22"/>
          <w:szCs w:val="22"/>
        </w:rPr>
        <w:t xml:space="preserve">2.</w:t>
      </w:r>
      <w:r>
        <w:rPr>
          <w:rFonts w:ascii="Arial" w:cs="Arial" w:eastAsia="Arial" w:hAnsi="Arial"/>
          <w:b/>
          <w:bCs/>
          <w:color w:val="1F1F5E"/>
          <w:sz w:val="22"/>
          <w:szCs w:val="22"/>
        </w:rPr>
        <w:t xml:space="preserve">	Data Overview</w:t>
      </w:r>
    </w:p>
    <w:p>
      <w:pPr>
        <w:spacing w:after="100"/>
        <w:ind/>
      </w:pPr>
      <w:r>
        <w:rPr>
          <w:rFonts w:ascii="Arial" w:cs="Arial" w:eastAsia="Arial" w:hAnsi="Arial"/>
          <w:b/>
          <w:bCs/>
          <w:color w:val="1F1F5E"/>
          <w:sz w:val="22"/>
          <w:szCs w:val="22"/>
        </w:rPr>
        <w:t xml:space="preserve">3.</w:t>
      </w:r>
      <w:r>
        <w:rPr>
          <w:rFonts w:ascii="Arial" w:cs="Arial" w:eastAsia="Arial" w:hAnsi="Arial"/>
          <w:b/>
          <w:bCs/>
          <w:color w:val="1F1F5E"/>
          <w:sz w:val="22"/>
          <w:szCs w:val="22"/>
        </w:rPr>
        <w:t xml:space="preserve">	Data Cleaning &amp; Preparation</w:t>
      </w:r>
    </w:p>
    <w:p>
      <w:pPr>
        <w:spacing w:after="100"/>
        <w:ind/>
      </w:pPr>
      <w:r>
        <w:rPr>
          <w:rFonts w:ascii="Arial" w:cs="Arial" w:eastAsia="Arial" w:hAnsi="Arial"/>
          <w:b/>
          <w:bCs/>
          <w:color w:val="1F1F5E"/>
          <w:sz w:val="22"/>
          <w:szCs w:val="22"/>
        </w:rPr>
        <w:t xml:space="preserve">4.</w:t>
      </w:r>
      <w:r>
        <w:rPr>
          <w:rFonts w:ascii="Arial" w:cs="Arial" w:eastAsia="Arial" w:hAnsi="Arial"/>
          <w:b/>
          <w:bCs/>
          <w:color w:val="1F1F5E"/>
          <w:sz w:val="22"/>
          <w:szCs w:val="22"/>
        </w:rPr>
        <w:t xml:space="preserve">	Exploratory Data Analysis (EDA)</w:t>
      </w:r>
    </w:p>
    <w:p>
      <w:pPr>
        <w:spacing w:after="60"/>
        <w:ind w:left="480"/>
      </w:pPr>
      <w:r>
        <w:rPr>
          <w:rFonts w:ascii="Arial" w:cs="Arial" w:eastAsia="Arial" w:hAnsi="Arial"/>
          <w:b w:val="false"/>
          <w:bCs w:val="false"/>
          <w:color w:val="2c5f8a"/>
          <w:sz w:val="20"/>
          <w:szCs w:val="20"/>
        </w:rPr>
        <w:t xml:space="preserve">    4.1</w:t>
      </w:r>
      <w:r>
        <w:rPr>
          <w:rFonts w:ascii="Arial" w:cs="Arial" w:eastAsia="Arial" w:hAnsi="Arial"/>
          <w:b w:val="false"/>
          <w:bCs w:val="false"/>
          <w:color w:val="2c5f8a"/>
          <w:sz w:val="20"/>
          <w:szCs w:val="20"/>
        </w:rPr>
        <w:t xml:space="preserve">	Value Counts Summary</w:t>
      </w:r>
    </w:p>
    <w:p>
      <w:pPr>
        <w:spacing w:after="100"/>
        <w:ind/>
      </w:pPr>
      <w:r>
        <w:rPr>
          <w:rFonts w:ascii="Arial" w:cs="Arial" w:eastAsia="Arial" w:hAnsi="Arial"/>
          <w:b/>
          <w:bCs/>
          <w:color w:val="1F1F5E"/>
          <w:sz w:val="22"/>
          <w:szCs w:val="22"/>
        </w:rPr>
        <w:t xml:space="preserve">5.</w:t>
      </w:r>
      <w:r>
        <w:rPr>
          <w:rFonts w:ascii="Arial" w:cs="Arial" w:eastAsia="Arial" w:hAnsi="Arial"/>
          <w:b/>
          <w:bCs/>
          <w:color w:val="1F1F5E"/>
          <w:sz w:val="22"/>
          <w:szCs w:val="22"/>
        </w:rPr>
        <w:t xml:space="preserve">	Key Performance Indicators (KPI)</w:t>
      </w:r>
    </w:p>
    <w:p>
      <w:pPr>
        <w:spacing w:after="100"/>
        <w:ind/>
      </w:pPr>
      <w:r>
        <w:rPr>
          <w:rFonts w:ascii="Arial" w:cs="Arial" w:eastAsia="Arial" w:hAnsi="Arial"/>
          <w:b/>
          <w:bCs/>
          <w:color w:val="1F1F5E"/>
          <w:sz w:val="22"/>
          <w:szCs w:val="22"/>
        </w:rPr>
        <w:t xml:space="preserve">6.</w:t>
      </w:r>
      <w:r>
        <w:rPr>
          <w:rFonts w:ascii="Arial" w:cs="Arial" w:eastAsia="Arial" w:hAnsi="Arial"/>
          <w:b/>
          <w:bCs/>
          <w:color w:val="1F1F5E"/>
          <w:sz w:val="22"/>
          <w:szCs w:val="22"/>
        </w:rPr>
        <w:t xml:space="preserve">	Profitability vs Delivery Time</w:t>
      </w:r>
    </w:p>
    <w:p>
      <w:pPr>
        <w:spacing w:after="100"/>
        <w:ind/>
      </w:pPr>
      <w:r>
        <w:rPr>
          <w:rFonts w:ascii="Arial" w:cs="Arial" w:eastAsia="Arial" w:hAnsi="Arial"/>
          <w:b/>
          <w:bCs/>
          <w:color w:val="1F1F5E"/>
          <w:sz w:val="22"/>
          <w:szCs w:val="22"/>
        </w:rPr>
        <w:t xml:space="preserve">7.</w:t>
      </w:r>
      <w:r>
        <w:rPr>
          <w:rFonts w:ascii="Arial" w:cs="Arial" w:eastAsia="Arial" w:hAnsi="Arial"/>
          <w:b/>
          <w:bCs/>
          <w:color w:val="1F1F5E"/>
          <w:sz w:val="22"/>
          <w:szCs w:val="22"/>
        </w:rPr>
        <w:t xml:space="preserve">	Bottleneck Detection</w:t>
      </w:r>
    </w:p>
    <w:p>
      <w:pPr>
        <w:spacing w:after="100"/>
        <w:ind/>
      </w:pPr>
      <w:r>
        <w:rPr>
          <w:rFonts w:ascii="Arial" w:cs="Arial" w:eastAsia="Arial" w:hAnsi="Arial"/>
          <w:b/>
          <w:bCs/>
          <w:color w:val="1F1F5E"/>
          <w:sz w:val="22"/>
          <w:szCs w:val="22"/>
        </w:rPr>
        <w:t xml:space="preserve">8.</w:t>
      </w:r>
      <w:r>
        <w:rPr>
          <w:rFonts w:ascii="Arial" w:cs="Arial" w:eastAsia="Arial" w:hAnsi="Arial"/>
          <w:b/>
          <w:bCs/>
          <w:color w:val="1F1F5E"/>
          <w:sz w:val="22"/>
          <w:szCs w:val="22"/>
        </w:rPr>
        <w:t xml:space="preserve">	Root Cause Analysis</w:t>
      </w:r>
    </w:p>
    <w:p>
      <w:pPr>
        <w:spacing w:after="100"/>
        <w:ind/>
      </w:pPr>
      <w:r>
        <w:rPr>
          <w:rFonts w:ascii="Arial" w:cs="Arial" w:eastAsia="Arial" w:hAnsi="Arial"/>
          <w:b/>
          <w:bCs/>
          <w:color w:val="1F1F5E"/>
          <w:sz w:val="22"/>
          <w:szCs w:val="22"/>
        </w:rPr>
        <w:t xml:space="preserve">9.</w:t>
      </w:r>
      <w:r>
        <w:rPr>
          <w:rFonts w:ascii="Arial" w:cs="Arial" w:eastAsia="Arial" w:hAnsi="Arial"/>
          <w:b/>
          <w:bCs/>
          <w:color w:val="1F1F5E"/>
          <w:sz w:val="22"/>
          <w:szCs w:val="22"/>
        </w:rPr>
        <w:t xml:space="preserve">	Time-Based Analysis</w:t>
      </w:r>
    </w:p>
    <w:p>
      <w:pPr>
        <w:spacing w:after="100"/>
        <w:ind/>
      </w:pPr>
      <w:r>
        <w:rPr>
          <w:rFonts w:ascii="Arial" w:cs="Arial" w:eastAsia="Arial" w:hAnsi="Arial"/>
          <w:b/>
          <w:bCs/>
          <w:color w:val="1F1F5E"/>
          <w:sz w:val="22"/>
          <w:szCs w:val="22"/>
        </w:rPr>
        <w:t xml:space="preserve">10.</w:t>
      </w:r>
      <w:r>
        <w:rPr>
          <w:rFonts w:ascii="Arial" w:cs="Arial" w:eastAsia="Arial" w:hAnsi="Arial"/>
          <w:b/>
          <w:bCs/>
          <w:color w:val="1F1F5E"/>
          <w:sz w:val="22"/>
          <w:szCs w:val="22"/>
        </w:rPr>
        <w:t xml:space="preserve">	Machine Learning Model</w:t>
      </w:r>
    </w:p>
    <w:p>
      <w:pPr>
        <w:spacing w:after="60"/>
        <w:ind w:left="480"/>
      </w:pPr>
      <w:r>
        <w:rPr>
          <w:rFonts w:ascii="Arial" w:cs="Arial" w:eastAsia="Arial" w:hAnsi="Arial"/>
          <w:b w:val="false"/>
          <w:bCs w:val="false"/>
          <w:color w:val="2c5f8a"/>
          <w:sz w:val="20"/>
          <w:szCs w:val="20"/>
        </w:rPr>
        <w:t xml:space="preserve">    10.1</w:t>
      </w:r>
      <w:r>
        <w:rPr>
          <w:rFonts w:ascii="Arial" w:cs="Arial" w:eastAsia="Arial" w:hAnsi="Arial"/>
          <w:b w:val="false"/>
          <w:bCs w:val="false"/>
          <w:color w:val="2c5f8a"/>
          <w:sz w:val="20"/>
          <w:szCs w:val="20"/>
        </w:rPr>
        <w:t xml:space="preserve">	Feature Engineering &amp; Class Balancing</w:t>
      </w:r>
    </w:p>
    <w:p>
      <w:pPr>
        <w:spacing w:after="60"/>
        <w:ind w:left="480"/>
      </w:pPr>
      <w:r>
        <w:rPr>
          <w:rFonts w:ascii="Arial" w:cs="Arial" w:eastAsia="Arial" w:hAnsi="Arial"/>
          <w:b w:val="false"/>
          <w:bCs w:val="false"/>
          <w:color w:val="2c5f8a"/>
          <w:sz w:val="20"/>
          <w:szCs w:val="20"/>
        </w:rPr>
        <w:t xml:space="preserve">    10.2</w:t>
      </w:r>
      <w:r>
        <w:rPr>
          <w:rFonts w:ascii="Arial" w:cs="Arial" w:eastAsia="Arial" w:hAnsi="Arial"/>
          <w:b w:val="false"/>
          <w:bCs w:val="false"/>
          <w:color w:val="2c5f8a"/>
          <w:sz w:val="20"/>
          <w:szCs w:val="20"/>
        </w:rPr>
        <w:t xml:space="preserve">	Model Performance Results</w:t>
      </w:r>
    </w:p>
    <w:p>
      <w:pPr>
        <w:spacing w:after="100"/>
        <w:ind/>
      </w:pPr>
      <w:r>
        <w:rPr>
          <w:rFonts w:ascii="Arial" w:cs="Arial" w:eastAsia="Arial" w:hAnsi="Arial"/>
          <w:b/>
          <w:bCs/>
          <w:color w:val="1F1F5E"/>
          <w:sz w:val="22"/>
          <w:szCs w:val="22"/>
        </w:rPr>
        <w:t xml:space="preserve">11.</w:t>
      </w:r>
      <w:r>
        <w:rPr>
          <w:rFonts w:ascii="Arial" w:cs="Arial" w:eastAsia="Arial" w:hAnsi="Arial"/>
          <w:b/>
          <w:bCs/>
          <w:color w:val="1F1F5E"/>
          <w:sz w:val="22"/>
          <w:szCs w:val="22"/>
        </w:rPr>
        <w:t xml:space="preserve">	Key Findings &amp; Recommendations</w:t>
      </w:r>
    </w:p>
    <w:p>
      <w:r>
        <w:br w:type="page"/>
      </w:r>
    </w:p>
    <w:p>
      <w:pPr>
        <w:pStyle w:val="Heading1"/>
        <w:spacing w:after="100" w:before="440"/>
      </w:pPr>
      <w:r>
        <w:rPr>
          <w:rFonts w:ascii="Arial" w:cs="Arial" w:eastAsia="Arial" w:hAnsi="Arial"/>
          <w:b/>
          <w:bCs/>
          <w:color w:val="1F1F5E"/>
          <w:sz w:val="34"/>
          <w:szCs w:val="34"/>
        </w:rPr>
        <w:t xml:space="preserve">1. Business Statement</w:t>
      </w:r>
    </w:p>
    <w:p>
      <w:pPr>
        <w:pBdr>
          <w:bottom w:val="single" w:color="2c5f8a" w:sz="8" w:space="1"/>
        </w:pBdr>
        <w:spacing w:after="200" w:before="0"/>
      </w:pPr>
    </w:p>
    <w:p>
      <w:pPr>
        <w:spacing w:after="160" w:line="288"/>
      </w:pPr>
      <w:r>
        <w:rPr>
          <w:rFonts w:ascii="Arial" w:cs="Arial" w:eastAsia="Arial" w:hAnsi="Arial"/>
          <w:color w:val="2b2b2b"/>
          <w:sz w:val="22"/>
          <w:szCs w:val="22"/>
        </w:rPr>
        <w:t xml:space="preserve">A global e-commerce company operating across multiple regions manages end-to-end order fulfillment — covering shipping and delivery of products such as sporting goods. The company has been experiencing inconsistent delivery performance, where actual shipping times frequently deviate from scheduled timelines. This leads to late deliveries, dissatisfied customers, and unpredictable order profitability.</w:t>
      </w:r>
    </w:p>
    <w:p>
      <w:pPr>
        <w:spacing w:after="160" w:line="288"/>
      </w:pPr>
      <w:r>
        <w:rPr>
          <w:rFonts w:ascii="Arial" w:cs="Arial" w:eastAsia="Arial" w:hAnsi="Arial"/>
          <w:color w:val="2b2b2b"/>
          <w:sz w:val="22"/>
          <w:szCs w:val="22"/>
        </w:rPr>
        <w:t xml:space="preserve"/>
      </w:r>
    </w:p>
    <w:p>
      <w:pPr>
        <w:pStyle w:val="Heading2"/>
        <w:spacing w:after="100" w:before="300"/>
      </w:pPr>
      <w:r>
        <w:rPr>
          <w:rFonts w:ascii="Arial" w:cs="Arial" w:eastAsia="Arial" w:hAnsi="Arial"/>
          <w:b/>
          <w:bCs/>
          <w:color w:val="2c5f8a"/>
          <w:sz w:val="26"/>
          <w:szCs w:val="26"/>
        </w:rPr>
        <w:t xml:space="preserve">Desired Outcome</w:t>
      </w:r>
    </w:p>
    <w:p>
      <w:pPr>
        <w:spacing w:after="160" w:line="288"/>
      </w:pPr>
      <w:r>
        <w:rPr>
          <w:rFonts w:ascii="Arial" w:cs="Arial" w:eastAsia="Arial" w:hAnsi="Arial"/>
          <w:color w:val="2b2b2b"/>
          <w:sz w:val="22"/>
          <w:szCs w:val="22"/>
        </w:rPr>
        <w:t xml:space="preserve">The goal is to analyze delivery operations in depth, identify bottlenecks, and build a predictive system to reduce delays, optimize shipping decisions, and improve overall profitability and efficiency across all markets.</w:t>
      </w:r>
    </w:p>
    <w:p>
      <w:pPr>
        <w:pStyle w:val="Heading1"/>
        <w:spacing w:after="100" w:before="440"/>
      </w:pPr>
      <w:r>
        <w:rPr>
          <w:rFonts w:ascii="Arial" w:cs="Arial" w:eastAsia="Arial" w:hAnsi="Arial"/>
          <w:b/>
          <w:bCs/>
          <w:color w:val="1F1F5E"/>
          <w:sz w:val="34"/>
          <w:szCs w:val="34"/>
        </w:rPr>
        <w:t xml:space="preserve">2. Data Overview</w:t>
      </w:r>
    </w:p>
    <w:p>
      <w:pPr>
        <w:pBdr>
          <w:bottom w:val="single" w:color="2c5f8a" w:sz="8" w:space="1"/>
        </w:pBdr>
        <w:spacing w:after="200" w:before="0"/>
      </w:pPr>
    </w:p>
    <w:p>
      <w:pPr>
        <w:spacing w:after="160" w:line="288"/>
      </w:pPr>
      <w:r>
        <w:rPr>
          <w:rFonts w:ascii="Arial" w:cs="Arial" w:eastAsia="Arial" w:hAnsi="Arial"/>
          <w:color w:val="2b2b2b"/>
          <w:sz w:val="22"/>
          <w:szCs w:val="22"/>
        </w:rPr>
        <w:t xml:space="preserve">The dataset — DataCo Supply Chain Dataset — is a comprehensive record of global e-commerce orders. In its raw form it contained 180,519 rows and 53 columns, capturing order details, customer information, product data, shipping timelines, and financial metrics.</w:t>
      </w:r>
    </w:p>
    <w:p>
      <w:pPr>
        <w:spacing w:after="160" w:line="288"/>
      </w:pPr>
      <w:r>
        <w:rPr>
          <w:rFonts w:ascii="Arial" w:cs="Arial" w:eastAsia="Arial" w:hAnsi="Arial"/>
          <w:color w:val="2b2b2b"/>
          <w:sz w:val="22"/>
          <w:szCs w:val="22"/>
        </w:rPr>
        <w:t xml:space="preserve">Key columns include: payment type (Debit, Transfer, Payment, Cash), actual and scheduled shipping days, delivery status, late delivery risk, customer segment, market region, shipping mode, profit per order, product name and price, and order/shipping timestamps. The data spans multiple years across five global markets: LATAM, Europe, Pacific Asia, USCA, and Africa.</w:t>
      </w:r>
    </w:p>
    <w:p>
      <w:pPr>
        <w:pStyle w:val="Heading1"/>
        <w:spacing w:after="100" w:before="440"/>
      </w:pPr>
      <w:r>
        <w:rPr>
          <w:rFonts w:ascii="Arial" w:cs="Arial" w:eastAsia="Arial" w:hAnsi="Arial"/>
          <w:b/>
          <w:bCs/>
          <w:color w:val="1F1F5E"/>
          <w:sz w:val="34"/>
          <w:szCs w:val="34"/>
        </w:rPr>
        <w:t xml:space="preserve">3. Data Cleaning &amp; Preparation</w:t>
      </w:r>
    </w:p>
    <w:p>
      <w:pPr>
        <w:pBdr>
          <w:bottom w:val="single" w:color="2c5f8a" w:sz="8" w:space="1"/>
        </w:pBdr>
        <w:spacing w:after="200" w:before="0"/>
      </w:pPr>
    </w:p>
    <w:p>
      <w:pPr>
        <w:spacing w:after="160" w:line="288"/>
      </w:pPr>
      <w:r>
        <w:rPr>
          <w:rFonts w:ascii="Arial" w:cs="Arial" w:eastAsia="Arial" w:hAnsi="Arial"/>
          <w:color w:val="2b2b2b"/>
          <w:sz w:val="22"/>
          <w:szCs w:val="22"/>
        </w:rPr>
        <w:t xml:space="preserve">Before analysis, the raw dataset went through thorough cleaning to remove irrelevant, redundant, or sensitive information. A total of 22 columns were removed:</w:t>
      </w:r>
    </w:p>
    <w:p>
      <w:pPr>
        <w:pStyle w:val="ListParagraph"/>
        <w:numPr>
          <w:ilvl w:val="0"/>
          <w:numId w:val="2"/>
        </w:numPr>
        <w:spacing w:after="120"/>
      </w:pPr>
      <w:r>
        <w:rPr>
          <w:rFonts w:ascii="Arial" w:cs="Arial" w:eastAsia="Arial" w:hAnsi="Arial"/>
          <w:color w:val="2b2b2b"/>
          <w:sz w:val="22"/>
          <w:szCs w:val="22"/>
        </w:rPr>
        <w:t xml:space="preserve">Customer PII — name, email, password, address, customer ID (privacy + irrelevant to delivery analysis).</w:t>
      </w:r>
    </w:p>
    <w:p>
      <w:pPr>
        <w:pStyle w:val="ListParagraph"/>
        <w:numPr>
          <w:ilvl w:val="0"/>
          <w:numId w:val="2"/>
        </w:numPr>
        <w:spacing w:after="120"/>
      </w:pPr>
      <w:r>
        <w:rPr>
          <w:rFonts w:ascii="Arial" w:cs="Arial" w:eastAsia="Arial" w:hAnsi="Arial"/>
          <w:color w:val="2b2b2b"/>
          <w:sz w:val="22"/>
          <w:szCs w:val="22"/>
        </w:rPr>
        <w:t xml:space="preserve">Geographic coordinates (Latitude, Longitude) — already captured via Market and Order Region fields.</w:t>
      </w:r>
    </w:p>
    <w:p>
      <w:pPr>
        <w:pStyle w:val="ListParagraph"/>
        <w:numPr>
          <w:ilvl w:val="0"/>
          <w:numId w:val="2"/>
        </w:numPr>
        <w:spacing w:after="120"/>
      </w:pPr>
      <w:r>
        <w:rPr>
          <w:rFonts w:ascii="Arial" w:cs="Arial" w:eastAsia="Arial" w:hAnsi="Arial"/>
          <w:color w:val="2b2b2b"/>
          <w:sz w:val="22"/>
          <w:szCs w:val="22"/>
        </w:rPr>
        <w:t xml:space="preserve">Product Image, Description, and Status — no value for time or profitability analysis.</w:t>
      </w:r>
    </w:p>
    <w:p>
      <w:pPr>
        <w:pStyle w:val="ListParagraph"/>
        <w:numPr>
          <w:ilvl w:val="0"/>
          <w:numId w:val="2"/>
        </w:numPr>
        <w:spacing w:after="120"/>
      </w:pPr>
      <w:r>
        <w:rPr>
          <w:rFonts w:ascii="Arial" w:cs="Arial" w:eastAsia="Arial" w:hAnsi="Arial"/>
          <w:color w:val="2b2b2b"/>
          <w:sz w:val="22"/>
          <w:szCs w:val="22"/>
        </w:rPr>
        <w:t xml:space="preserve">Redundant transaction IDs — Order Item ID and Order Item Card Product ID.</w:t>
      </w:r>
    </w:p>
    <w:p>
      <w:pPr>
        <w:pStyle w:val="ListParagraph"/>
        <w:numPr>
          <w:ilvl w:val="0"/>
          <w:numId w:val="2"/>
        </w:numPr>
        <w:spacing w:after="120"/>
      </w:pPr>
      <w:r>
        <w:rPr>
          <w:rFonts w:ascii="Arial" w:cs="Arial" w:eastAsia="Arial" w:hAnsi="Arial"/>
          <w:color w:val="2b2b2b"/>
          <w:sz w:val="22"/>
          <w:szCs w:val="22"/>
        </w:rPr>
        <w:t xml:space="preserve">Financial discount columns — Discount, Discount Rate, Profit Ratio, and Sales.</w:t>
      </w:r>
    </w:p>
    <w:p>
      <w:pPr>
        <w:pStyle w:val="ListParagraph"/>
        <w:numPr>
          <w:ilvl w:val="0"/>
          <w:numId w:val="2"/>
        </w:numPr>
        <w:spacing w:after="120"/>
      </w:pPr>
      <w:r>
        <w:rPr>
          <w:rFonts w:ascii="Arial" w:cs="Arial" w:eastAsia="Arial" w:hAnsi="Arial"/>
          <w:color w:val="2b2b2b"/>
          <w:sz w:val="22"/>
          <w:szCs w:val="22"/>
        </w:rPr>
        <w:t xml:space="preserve">All orders with "Shipping Canceled" status were removed — canceled orders do not reflect delivery performance.</w:t>
      </w:r>
    </w:p>
    <w:p>
      <w:pPr>
        <w:spacing w:after="160" w:line="288"/>
      </w:pPr>
      <w:r>
        <w:rPr>
          <w:rFonts w:ascii="Arial" w:cs="Arial" w:eastAsia="Arial" w:hAnsi="Arial"/>
          <w:color w:val="2b2b2b"/>
          <w:sz w:val="22"/>
          <w:szCs w:val="22"/>
        </w:rPr>
        <w:t xml:space="preserve">After cleaning: 172,765 rows and 25 columns remained. Date columns were converted to proper datetime format. Zero duplicate records were found.</w:t>
      </w:r>
    </w:p>
    <w:p>
      <w:pPr>
        <w:pStyle w:val="Heading1"/>
        <w:spacing w:after="100" w:before="440"/>
      </w:pPr>
      <w:r>
        <w:rPr>
          <w:rFonts w:ascii="Arial" w:cs="Arial" w:eastAsia="Arial" w:hAnsi="Arial"/>
          <w:b/>
          <w:bCs/>
          <w:color w:val="1F1F5E"/>
          <w:sz w:val="34"/>
          <w:szCs w:val="34"/>
        </w:rPr>
        <w:t xml:space="preserve">4. Exploratory Data Analysis (EDA)</w:t>
      </w:r>
    </w:p>
    <w:p>
      <w:pPr>
        <w:pBdr>
          <w:bottom w:val="single" w:color="2c5f8a" w:sz="8" w:space="1"/>
        </w:pBdr>
        <w:spacing w:after="200" w:before="0"/>
      </w:pPr>
    </w:p>
    <w:p>
      <w:pPr>
        <w:spacing w:after="160" w:line="288"/>
      </w:pPr>
      <w:r>
        <w:rPr>
          <w:rFonts w:ascii="Arial" w:cs="Arial" w:eastAsia="Arial" w:hAnsi="Arial"/>
          <w:color w:val="2b2b2b"/>
          <w:sz w:val="22"/>
          <w:szCs w:val="22"/>
        </w:rPr>
        <w:t xml:space="preserve">The EDA phase examined the distribution of key variables to understand patterns across markets, segments, and shipping modes, and to identify the root causes of delivery delays.</w:t>
      </w:r>
    </w:p>
    <w:p>
      <w:pPr>
        <w:spacing w:after="160" w:line="288"/>
      </w:pPr>
      <w:r>
        <w:rPr>
          <w:rFonts w:ascii="Arial" w:cs="Arial" w:eastAsia="Arial" w:hAnsi="Arial"/>
          <w:color w:val="2b2b2b"/>
          <w:sz w:val="22"/>
          <w:szCs w:val="22"/>
        </w:rPr>
        <w:t xml:space="preserve"/>
      </w:r>
    </w:p>
    <w:p>
      <w:pPr>
        <w:pStyle w:val="Heading2"/>
        <w:spacing w:after="100" w:before="300"/>
      </w:pPr>
      <w:r>
        <w:rPr>
          <w:rFonts w:ascii="Arial" w:cs="Arial" w:eastAsia="Arial" w:hAnsi="Arial"/>
          <w:b/>
          <w:bCs/>
          <w:color w:val="2c5f8a"/>
          <w:sz w:val="26"/>
          <w:szCs w:val="26"/>
        </w:rPr>
        <w:t xml:space="preserve">4.1 Value Counts Summary</w:t>
      </w:r>
    </w:p>
    <w:p>
      <w:pPr>
        <w:spacing w:after="160" w:line="288"/>
      </w:pPr>
      <w:r>
        <w:rPr>
          <w:rFonts w:ascii="Arial" w:cs="Arial" w:eastAsia="Arial" w:hAnsi="Arial"/>
          <w:color w:val="2b2b2b"/>
          <w:sz w:val="22"/>
          <w:szCs w:val="22"/>
        </w:rPr>
        <w:t xml:space="preserve">Below is a summary of categorical column distributions extracted directly from the dataset:</w:t>
      </w:r>
    </w:p>
    <w:p>
      <w:pPr>
        <w:spacing w:after="160" w:line="288"/>
      </w:pPr>
      <w:r>
        <w:rPr>
          <w:rFonts w:ascii="Arial" w:cs="Arial" w:eastAsia="Arial" w:hAnsi="Arial"/>
          <w:color w:val="2b2b2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DDDDDD" w:sz="1"/>
              <w:left w:val="single" w:color="DDDDDD" w:sz="1"/>
              <w:bottom w:val="single" w:color="DDDDDD" w:sz="1"/>
              <w:right w:val="single" w:color="DDDDDD" w:sz="1"/>
            </w:tcBorders>
            <w:shd w:fill="1F1F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Column</w:t>
            </w:r>
          </w:p>
        </w:tc>
        <w:tc>
          <w:tcPr>
            <w:tcW w:type="dxa" w:w="3000"/>
            <w:tcBorders>
              <w:top w:val="single" w:color="DDDDDD" w:sz="1"/>
              <w:left w:val="single" w:color="DDDDDD" w:sz="1"/>
              <w:bottom w:val="single" w:color="DDDDDD" w:sz="1"/>
              <w:right w:val="single" w:color="DDDDDD" w:sz="1"/>
            </w:tcBorders>
            <w:shd w:fill="1F1F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Category</w:t>
            </w:r>
          </w:p>
        </w:tc>
        <w:tc>
          <w:tcPr>
            <w:tcW w:type="dxa" w:w="3360"/>
            <w:tcBorders>
              <w:top w:val="single" w:color="DDDDDD" w:sz="1"/>
              <w:left w:val="single" w:color="DDDDDD" w:sz="1"/>
              <w:bottom w:val="single" w:color="DDDDDD" w:sz="1"/>
              <w:right w:val="single" w:color="DDDDDD" w:sz="1"/>
            </w:tcBorders>
            <w:shd w:fill="1F1F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Count</w:t>
            </w:r>
          </w:p>
        </w:tc>
      </w:tr>
      <w:tr>
        <w:tc>
          <w:tcPr>
            <w:tcW w:type="dxa" w:w="30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pPr>
              <w:jc w:val="left"/>
            </w:pPr>
            <w:r>
              <w:rPr>
                <w:rFonts w:ascii="Arial" w:cs="Arial" w:eastAsia="Arial" w:hAnsi="Arial"/>
                <w:color w:val="2b2b2b"/>
                <w:sz w:val="20"/>
                <w:szCs w:val="20"/>
              </w:rPr>
              <w:t xml:space="preserve">Payment Type</w:t>
            </w:r>
          </w:p>
        </w:tc>
        <w:tc>
          <w:tcPr>
            <w:tcW w:type="dxa" w:w="30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pPr>
              <w:jc w:val="center"/>
            </w:pPr>
            <w:r>
              <w:rPr>
                <w:rFonts w:ascii="Arial" w:cs="Arial" w:eastAsia="Arial" w:hAnsi="Arial"/>
                <w:color w:val="2b2b2b"/>
                <w:sz w:val="20"/>
                <w:szCs w:val="20"/>
              </w:rPr>
              <w:t xml:space="preserve">DEBIT</w:t>
            </w:r>
          </w:p>
        </w:tc>
        <w:tc>
          <w:tcPr>
            <w:tcW w:type="dxa" w:w="336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pPr>
              <w:jc w:val="center"/>
            </w:pPr>
            <w:r>
              <w:rPr>
                <w:rFonts w:ascii="Arial" w:cs="Arial" w:eastAsia="Arial" w:hAnsi="Arial"/>
                <w:color w:val="2b2b2b"/>
                <w:sz w:val="20"/>
                <w:szCs w:val="20"/>
              </w:rPr>
              <w:t xml:space="preserve">69,295</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2b2b2b"/>
                <w:sz w:val="20"/>
                <w:szCs w:val="20"/>
              </w:rPr>
              <w:t xml:space="preserve"/>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b2b2b"/>
                <w:sz w:val="20"/>
                <w:szCs w:val="20"/>
              </w:rPr>
              <w:t xml:space="preserve">TRANSFER</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b2b2b"/>
                <w:sz w:val="20"/>
                <w:szCs w:val="20"/>
              </w:rPr>
              <w:t xml:space="preserve">42,129</w:t>
            </w:r>
          </w:p>
        </w:tc>
      </w:tr>
      <w:tr>
        <w:tc>
          <w:tcPr>
            <w:tcW w:type="dxa" w:w="30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pPr>
              <w:jc w:val="left"/>
            </w:pPr>
            <w:r>
              <w:rPr>
                <w:rFonts w:ascii="Arial" w:cs="Arial" w:eastAsia="Arial" w:hAnsi="Arial"/>
                <w:color w:val="2b2b2b"/>
                <w:sz w:val="20"/>
                <w:szCs w:val="20"/>
              </w:rPr>
              <w:t xml:space="preserve"/>
            </w:r>
          </w:p>
        </w:tc>
        <w:tc>
          <w:tcPr>
            <w:tcW w:type="dxa" w:w="30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pPr>
              <w:jc w:val="center"/>
            </w:pPr>
            <w:r>
              <w:rPr>
                <w:rFonts w:ascii="Arial" w:cs="Arial" w:eastAsia="Arial" w:hAnsi="Arial"/>
                <w:color w:val="2b2b2b"/>
                <w:sz w:val="20"/>
                <w:szCs w:val="20"/>
              </w:rPr>
              <w:t xml:space="preserve">PAYMENT</w:t>
            </w:r>
          </w:p>
        </w:tc>
        <w:tc>
          <w:tcPr>
            <w:tcW w:type="dxa" w:w="336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pPr>
              <w:jc w:val="center"/>
            </w:pPr>
            <w:r>
              <w:rPr>
                <w:rFonts w:ascii="Arial" w:cs="Arial" w:eastAsia="Arial" w:hAnsi="Arial"/>
                <w:color w:val="2b2b2b"/>
                <w:sz w:val="20"/>
                <w:szCs w:val="20"/>
              </w:rPr>
              <w:t xml:space="preserve">41,725</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2b2b2b"/>
                <w:sz w:val="20"/>
                <w:szCs w:val="20"/>
              </w:rPr>
              <w:t xml:space="preserve"/>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b2b2b"/>
                <w:sz w:val="20"/>
                <w:szCs w:val="20"/>
              </w:rPr>
              <w:t xml:space="preserve">CASH</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b2b2b"/>
                <w:sz w:val="20"/>
                <w:szCs w:val="20"/>
              </w:rPr>
              <w:t xml:space="preserve">19,616</w:t>
            </w:r>
          </w:p>
        </w:tc>
      </w:tr>
      <w:tr>
        <w:tc>
          <w:tcPr>
            <w:tcW w:type="dxa" w:w="30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pPr>
              <w:jc w:val="left"/>
            </w:pPr>
            <w:r>
              <w:rPr>
                <w:rFonts w:ascii="Arial" w:cs="Arial" w:eastAsia="Arial" w:hAnsi="Arial"/>
                <w:color w:val="2b2b2b"/>
                <w:sz w:val="20"/>
                <w:szCs w:val="20"/>
              </w:rPr>
              <w:t xml:space="preserve">Delivery Status</w:t>
            </w:r>
          </w:p>
        </w:tc>
        <w:tc>
          <w:tcPr>
            <w:tcW w:type="dxa" w:w="30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pPr>
              <w:jc w:val="center"/>
            </w:pPr>
            <w:r>
              <w:rPr>
                <w:rFonts w:ascii="Arial" w:cs="Arial" w:eastAsia="Arial" w:hAnsi="Arial"/>
                <w:color w:val="2b2b2b"/>
                <w:sz w:val="20"/>
                <w:szCs w:val="20"/>
              </w:rPr>
              <w:t xml:space="preserve">Late Delivery</w:t>
            </w:r>
          </w:p>
        </w:tc>
        <w:tc>
          <w:tcPr>
            <w:tcW w:type="dxa" w:w="336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pPr>
              <w:jc w:val="center"/>
            </w:pPr>
            <w:r>
              <w:rPr>
                <w:rFonts w:ascii="Arial" w:cs="Arial" w:eastAsia="Arial" w:hAnsi="Arial"/>
                <w:color w:val="2b2b2b"/>
                <w:sz w:val="20"/>
                <w:szCs w:val="20"/>
              </w:rPr>
              <w:t xml:space="preserve">98,977</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2b2b2b"/>
                <w:sz w:val="20"/>
                <w:szCs w:val="20"/>
              </w:rPr>
              <w:t xml:space="preserve"/>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b2b2b"/>
                <w:sz w:val="20"/>
                <w:szCs w:val="20"/>
              </w:rPr>
              <w:t xml:space="preserve">Advance Shipping</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b2b2b"/>
                <w:sz w:val="20"/>
                <w:szCs w:val="20"/>
              </w:rPr>
              <w:t xml:space="preserve">41,592</w:t>
            </w:r>
          </w:p>
        </w:tc>
      </w:tr>
      <w:tr>
        <w:tc>
          <w:tcPr>
            <w:tcW w:type="dxa" w:w="30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pPr>
              <w:jc w:val="left"/>
            </w:pPr>
            <w:r>
              <w:rPr>
                <w:rFonts w:ascii="Arial" w:cs="Arial" w:eastAsia="Arial" w:hAnsi="Arial"/>
                <w:color w:val="2b2b2b"/>
                <w:sz w:val="20"/>
                <w:szCs w:val="20"/>
              </w:rPr>
              <w:t xml:space="preserve"/>
            </w:r>
          </w:p>
        </w:tc>
        <w:tc>
          <w:tcPr>
            <w:tcW w:type="dxa" w:w="30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pPr>
              <w:jc w:val="center"/>
            </w:pPr>
            <w:r>
              <w:rPr>
                <w:rFonts w:ascii="Arial" w:cs="Arial" w:eastAsia="Arial" w:hAnsi="Arial"/>
                <w:color w:val="2b2b2b"/>
                <w:sz w:val="20"/>
                <w:szCs w:val="20"/>
              </w:rPr>
              <w:t xml:space="preserve">Shipping On Time</w:t>
            </w:r>
          </w:p>
        </w:tc>
        <w:tc>
          <w:tcPr>
            <w:tcW w:type="dxa" w:w="336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pPr>
              <w:jc w:val="center"/>
            </w:pPr>
            <w:r>
              <w:rPr>
                <w:rFonts w:ascii="Arial" w:cs="Arial" w:eastAsia="Arial" w:hAnsi="Arial"/>
                <w:color w:val="2b2b2b"/>
                <w:sz w:val="20"/>
                <w:szCs w:val="20"/>
              </w:rPr>
              <w:t xml:space="preserve">32,196</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2b2b2b"/>
                <w:sz w:val="20"/>
                <w:szCs w:val="20"/>
              </w:rPr>
              <w:t xml:space="preserve">Shipping Mode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b2b2b"/>
                <w:sz w:val="20"/>
                <w:szCs w:val="20"/>
              </w:rPr>
              <w:t xml:space="preserve">Standard Class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b2b2b"/>
                <w:sz w:val="20"/>
                <w:szCs w:val="20"/>
              </w:rPr>
              <w:t xml:space="preserve">103,153</w:t>
            </w:r>
          </w:p>
        </w:tc>
      </w:tr>
      <w:tr>
        <w:tc>
          <w:tcPr>
            <w:tcW w:type="dxa" w:w="30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pPr>
              <w:jc w:val="left"/>
            </w:pPr>
            <w:r>
              <w:rPr>
                <w:rFonts w:ascii="Arial" w:cs="Arial" w:eastAsia="Arial" w:hAnsi="Arial"/>
                <w:color w:val="2b2b2b"/>
                <w:sz w:val="20"/>
                <w:szCs w:val="20"/>
              </w:rPr>
              <w:t xml:space="preserve"/>
            </w:r>
          </w:p>
        </w:tc>
        <w:tc>
          <w:tcPr>
            <w:tcW w:type="dxa" w:w="30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pPr>
              <w:jc w:val="center"/>
            </w:pPr>
            <w:r>
              <w:rPr>
                <w:rFonts w:ascii="Arial" w:cs="Arial" w:eastAsia="Arial" w:hAnsi="Arial"/>
                <w:color w:val="2b2b2b"/>
                <w:sz w:val="20"/>
                <w:szCs w:val="20"/>
              </w:rPr>
              <w:t xml:space="preserve">Second Class</w:t>
            </w:r>
          </w:p>
        </w:tc>
        <w:tc>
          <w:tcPr>
            <w:tcW w:type="dxa" w:w="336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pPr>
              <w:jc w:val="center"/>
            </w:pPr>
            <w:r>
              <w:rPr>
                <w:rFonts w:ascii="Arial" w:cs="Arial" w:eastAsia="Arial" w:hAnsi="Arial"/>
                <w:color w:val="2b2b2b"/>
                <w:sz w:val="20"/>
                <w:szCs w:val="20"/>
              </w:rPr>
              <w:t xml:space="preserve">33,806</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2b2b2b"/>
                <w:sz w:val="20"/>
                <w:szCs w:val="20"/>
              </w:rPr>
              <w:t xml:space="preserve"/>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b2b2b"/>
                <w:sz w:val="20"/>
                <w:szCs w:val="20"/>
              </w:rPr>
              <w:t xml:space="preserve">First Class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b2b2b"/>
                <w:sz w:val="20"/>
                <w:szCs w:val="20"/>
              </w:rPr>
              <w:t xml:space="preserve">26,513</w:t>
            </w:r>
          </w:p>
        </w:tc>
      </w:tr>
      <w:tr>
        <w:tc>
          <w:tcPr>
            <w:tcW w:type="dxa" w:w="30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pPr>
              <w:jc w:val="left"/>
            </w:pPr>
            <w:r>
              <w:rPr>
                <w:rFonts w:ascii="Arial" w:cs="Arial" w:eastAsia="Arial" w:hAnsi="Arial"/>
                <w:color w:val="2b2b2b"/>
                <w:sz w:val="20"/>
                <w:szCs w:val="20"/>
              </w:rPr>
              <w:t xml:space="preserve"/>
            </w:r>
          </w:p>
        </w:tc>
        <w:tc>
          <w:tcPr>
            <w:tcW w:type="dxa" w:w="30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pPr>
              <w:jc w:val="center"/>
            </w:pPr>
            <w:r>
              <w:rPr>
                <w:rFonts w:ascii="Arial" w:cs="Arial" w:eastAsia="Arial" w:hAnsi="Arial"/>
                <w:color w:val="2b2b2b"/>
                <w:sz w:val="20"/>
                <w:szCs w:val="20"/>
              </w:rPr>
              <w:t xml:space="preserve">Same Day</w:t>
            </w:r>
          </w:p>
        </w:tc>
        <w:tc>
          <w:tcPr>
            <w:tcW w:type="dxa" w:w="336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pPr>
              <w:jc w:val="center"/>
            </w:pPr>
            <w:r>
              <w:rPr>
                <w:rFonts w:ascii="Arial" w:cs="Arial" w:eastAsia="Arial" w:hAnsi="Arial"/>
                <w:color w:val="2b2b2b"/>
                <w:sz w:val="20"/>
                <w:szCs w:val="20"/>
              </w:rPr>
              <w:t xml:space="preserve">9,293</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2b2b2b"/>
                <w:sz w:val="20"/>
                <w:szCs w:val="20"/>
              </w:rPr>
              <w:t xml:space="preserve">Market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b2b2b"/>
                <w:sz w:val="20"/>
                <w:szCs w:val="20"/>
              </w:rPr>
              <w:t xml:space="preserve">LATAM</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b2b2b"/>
                <w:sz w:val="20"/>
                <w:szCs w:val="20"/>
              </w:rPr>
              <w:t xml:space="preserve">49,309</w:t>
            </w:r>
          </w:p>
        </w:tc>
      </w:tr>
      <w:tr>
        <w:tc>
          <w:tcPr>
            <w:tcW w:type="dxa" w:w="30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pPr>
              <w:jc w:val="left"/>
            </w:pPr>
            <w:r>
              <w:rPr>
                <w:rFonts w:ascii="Arial" w:cs="Arial" w:eastAsia="Arial" w:hAnsi="Arial"/>
                <w:color w:val="2b2b2b"/>
                <w:sz w:val="20"/>
                <w:szCs w:val="20"/>
              </w:rPr>
              <w:t xml:space="preserve"/>
            </w:r>
          </w:p>
        </w:tc>
        <w:tc>
          <w:tcPr>
            <w:tcW w:type="dxa" w:w="30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pPr>
              <w:jc w:val="center"/>
            </w:pPr>
            <w:r>
              <w:rPr>
                <w:rFonts w:ascii="Arial" w:cs="Arial" w:eastAsia="Arial" w:hAnsi="Arial"/>
                <w:color w:val="2b2b2b"/>
                <w:sz w:val="20"/>
                <w:szCs w:val="20"/>
              </w:rPr>
              <w:t xml:space="preserve">Europe</w:t>
            </w:r>
          </w:p>
        </w:tc>
        <w:tc>
          <w:tcPr>
            <w:tcW w:type="dxa" w:w="336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pPr>
              <w:jc w:val="center"/>
            </w:pPr>
            <w:r>
              <w:rPr>
                <w:rFonts w:ascii="Arial" w:cs="Arial" w:eastAsia="Arial" w:hAnsi="Arial"/>
                <w:color w:val="2b2b2b"/>
                <w:sz w:val="20"/>
                <w:szCs w:val="20"/>
              </w:rPr>
              <w:t xml:space="preserve">48,090</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2b2b2b"/>
                <w:sz w:val="20"/>
                <w:szCs w:val="20"/>
              </w:rPr>
              <w:t xml:space="preserve"/>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b2b2b"/>
                <w:sz w:val="20"/>
                <w:szCs w:val="20"/>
              </w:rPr>
              <w:t xml:space="preserve">Pacific Asia</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b2b2b"/>
                <w:sz w:val="20"/>
                <w:szCs w:val="20"/>
              </w:rPr>
              <w:t xml:space="preserve">39,585</w:t>
            </w:r>
          </w:p>
        </w:tc>
      </w:tr>
      <w:tr>
        <w:tc>
          <w:tcPr>
            <w:tcW w:type="dxa" w:w="30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pPr>
              <w:jc w:val="left"/>
            </w:pPr>
            <w:r>
              <w:rPr>
                <w:rFonts w:ascii="Arial" w:cs="Arial" w:eastAsia="Arial" w:hAnsi="Arial"/>
                <w:color w:val="2b2b2b"/>
                <w:sz w:val="20"/>
                <w:szCs w:val="20"/>
              </w:rPr>
              <w:t xml:space="preserve"/>
            </w:r>
          </w:p>
        </w:tc>
        <w:tc>
          <w:tcPr>
            <w:tcW w:type="dxa" w:w="30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pPr>
              <w:jc w:val="center"/>
            </w:pPr>
            <w:r>
              <w:rPr>
                <w:rFonts w:ascii="Arial" w:cs="Arial" w:eastAsia="Arial" w:hAnsi="Arial"/>
                <w:color w:val="2b2b2b"/>
                <w:sz w:val="20"/>
                <w:szCs w:val="20"/>
              </w:rPr>
              <w:t xml:space="preserve">USCA</w:t>
            </w:r>
          </w:p>
        </w:tc>
        <w:tc>
          <w:tcPr>
            <w:tcW w:type="dxa" w:w="336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pPr>
              <w:jc w:val="center"/>
            </w:pPr>
            <w:r>
              <w:rPr>
                <w:rFonts w:ascii="Arial" w:cs="Arial" w:eastAsia="Arial" w:hAnsi="Arial"/>
                <w:color w:val="2b2b2b"/>
                <w:sz w:val="20"/>
                <w:szCs w:val="20"/>
              </w:rPr>
              <w:t xml:space="preserve">24,627</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2b2b2b"/>
                <w:sz w:val="20"/>
                <w:szCs w:val="20"/>
              </w:rPr>
              <w:t xml:space="preserve"/>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b2b2b"/>
                <w:sz w:val="20"/>
                <w:szCs w:val="20"/>
              </w:rPr>
              <w:t xml:space="preserve">Africa</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b2b2b"/>
                <w:sz w:val="20"/>
                <w:szCs w:val="20"/>
              </w:rPr>
              <w:t xml:space="preserve">11,154</w:t>
            </w:r>
          </w:p>
        </w:tc>
      </w:tr>
      <w:tr>
        <w:tc>
          <w:tcPr>
            <w:tcW w:type="dxa" w:w="30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pPr>
              <w:jc w:val="left"/>
            </w:pPr>
            <w:r>
              <w:rPr>
                <w:rFonts w:ascii="Arial" w:cs="Arial" w:eastAsia="Arial" w:hAnsi="Arial"/>
                <w:color w:val="2b2b2b"/>
                <w:sz w:val="20"/>
                <w:szCs w:val="20"/>
              </w:rPr>
              <w:t xml:space="preserve">Customer Segment</w:t>
            </w:r>
          </w:p>
        </w:tc>
        <w:tc>
          <w:tcPr>
            <w:tcW w:type="dxa" w:w="30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pPr>
              <w:jc w:val="center"/>
            </w:pPr>
            <w:r>
              <w:rPr>
                <w:rFonts w:ascii="Arial" w:cs="Arial" w:eastAsia="Arial" w:hAnsi="Arial"/>
                <w:color w:val="2b2b2b"/>
                <w:sz w:val="20"/>
                <w:szCs w:val="20"/>
              </w:rPr>
              <w:t xml:space="preserve">Consumer</w:t>
            </w:r>
          </w:p>
        </w:tc>
        <w:tc>
          <w:tcPr>
            <w:tcW w:type="dxa" w:w="336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pPr>
              <w:jc w:val="center"/>
            </w:pPr>
            <w:r>
              <w:rPr>
                <w:rFonts w:ascii="Arial" w:cs="Arial" w:eastAsia="Arial" w:hAnsi="Arial"/>
                <w:color w:val="2b2b2b"/>
                <w:sz w:val="20"/>
                <w:szCs w:val="20"/>
              </w:rPr>
              <w:t xml:space="preserve">89,420</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2b2b2b"/>
                <w:sz w:val="20"/>
                <w:szCs w:val="20"/>
              </w:rPr>
              <w:t xml:space="preserve"/>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b2b2b"/>
                <w:sz w:val="20"/>
                <w:szCs w:val="20"/>
              </w:rPr>
              <w:t xml:space="preserve">Corporate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b2b2b"/>
                <w:sz w:val="20"/>
                <w:szCs w:val="20"/>
              </w:rPr>
              <w:t xml:space="preserve">52,528</w:t>
            </w:r>
          </w:p>
        </w:tc>
      </w:tr>
      <w:tr>
        <w:tc>
          <w:tcPr>
            <w:tcW w:type="dxa" w:w="30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pPr>
              <w:jc w:val="left"/>
            </w:pPr>
            <w:r>
              <w:rPr>
                <w:rFonts w:ascii="Arial" w:cs="Arial" w:eastAsia="Arial" w:hAnsi="Arial"/>
                <w:color w:val="2b2b2b"/>
                <w:sz w:val="20"/>
                <w:szCs w:val="20"/>
              </w:rPr>
              <w:t xml:space="preserve"/>
            </w:r>
          </w:p>
        </w:tc>
        <w:tc>
          <w:tcPr>
            <w:tcW w:type="dxa" w:w="30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pPr>
              <w:jc w:val="center"/>
            </w:pPr>
            <w:r>
              <w:rPr>
                <w:rFonts w:ascii="Arial" w:cs="Arial" w:eastAsia="Arial" w:hAnsi="Arial"/>
                <w:color w:val="2b2b2b"/>
                <w:sz w:val="20"/>
                <w:szCs w:val="20"/>
              </w:rPr>
              <w:t xml:space="preserve">Home Office</w:t>
            </w:r>
          </w:p>
        </w:tc>
        <w:tc>
          <w:tcPr>
            <w:tcW w:type="dxa" w:w="336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pPr>
              <w:jc w:val="center"/>
            </w:pPr>
            <w:r>
              <w:rPr>
                <w:rFonts w:ascii="Arial" w:cs="Arial" w:eastAsia="Arial" w:hAnsi="Arial"/>
                <w:color w:val="2b2b2b"/>
                <w:sz w:val="20"/>
                <w:szCs w:val="20"/>
              </w:rPr>
              <w:t xml:space="preserve">30,817</w:t>
            </w:r>
          </w:p>
        </w:tc>
      </w:tr>
    </w:tbl>
    <w:p>
      <w:pPr>
        <w:pStyle w:val="Heading1"/>
        <w:spacing w:after="100" w:before="440"/>
      </w:pPr>
      <w:r>
        <w:rPr>
          <w:rFonts w:ascii="Arial" w:cs="Arial" w:eastAsia="Arial" w:hAnsi="Arial"/>
          <w:b/>
          <w:bCs/>
          <w:color w:val="1F1F5E"/>
          <w:sz w:val="34"/>
          <w:szCs w:val="34"/>
        </w:rPr>
        <w:t xml:space="preserve">5. Key Performance Indicators (KPI)</w:t>
      </w:r>
    </w:p>
    <w:p>
      <w:pPr>
        <w:pBdr>
          <w:bottom w:val="single" w:color="2c5f8a" w:sz="8" w:space="1"/>
        </w:pBdr>
        <w:spacing w:after="200" w:before="0"/>
      </w:pPr>
    </w:p>
    <w:p>
      <w:pPr>
        <w:spacing w:after="160" w:line="288"/>
      </w:pPr>
      <w:r>
        <w:rPr>
          <w:rFonts w:ascii="Arial" w:cs="Arial" w:eastAsia="Arial" w:hAnsi="Arial"/>
          <w:color w:val="2b2b2b"/>
          <w:sz w:val="22"/>
          <w:szCs w:val="22"/>
        </w:rPr>
        <w:t xml:space="preserve">The following KPI dashboard was computed from the cleaned dataset. These seven metrics form the foundation of the business health assessment.</w:t>
      </w:r>
    </w:p>
    <w:p>
      <w:pPr>
        <w:spacing w:after="160" w:line="288"/>
      </w:pPr>
      <w:r>
        <w:rPr>
          <w:rFonts w:ascii="Arial" w:cs="Arial" w:eastAsia="Arial" w:hAnsi="Arial"/>
          <w:color w:val="2b2b2b"/>
          <w:sz w:val="22"/>
          <w:szCs w:val="22"/>
        </w:rPr>
        <w:t xml:space="preserve"/>
      </w:r>
    </w:p>
    <w:p>
      <w:pPr>
        <w:spacing w:after="220" w:before="140"/>
        <w:jc w:val="center"/>
      </w:pPr>
      <w:r>
        <w:drawing>
          <wp:inline distT="0" distB="0" distL="0" distR="0">
            <wp:extent cx="590550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409700"/>
                    </a:xfrm>
                    <a:prstGeom prst="rect">
                      <a:avLst/>
                    </a:prstGeom>
                  </pic:spPr>
                </pic:pic>
              </a:graphicData>
            </a:graphic>
          </wp:inline>
        </w:drawing>
      </w:r>
    </w:p>
    <w:p>
      <w:pPr>
        <w:spacing w:after="260"/>
        <w:jc w:val="center"/>
      </w:pPr>
      <w:r>
        <w:rPr>
          <w:rFonts w:ascii="Arial" w:cs="Arial" w:eastAsia="Arial" w:hAnsi="Arial"/>
          <w:i/>
          <w:iCs/>
          <w:color w:val="888888"/>
          <w:sz w:val="18"/>
          <w:szCs w:val="18"/>
        </w:rPr>
        <w:t xml:space="preserve">Figure 1 — Business KPI Dashboard (computed from 172,765 orders)</w:t>
      </w:r>
    </w:p>
    <w:p>
      <w:pPr>
        <w:spacing w:after="160" w:line="288"/>
      </w:pPr>
      <w:r>
        <w:rPr>
          <w:rFonts w:ascii="Arial" w:cs="Arial" w:eastAsia="Arial" w:hAnsi="Arial"/>
          <w:color w:val="2b2b2b"/>
          <w:sz w:val="22"/>
          <w:szCs w:val="22"/>
        </w:rPr>
        <w:t xml:space="preserve">Out of 172,765 total orders, 94,523 were delivered late — a late delivery rate of 54.71%. This means more than half of all customers received their orders later than promised. The total business profit stood at $7.5M, however $2.1M was lost due to delayed orders alone. The 90th percentile delay cap of 3 days indicates that most delays are within a short window, yet their cumulative business impact is severe.</w:t>
      </w:r>
    </w:p>
    <w:p>
      <w:pPr>
        <w:spacing w:after="220" w:before="140"/>
        <w:jc w:val="center"/>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667000"/>
                    </a:xfrm>
                    <a:prstGeom prst="rect">
                      <a:avLst/>
                    </a:prstGeom>
                  </pic:spPr>
                </pic:pic>
              </a:graphicData>
            </a:graphic>
          </wp:inline>
        </w:drawing>
      </w:r>
    </w:p>
    <w:p>
      <w:pPr>
        <w:spacing w:after="260"/>
        <w:jc w:val="center"/>
      </w:pPr>
      <w:r>
        <w:rPr>
          <w:rFonts w:ascii="Arial" w:cs="Arial" w:eastAsia="Arial" w:hAnsi="Arial"/>
          <w:i/>
          <w:iCs/>
          <w:color w:val="888888"/>
          <w:sz w:val="18"/>
          <w:szCs w:val="18"/>
        </w:rPr>
        <w:t xml:space="preserve">Figure 2 — Delivery Performance: On-Time vs Late (%)</w:t>
      </w:r>
    </w:p>
    <w:p>
      <w:pPr>
        <w:pStyle w:val="Heading1"/>
        <w:spacing w:after="100" w:before="440"/>
      </w:pPr>
      <w:r>
        <w:rPr>
          <w:rFonts w:ascii="Arial" w:cs="Arial" w:eastAsia="Arial" w:hAnsi="Arial"/>
          <w:b/>
          <w:bCs/>
          <w:color w:val="1F1F5E"/>
          <w:sz w:val="34"/>
          <w:szCs w:val="34"/>
        </w:rPr>
        <w:t xml:space="preserve">6. Profitability vs Delivery Time Analysis</w:t>
      </w:r>
    </w:p>
    <w:p>
      <w:pPr>
        <w:pBdr>
          <w:bottom w:val="single" w:color="2c5f8a" w:sz="8" w:space="1"/>
        </w:pBdr>
        <w:spacing w:after="200" w:before="0"/>
      </w:pPr>
    </w:p>
    <w:p>
      <w:pPr>
        <w:spacing w:after="160" w:line="288"/>
      </w:pPr>
      <w:r>
        <w:rPr>
          <w:rFonts w:ascii="Arial" w:cs="Arial" w:eastAsia="Arial" w:hAnsi="Arial"/>
          <w:color w:val="2b2b2b"/>
          <w:sz w:val="22"/>
          <w:szCs w:val="22"/>
        </w:rPr>
        <w:t xml:space="preserve">This section examines how profitability is distributed across the order base and how delivery delays relate to financial outcomes. Orders were categorized into three profitability tiers — Profitable, Break-even, and Loss-making — to understand the financial health of the business alongside delivery performance.</w:t>
      </w:r>
    </w:p>
    <w:p>
      <w:pPr>
        <w:spacing w:after="160" w:line="288"/>
      </w:pPr>
      <w:r>
        <w:rPr>
          <w:rFonts w:ascii="Arial" w:cs="Arial" w:eastAsia="Arial" w:hAnsi="Arial"/>
          <w:color w:val="2b2b2b"/>
          <w:sz w:val="22"/>
          <w:szCs w:val="22"/>
        </w:rPr>
        <w:t xml:space="preserve"/>
      </w:r>
    </w:p>
    <w:p>
      <w:pPr>
        <w:spacing w:after="220" w:before="140"/>
        <w:jc w:val="center"/>
      </w:pPr>
      <w:r>
        <w:drawing>
          <wp:inline distT="0" distB="0" distL="0" distR="0">
            <wp:extent cx="3810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3657600"/>
                    </a:xfrm>
                    <a:prstGeom prst="rect">
                      <a:avLst/>
                    </a:prstGeom>
                  </pic:spPr>
                </pic:pic>
              </a:graphicData>
            </a:graphic>
          </wp:inline>
        </w:drawing>
      </w:r>
    </w:p>
    <w:p>
      <w:pPr>
        <w:spacing w:after="260"/>
        <w:jc w:val="center"/>
      </w:pPr>
      <w:r>
        <w:rPr>
          <w:rFonts w:ascii="Arial" w:cs="Arial" w:eastAsia="Arial" w:hAnsi="Arial"/>
          <w:i/>
          <w:iCs/>
          <w:color w:val="888888"/>
          <w:sz w:val="18"/>
          <w:szCs w:val="18"/>
        </w:rPr>
        <w:t xml:space="preserve">Figure 3 — Profitability Distribution (%) across all orders</w:t>
      </w:r>
    </w:p>
    <w:p>
      <w:pPr>
        <w:spacing w:after="160" w:line="288"/>
      </w:pPr>
      <w:r>
        <w:rPr>
          <w:rFonts w:ascii="Arial" w:cs="Arial" w:eastAsia="Arial" w:hAnsi="Arial"/>
          <w:color w:val="2b2b2b"/>
          <w:sz w:val="22"/>
          <w:szCs w:val="22"/>
        </w:rPr>
        <w:t xml:space="preserve">The profit analysis reveals a concerning pattern: orders that arrive late are significantly more likely to generate a loss or break-even outcome. The delay-related losses of $2.1M reflect not just shipping costs but also order cancellations, returns, and reduced repeat purchase rates. Improving on-time delivery is therefore directly tied to improving profitability.</w:t>
      </w:r>
    </w:p>
    <w:p>
      <w:pPr>
        <w:spacing w:after="220" w:before="140"/>
        <w:jc w:val="center"/>
      </w:pPr>
      <w:r>
        <w:drawing>
          <wp:inline distT="0" distB="0" distL="0" distR="0">
            <wp:extent cx="5334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905000"/>
                    </a:xfrm>
                    <a:prstGeom prst="rect">
                      <a:avLst/>
                    </a:prstGeom>
                  </pic:spPr>
                </pic:pic>
              </a:graphicData>
            </a:graphic>
          </wp:inline>
        </w:drawing>
      </w:r>
    </w:p>
    <w:p>
      <w:pPr>
        <w:spacing w:after="260"/>
        <w:jc w:val="center"/>
      </w:pPr>
      <w:r>
        <w:rPr>
          <w:rFonts w:ascii="Arial" w:cs="Arial" w:eastAsia="Arial" w:hAnsi="Arial"/>
          <w:i/>
          <w:iCs/>
          <w:color w:val="888888"/>
          <w:sz w:val="18"/>
          <w:szCs w:val="18"/>
        </w:rPr>
        <w:t xml:space="preserve">Figure 4 — Total Profit vs Mean Profit broken down by Delay Days</w:t>
      </w:r>
    </w:p>
    <w:p>
      <w:pPr>
        <w:pStyle w:val="Heading1"/>
        <w:spacing w:after="100" w:before="440"/>
      </w:pPr>
      <w:r>
        <w:rPr>
          <w:rFonts w:ascii="Arial" w:cs="Arial" w:eastAsia="Arial" w:hAnsi="Arial"/>
          <w:b/>
          <w:bCs/>
          <w:color w:val="1F1F5E"/>
          <w:sz w:val="34"/>
          <w:szCs w:val="34"/>
        </w:rPr>
        <w:t xml:space="preserve">7. Bottleneck Detection</w:t>
      </w:r>
    </w:p>
    <w:p>
      <w:pPr>
        <w:pBdr>
          <w:bottom w:val="single" w:color="2c5f8a" w:sz="8" w:space="1"/>
        </w:pBdr>
        <w:spacing w:after="200" w:before="0"/>
      </w:pPr>
    </w:p>
    <w:p>
      <w:pPr>
        <w:spacing w:after="160" w:line="288"/>
      </w:pPr>
      <w:r>
        <w:rPr>
          <w:rFonts w:ascii="Arial" w:cs="Arial" w:eastAsia="Arial" w:hAnsi="Arial"/>
          <w:color w:val="2b2b2b"/>
          <w:sz w:val="22"/>
          <w:szCs w:val="22"/>
        </w:rPr>
        <w:t xml:space="preserve">Bottleneck detection identified the specific shipping modes, geographic regions, customer segments, and order statuses most responsible for delivery delays. The analysis below presents the average delay in days for each category.</w:t>
      </w:r>
    </w:p>
    <w:p>
      <w:pPr>
        <w:spacing w:after="160" w:line="288"/>
      </w:pPr>
      <w:r>
        <w:rPr>
          <w:rFonts w:ascii="Arial" w:cs="Arial" w:eastAsia="Arial" w:hAnsi="Arial"/>
          <w:color w:val="2b2b2b"/>
          <w:sz w:val="22"/>
          <w:szCs w:val="22"/>
        </w:rPr>
        <w:t xml:space="preserve"/>
      </w:r>
    </w:p>
    <w:p>
      <w:pPr>
        <w:spacing w:after="220" w:before="140"/>
        <w:jc w:val="center"/>
      </w:pPr>
      <w:r>
        <w:drawing>
          <wp:inline distT="0" distB="0" distL="0" distR="0">
            <wp:extent cx="5334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886200"/>
                    </a:xfrm>
                    <a:prstGeom prst="rect">
                      <a:avLst/>
                    </a:prstGeom>
                  </pic:spPr>
                </pic:pic>
              </a:graphicData>
            </a:graphic>
          </wp:inline>
        </w:drawing>
      </w:r>
    </w:p>
    <w:p>
      <w:pPr>
        <w:spacing w:after="260"/>
        <w:jc w:val="center"/>
      </w:pPr>
      <w:r>
        <w:rPr>
          <w:rFonts w:ascii="Arial" w:cs="Arial" w:eastAsia="Arial" w:hAnsi="Arial"/>
          <w:i/>
          <w:iCs/>
          <w:color w:val="888888"/>
          <w:sz w:val="18"/>
          <w:szCs w:val="18"/>
        </w:rPr>
        <w:t xml:space="preserve">Figure 5 — Bottleneck Analysis: Shipping Mode, Region, Segment &amp; Order Status</w:t>
      </w:r>
    </w:p>
    <w:p>
      <w:pPr>
        <w:spacing w:after="160" w:line="288"/>
      </w:pPr>
      <w:r>
        <w:rPr>
          <w:rFonts w:ascii="Arial" w:cs="Arial" w:eastAsia="Arial" w:hAnsi="Arial"/>
          <w:color w:val="2b2b2b"/>
          <w:sz w:val="22"/>
          <w:szCs w:val="22"/>
        </w:rPr>
        <w:t xml:space="preserve">The bottleneck summary reveals four critical problem areas:</w:t>
      </w:r>
    </w:p>
    <w:p>
      <w:pPr>
        <w:pStyle w:val="ListParagraph"/>
        <w:numPr>
          <w:ilvl w:val="0"/>
          <w:numId w:val="2"/>
        </w:numPr>
        <w:spacing w:after="120"/>
      </w:pPr>
      <w:r>
        <w:rPr>
          <w:rFonts w:ascii="Arial" w:cs="Arial" w:eastAsia="Arial" w:hAnsi="Arial"/>
          <w:color w:val="2b2b2b"/>
          <w:sz w:val="22"/>
          <w:szCs w:val="22"/>
        </w:rPr>
        <w:t xml:space="preserve">Worst Shipping Mode: Second Class — averaging 1.99 days of delay and an 80% late risk rate. First Class, despite its premium positioning, has 100% late risk, suggesting a systemic scheduling issue.</w:t>
      </w:r>
    </w:p>
    <w:p>
      <w:pPr>
        <w:pStyle w:val="ListParagraph"/>
        <w:numPr>
          <w:ilvl w:val="0"/>
          <w:numId w:val="2"/>
        </w:numPr>
        <w:spacing w:after="120"/>
      </w:pPr>
      <w:r>
        <w:rPr>
          <w:rFonts w:ascii="Arial" w:cs="Arial" w:eastAsia="Arial" w:hAnsi="Arial"/>
          <w:color w:val="2b2b2b"/>
          <w:sz w:val="22"/>
          <w:szCs w:val="22"/>
        </w:rPr>
        <w:t xml:space="preserve">Worst Region: Central Africa — averaging 0.61 days of delay, followed closely by Central Asia and US Center.</w:t>
      </w:r>
    </w:p>
    <w:p>
      <w:pPr>
        <w:pStyle w:val="ListParagraph"/>
        <w:numPr>
          <w:ilvl w:val="0"/>
          <w:numId w:val="2"/>
        </w:numPr>
        <w:spacing w:after="120"/>
      </w:pPr>
      <w:r>
        <w:rPr>
          <w:rFonts w:ascii="Arial" w:cs="Arial" w:eastAsia="Arial" w:hAnsi="Arial"/>
          <w:color w:val="2b2b2b"/>
          <w:sz w:val="22"/>
          <w:szCs w:val="22"/>
        </w:rPr>
        <w:t xml:space="preserve">Worst Customer Segment: Home Office — experiencing the highest average delay among all three segments.</w:t>
      </w:r>
    </w:p>
    <w:p>
      <w:pPr>
        <w:pStyle w:val="ListParagraph"/>
        <w:numPr>
          <w:ilvl w:val="0"/>
          <w:numId w:val="2"/>
        </w:numPr>
        <w:spacing w:after="120"/>
      </w:pPr>
      <w:r>
        <w:rPr>
          <w:rFonts w:ascii="Arial" w:cs="Arial" w:eastAsia="Arial" w:hAnsi="Arial"/>
          <w:color w:val="2b2b2b"/>
          <w:sz w:val="22"/>
          <w:szCs w:val="22"/>
        </w:rPr>
        <w:t xml:space="preserve">Worst Country: Luxemburgo — flagged as the single country with the highest average delivery delay.</w:t>
      </w:r>
    </w:p>
    <w:p>
      <w:pPr>
        <w:spacing w:after="160" w:line="288"/>
      </w:pPr>
      <w:r>
        <w:rPr>
          <w:rFonts w:ascii="Arial" w:cs="Arial" w:eastAsia="Arial" w:hAnsi="Arial"/>
          <w:color w:val="2b2b2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100"/>
        <w:gridCol w:w="2260"/>
      </w:tblGrid>
      <w:tr>
        <w:tc>
          <w:tcPr>
            <w:tcW w:type="dxa" w:w="2800"/>
            <w:tcBorders>
              <w:top w:val="single" w:color="DDDDDD" w:sz="1"/>
              <w:left w:val="single" w:color="DDDDDD" w:sz="1"/>
              <w:bottom w:val="single" w:color="DDDDDD" w:sz="1"/>
              <w:right w:val="single" w:color="DDDDDD" w:sz="1"/>
            </w:tcBorders>
            <w:shd w:fill="1F1F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Shipping Mode</w:t>
            </w:r>
          </w:p>
        </w:tc>
        <w:tc>
          <w:tcPr>
            <w:tcW w:type="dxa" w:w="2200"/>
            <w:tcBorders>
              <w:top w:val="single" w:color="DDDDDD" w:sz="1"/>
              <w:left w:val="single" w:color="DDDDDD" w:sz="1"/>
              <w:bottom w:val="single" w:color="DDDDDD" w:sz="1"/>
              <w:right w:val="single" w:color="DDDDDD" w:sz="1"/>
            </w:tcBorders>
            <w:shd w:fill="1F1F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Avg Delay (days)</w:t>
            </w:r>
          </w:p>
        </w:tc>
        <w:tc>
          <w:tcPr>
            <w:tcW w:type="dxa" w:w="2100"/>
            <w:tcBorders>
              <w:top w:val="single" w:color="DDDDDD" w:sz="1"/>
              <w:left w:val="single" w:color="DDDDDD" w:sz="1"/>
              <w:bottom w:val="single" w:color="DDDDDD" w:sz="1"/>
              <w:right w:val="single" w:color="DDDDDD" w:sz="1"/>
            </w:tcBorders>
            <w:shd w:fill="1F1F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Late Risk %</w:t>
            </w:r>
          </w:p>
        </w:tc>
        <w:tc>
          <w:tcPr>
            <w:tcW w:type="dxa" w:w="2260"/>
            <w:tcBorders>
              <w:top w:val="single" w:color="DDDDDD" w:sz="1"/>
              <w:left w:val="single" w:color="DDDDDD" w:sz="1"/>
              <w:bottom w:val="single" w:color="DDDDDD" w:sz="1"/>
              <w:right w:val="single" w:color="DDDDDD" w:sz="1"/>
            </w:tcBorders>
            <w:shd w:fill="1F1F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Order Count</w:t>
            </w:r>
          </w:p>
        </w:tc>
      </w:tr>
      <w:tr>
        <w:tc>
          <w:tcPr>
            <w:tcW w:type="dxa" w:w="28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pPr>
              <w:jc w:val="left"/>
            </w:pPr>
            <w:r>
              <w:rPr>
                <w:rFonts w:ascii="Arial" w:cs="Arial" w:eastAsia="Arial" w:hAnsi="Arial"/>
                <w:color w:val="2b2b2b"/>
                <w:sz w:val="20"/>
                <w:szCs w:val="20"/>
              </w:rPr>
              <w:t xml:space="preserve">Second Class</w:t>
            </w:r>
          </w:p>
        </w:tc>
        <w:tc>
          <w:tcPr>
            <w:tcW w:type="dxa" w:w="22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pPr>
              <w:jc w:val="center"/>
            </w:pPr>
            <w:r>
              <w:rPr>
                <w:rFonts w:ascii="Arial" w:cs="Arial" w:eastAsia="Arial" w:hAnsi="Arial"/>
                <w:color w:val="2b2b2b"/>
                <w:sz w:val="20"/>
                <w:szCs w:val="20"/>
              </w:rPr>
              <w:t xml:space="preserve">1.99</w:t>
            </w:r>
          </w:p>
        </w:tc>
        <w:tc>
          <w:tcPr>
            <w:tcW w:type="dxa" w:w="21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pPr>
              <w:jc w:val="center"/>
            </w:pPr>
            <w:r>
              <w:rPr>
                <w:rFonts w:ascii="Arial" w:cs="Arial" w:eastAsia="Arial" w:hAnsi="Arial"/>
                <w:color w:val="2b2b2b"/>
                <w:sz w:val="20"/>
                <w:szCs w:val="20"/>
              </w:rPr>
              <w:t xml:space="preserve">80.0%</w:t>
            </w:r>
          </w:p>
        </w:tc>
        <w:tc>
          <w:tcPr>
            <w:tcW w:type="dxa" w:w="226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pPr>
              <w:jc w:val="center"/>
            </w:pPr>
            <w:r>
              <w:rPr>
                <w:rFonts w:ascii="Arial" w:cs="Arial" w:eastAsia="Arial" w:hAnsi="Arial"/>
                <w:color w:val="2b2b2b"/>
                <w:sz w:val="20"/>
                <w:szCs w:val="20"/>
              </w:rPr>
              <w:t xml:space="preserve">33,806</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2b2b2b"/>
                <w:sz w:val="20"/>
                <w:szCs w:val="20"/>
              </w:rPr>
              <w:t xml:space="preserve">First Class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b2b2b"/>
                <w:sz w:val="20"/>
                <w:szCs w:val="20"/>
              </w:rPr>
              <w:t xml:space="preserve">1.00</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b2b2b"/>
                <w:sz w:val="20"/>
                <w:szCs w:val="20"/>
              </w:rPr>
              <w:t xml:space="preserve">100.0%</w:t>
            </w:r>
          </w:p>
        </w:tc>
        <w:tc>
          <w:tcPr>
            <w:tcW w:type="dxa" w:w="2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b2b2b"/>
                <w:sz w:val="20"/>
                <w:szCs w:val="20"/>
              </w:rPr>
              <w:t xml:space="preserve">26,513</w:t>
            </w:r>
          </w:p>
        </w:tc>
      </w:tr>
      <w:tr>
        <w:tc>
          <w:tcPr>
            <w:tcW w:type="dxa" w:w="28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pPr>
              <w:jc w:val="left"/>
            </w:pPr>
            <w:r>
              <w:rPr>
                <w:rFonts w:ascii="Arial" w:cs="Arial" w:eastAsia="Arial" w:hAnsi="Arial"/>
                <w:color w:val="2b2b2b"/>
                <w:sz w:val="20"/>
                <w:szCs w:val="20"/>
              </w:rPr>
              <w:t xml:space="preserve">Same Day</w:t>
            </w:r>
          </w:p>
        </w:tc>
        <w:tc>
          <w:tcPr>
            <w:tcW w:type="dxa" w:w="22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pPr>
              <w:jc w:val="center"/>
            </w:pPr>
            <w:r>
              <w:rPr>
                <w:rFonts w:ascii="Arial" w:cs="Arial" w:eastAsia="Arial" w:hAnsi="Arial"/>
                <w:color w:val="2b2b2b"/>
                <w:sz w:val="20"/>
                <w:szCs w:val="20"/>
              </w:rPr>
              <w:t xml:space="preserve">0.00</w:t>
            </w:r>
          </w:p>
        </w:tc>
        <w:tc>
          <w:tcPr>
            <w:tcW w:type="dxa" w:w="210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pPr>
              <w:jc w:val="center"/>
            </w:pPr>
            <w:r>
              <w:rPr>
                <w:rFonts w:ascii="Arial" w:cs="Arial" w:eastAsia="Arial" w:hAnsi="Arial"/>
                <w:color w:val="2b2b2b"/>
                <w:sz w:val="20"/>
                <w:szCs w:val="20"/>
              </w:rPr>
              <w:t xml:space="preserve">48.0%</w:t>
            </w:r>
          </w:p>
        </w:tc>
        <w:tc>
          <w:tcPr>
            <w:tcW w:type="dxa" w:w="226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pPr>
              <w:jc w:val="center"/>
            </w:pPr>
            <w:r>
              <w:rPr>
                <w:rFonts w:ascii="Arial" w:cs="Arial" w:eastAsia="Arial" w:hAnsi="Arial"/>
                <w:color w:val="2b2b2b"/>
                <w:sz w:val="20"/>
                <w:szCs w:val="20"/>
              </w:rPr>
              <w:t xml:space="preserve">9,293</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2b2b2b"/>
                <w:sz w:val="20"/>
                <w:szCs w:val="20"/>
              </w:rPr>
              <w:t xml:space="preserve">Standard Class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b2b2b"/>
                <w:sz w:val="20"/>
                <w:szCs w:val="20"/>
              </w:rPr>
              <w:t xml:space="preserve">-0.01</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b2b2b"/>
                <w:sz w:val="20"/>
                <w:szCs w:val="20"/>
              </w:rPr>
              <w:t xml:space="preserve">40.0%</w:t>
            </w:r>
          </w:p>
        </w:tc>
        <w:tc>
          <w:tcPr>
            <w:tcW w:type="dxa" w:w="2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b2b2b"/>
                <w:sz w:val="20"/>
                <w:szCs w:val="20"/>
              </w:rPr>
              <w:t xml:space="preserve">103,153</w:t>
            </w:r>
          </w:p>
        </w:tc>
      </w:tr>
    </w:tbl>
    <w:p>
      <w:pPr>
        <w:pStyle w:val="Heading1"/>
        <w:spacing w:after="100" w:before="440"/>
      </w:pPr>
      <w:r>
        <w:rPr>
          <w:rFonts w:ascii="Arial" w:cs="Arial" w:eastAsia="Arial" w:hAnsi="Arial"/>
          <w:b/>
          <w:bCs/>
          <w:color w:val="1F1F5E"/>
          <w:sz w:val="34"/>
          <w:szCs w:val="34"/>
        </w:rPr>
        <w:t xml:space="preserve">8. Root Cause Analysis</w:t>
      </w:r>
    </w:p>
    <w:p>
      <w:pPr>
        <w:pBdr>
          <w:bottom w:val="single" w:color="2c5f8a" w:sz="8" w:space="1"/>
        </w:pBdr>
        <w:spacing w:after="200" w:before="0"/>
      </w:pPr>
    </w:p>
    <w:p>
      <w:pPr>
        <w:spacing w:after="160" w:line="288"/>
      </w:pPr>
      <w:r>
        <w:rPr>
          <w:rFonts w:ascii="Arial" w:cs="Arial" w:eastAsia="Arial" w:hAnsi="Arial"/>
          <w:color w:val="2b2b2b"/>
          <w:sz w:val="22"/>
          <w:szCs w:val="22"/>
        </w:rPr>
        <w:t xml:space="preserve">Root cause analysis investigated which factors most strongly correlate with delivery delays, using a correlation matrix and cross-tabulation of shipping mode, region, and order status. The key findings from this analysis are summarized below.</w:t>
      </w:r>
    </w:p>
    <w:p>
      <w:pPr>
        <w:spacing w:after="160" w:line="288"/>
      </w:pPr>
      <w:r>
        <w:rPr>
          <w:rFonts w:ascii="Arial" w:cs="Arial" w:eastAsia="Arial" w:hAnsi="Arial"/>
          <w:color w:val="2b2b2b"/>
          <w:sz w:val="22"/>
          <w:szCs w:val="22"/>
        </w:rPr>
        <w:t xml:space="preserve"/>
      </w:r>
    </w:p>
    <w:p>
      <w:pPr>
        <w:spacing w:after="220" w:before="140"/>
        <w:jc w:val="center"/>
      </w:pPr>
      <w:r>
        <w:drawing>
          <wp:inline distT="0" distB="0" distL="0" distR="0">
            <wp:extent cx="552450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4305300"/>
                    </a:xfrm>
                    <a:prstGeom prst="rect">
                      <a:avLst/>
                    </a:prstGeom>
                  </pic:spPr>
                </pic:pic>
              </a:graphicData>
            </a:graphic>
          </wp:inline>
        </w:drawing>
      </w:r>
    </w:p>
    <w:p>
      <w:pPr>
        <w:spacing w:after="260"/>
        <w:jc w:val="center"/>
      </w:pPr>
      <w:r>
        <w:rPr>
          <w:rFonts w:ascii="Arial" w:cs="Arial" w:eastAsia="Arial" w:hAnsi="Arial"/>
          <w:i/>
          <w:iCs/>
          <w:color w:val="888888"/>
          <w:sz w:val="18"/>
          <w:szCs w:val="18"/>
        </w:rPr>
        <w:t xml:space="preserve">Figure 6 — Root Cause Analysis: Correlations, Region Heatmaps &amp; Schedule Gap</w:t>
      </w:r>
    </w:p>
    <w:p>
      <w:pPr>
        <w:spacing w:after="160" w:line="288"/>
      </w:pPr>
      <w:r>
        <w:rPr>
          <w:rFonts w:ascii="Arial" w:cs="Arial" w:eastAsia="Arial" w:hAnsi="Arial"/>
          <w:color w:val="2b2b2b"/>
          <w:sz w:val="22"/>
          <w:szCs w:val="22"/>
        </w:rPr>
        <w:t xml:space="preserve">The analysis produced six critical root cause insights:</w:t>
      </w:r>
    </w:p>
    <w:p>
      <w:pPr>
        <w:pStyle w:val="ListParagraph"/>
        <w:numPr>
          <w:ilvl w:val="0"/>
          <w:numId w:val="2"/>
        </w:numPr>
        <w:spacing w:after="120"/>
      </w:pPr>
      <w:r>
        <w:rPr>
          <w:rFonts w:ascii="Arial" w:cs="Arial" w:eastAsia="Arial" w:hAnsi="Arial"/>
          <w:color w:val="2b2b2b"/>
          <w:sz w:val="22"/>
          <w:szCs w:val="22"/>
        </w:rPr>
        <w:t xml:space="preserve">Strongest Correlation with Delay: "Days for Shipping (real)" shows a 0.641 correlation with the Delay variable — the single most predictive numeric factor.</w:t>
      </w:r>
    </w:p>
    <w:p>
      <w:pPr>
        <w:pStyle w:val="ListParagraph"/>
        <w:numPr>
          <w:ilvl w:val="0"/>
          <w:numId w:val="2"/>
        </w:numPr>
        <w:spacing w:after="120"/>
      </w:pPr>
      <w:r>
        <w:rPr>
          <w:rFonts w:ascii="Arial" w:cs="Arial" w:eastAsia="Arial" w:hAnsi="Arial"/>
          <w:color w:val="2b2b2b"/>
          <w:sz w:val="22"/>
          <w:szCs w:val="22"/>
        </w:rPr>
        <w:t xml:space="preserve">Worst Shipping Mode Schedule Gap: Second Class averages a 2.0-day gap between scheduled and actual shipping days.</w:t>
      </w:r>
    </w:p>
    <w:p>
      <w:pPr>
        <w:pStyle w:val="ListParagraph"/>
        <w:numPr>
          <w:ilvl w:val="0"/>
          <w:numId w:val="2"/>
        </w:numPr>
        <w:spacing w:after="120"/>
      </w:pPr>
      <w:r>
        <w:rPr>
          <w:rFonts w:ascii="Arial" w:cs="Arial" w:eastAsia="Arial" w:hAnsi="Arial"/>
          <w:color w:val="2b2b2b"/>
          <w:sz w:val="22"/>
          <w:szCs w:val="22"/>
        </w:rPr>
        <w:t xml:space="preserve">High Delay Orders (&gt;3 days): 6,697 orders (3.9% of total) fall into the extreme delay category, indicating a tail of severely problematic deliveries.</w:t>
      </w:r>
    </w:p>
    <w:p>
      <w:pPr>
        <w:pStyle w:val="ListParagraph"/>
        <w:numPr>
          <w:ilvl w:val="0"/>
          <w:numId w:val="2"/>
        </w:numPr>
        <w:spacing w:after="120"/>
      </w:pPr>
      <w:r>
        <w:rPr>
          <w:rFonts w:ascii="Arial" w:cs="Arial" w:eastAsia="Arial" w:hAnsi="Arial"/>
          <w:color w:val="2b2b2b"/>
          <w:sz w:val="22"/>
          <w:szCs w:val="22"/>
        </w:rPr>
        <w:t xml:space="preserve">Standard Class Performance: Despite handling the most volume (103,153 orders), Standard Class maintains a near-zero average delay, proving that volume alone does not cause delays.</w:t>
      </w:r>
    </w:p>
    <w:p>
      <w:pPr>
        <w:pStyle w:val="ListParagraph"/>
        <w:numPr>
          <w:ilvl w:val="0"/>
          <w:numId w:val="2"/>
        </w:numPr>
        <w:spacing w:after="120"/>
      </w:pPr>
      <w:r>
        <w:rPr>
          <w:rFonts w:ascii="Arial" w:cs="Arial" w:eastAsia="Arial" w:hAnsi="Arial"/>
          <w:color w:val="2b2b2b"/>
          <w:sz w:val="22"/>
          <w:szCs w:val="22"/>
        </w:rPr>
        <w:t xml:space="preserve">Geographic Bottleneck: Central Africa consistently appears as the worst-performing region across multiple analysis dimensions.</w:t>
      </w:r>
    </w:p>
    <w:p>
      <w:pPr>
        <w:pStyle w:val="ListParagraph"/>
        <w:numPr>
          <w:ilvl w:val="0"/>
          <w:numId w:val="2"/>
        </w:numPr>
        <w:spacing w:after="120"/>
      </w:pPr>
      <w:r>
        <w:rPr>
          <w:rFonts w:ascii="Arial" w:cs="Arial" w:eastAsia="Arial" w:hAnsi="Arial"/>
          <w:color w:val="2b2b2b"/>
          <w:sz w:val="22"/>
          <w:szCs w:val="22"/>
        </w:rPr>
        <w:t xml:space="preserve">Recommendation: Orders taking more than 5 days to process experience an average delay of 2.5 days — streamlining processing for these orders is a high-priority action item.</w:t>
      </w:r>
    </w:p>
    <w:p>
      <w:pPr>
        <w:pStyle w:val="Heading1"/>
        <w:spacing w:after="100" w:before="440"/>
      </w:pPr>
      <w:r>
        <w:rPr>
          <w:rFonts w:ascii="Arial" w:cs="Arial" w:eastAsia="Arial" w:hAnsi="Arial"/>
          <w:b/>
          <w:bCs/>
          <w:color w:val="1F1F5E"/>
          <w:sz w:val="34"/>
          <w:szCs w:val="34"/>
        </w:rPr>
        <w:t xml:space="preserve">9. Time-Based Analysis</w:t>
      </w:r>
    </w:p>
    <w:p>
      <w:pPr>
        <w:pBdr>
          <w:bottom w:val="single" w:color="2c5f8a" w:sz="8" w:space="1"/>
        </w:pBdr>
        <w:spacing w:after="200" w:before="0"/>
      </w:pPr>
    </w:p>
    <w:p>
      <w:pPr>
        <w:spacing w:after="160" w:line="288"/>
      </w:pPr>
      <w:r>
        <w:rPr>
          <w:rFonts w:ascii="Arial" w:cs="Arial" w:eastAsia="Arial" w:hAnsi="Arial"/>
          <w:color w:val="2b2b2b"/>
          <w:sz w:val="22"/>
          <w:szCs w:val="22"/>
        </w:rPr>
        <w:t xml:space="preserve">Time-based analysis examined how delivery delay patterns vary by day of the week, hour of day, and month of the year. Understanding temporal patterns can help the company pre-emptively allocate resources during high-risk periods.</w:t>
      </w:r>
    </w:p>
    <w:p>
      <w:pPr>
        <w:spacing w:after="160" w:line="288"/>
      </w:pPr>
      <w:r>
        <w:rPr>
          <w:rFonts w:ascii="Arial" w:cs="Arial" w:eastAsia="Arial" w:hAnsi="Arial"/>
          <w:color w:val="2b2b2b"/>
          <w:sz w:val="22"/>
          <w:szCs w:val="22"/>
        </w:rPr>
        <w:t xml:space="preserve"/>
      </w:r>
    </w:p>
    <w:p>
      <w:pPr>
        <w:spacing w:after="220" w:before="140"/>
        <w:jc w:val="center"/>
      </w:pPr>
      <w:r>
        <w:drawing>
          <wp:inline distT="0" distB="0" distL="0" distR="0">
            <wp:extent cx="5524500"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4343400"/>
                    </a:xfrm>
                    <a:prstGeom prst="rect">
                      <a:avLst/>
                    </a:prstGeom>
                  </pic:spPr>
                </pic:pic>
              </a:graphicData>
            </a:graphic>
          </wp:inline>
        </w:drawing>
      </w:r>
    </w:p>
    <w:p>
      <w:pPr>
        <w:spacing w:after="260"/>
        <w:jc w:val="center"/>
      </w:pPr>
      <w:r>
        <w:rPr>
          <w:rFonts w:ascii="Arial" w:cs="Arial" w:eastAsia="Arial" w:hAnsi="Arial"/>
          <w:i/>
          <w:iCs/>
          <w:color w:val="888888"/>
          <w:sz w:val="18"/>
          <w:szCs w:val="18"/>
        </w:rPr>
        <w:t xml:space="preserve">Figure 7 — Time-Based Delay Patterns: Weekday, Hourly &amp; Monthly Trends</w:t>
      </w:r>
    </w:p>
    <w:p>
      <w:pPr>
        <w:spacing w:after="160" w:line="288"/>
      </w:pPr>
      <w:r>
        <w:rPr>
          <w:rFonts w:ascii="Arial" w:cs="Arial" w:eastAsia="Arial" w:hAnsi="Arial"/>
          <w:color w:val="2b2b2b"/>
          <w:sz w:val="22"/>
          <w:szCs w:val="22"/>
        </w:rPr>
        <w:t xml:space="preserve">The time analysis revealed the following key findings:</w:t>
      </w:r>
    </w:p>
    <w:p>
      <w:pPr>
        <w:pStyle w:val="ListParagraph"/>
        <w:numPr>
          <w:ilvl w:val="0"/>
          <w:numId w:val="2"/>
        </w:numPr>
        <w:spacing w:after="120"/>
      </w:pPr>
      <w:r>
        <w:rPr>
          <w:rFonts w:ascii="Arial" w:cs="Arial" w:eastAsia="Arial" w:hAnsi="Arial"/>
          <w:color w:val="2b2b2b"/>
          <w:sz w:val="22"/>
          <w:szCs w:val="22"/>
        </w:rPr>
        <w:t xml:space="preserve">Best day of the week: Tuesday (avg delay 0.5 days). Worst day: Monday (avg delay 0.6 days). Orders placed on Mondays — likely after weekend accumulation — face slightly higher delay risk.</w:t>
      </w:r>
    </w:p>
    <w:p>
      <w:pPr>
        <w:pStyle w:val="ListParagraph"/>
        <w:numPr>
          <w:ilvl w:val="0"/>
          <w:numId w:val="2"/>
        </w:numPr>
        <w:spacing w:after="120"/>
      </w:pPr>
      <w:r>
        <w:rPr>
          <w:rFonts w:ascii="Arial" w:cs="Arial" w:eastAsia="Arial" w:hAnsi="Arial"/>
          <w:color w:val="2b2b2b"/>
          <w:sz w:val="22"/>
          <w:szCs w:val="22"/>
        </w:rPr>
        <w:t xml:space="preserve">Best hour: 19:00 (0.5 days avg delay). Worst hour: 12:00 (0.6 days avg delay). Midday order spikes may strain processing capacity.</w:t>
      </w:r>
    </w:p>
    <w:p>
      <w:pPr>
        <w:pStyle w:val="ListParagraph"/>
        <w:numPr>
          <w:ilvl w:val="0"/>
          <w:numId w:val="2"/>
        </w:numPr>
        <w:spacing w:after="120"/>
      </w:pPr>
      <w:r>
        <w:rPr>
          <w:rFonts w:ascii="Arial" w:cs="Arial" w:eastAsia="Arial" w:hAnsi="Arial"/>
          <w:color w:val="2b2b2b"/>
          <w:sz w:val="22"/>
          <w:szCs w:val="22"/>
        </w:rPr>
        <w:t xml:space="preserve">Best month: July (avg delay 0.5 days). Worst month: February (avg delay 0.6 days). Seasonal demand patterns appear to affect processing efficiency.</w:t>
      </w:r>
    </w:p>
    <w:p>
      <w:pPr>
        <w:pStyle w:val="ListParagraph"/>
        <w:numPr>
          <w:ilvl w:val="0"/>
          <w:numId w:val="2"/>
        </w:numPr>
        <w:spacing w:after="120"/>
      </w:pPr>
      <w:r>
        <w:rPr>
          <w:rFonts w:ascii="Arial" w:cs="Arial" w:eastAsia="Arial" w:hAnsi="Arial"/>
          <w:color w:val="2b2b2b"/>
          <w:sz w:val="22"/>
          <w:szCs w:val="22"/>
        </w:rPr>
        <w:t xml:space="preserve">Overall trend: INCREASING — average delays have been rising over the observation period, signaling a worsening operational situation that requires urgent intervention.</w:t>
      </w:r>
    </w:p>
    <w:p>
      <w:pPr>
        <w:pStyle w:val="Heading1"/>
        <w:spacing w:after="100" w:before="440"/>
      </w:pPr>
      <w:r>
        <w:rPr>
          <w:rFonts w:ascii="Arial" w:cs="Arial" w:eastAsia="Arial" w:hAnsi="Arial"/>
          <w:b/>
          <w:bCs/>
          <w:color w:val="1F1F5E"/>
          <w:sz w:val="34"/>
          <w:szCs w:val="34"/>
        </w:rPr>
        <w:t xml:space="preserve">10. Machine Learning Model</w:t>
      </w:r>
    </w:p>
    <w:p>
      <w:pPr>
        <w:pBdr>
          <w:bottom w:val="single" w:color="2c5f8a" w:sz="8" w:space="1"/>
        </w:pBdr>
        <w:spacing w:after="200" w:before="0"/>
      </w:pPr>
    </w:p>
    <w:p>
      <w:pPr>
        <w:spacing w:after="160" w:line="288"/>
      </w:pPr>
      <w:r>
        <w:rPr>
          <w:rFonts w:ascii="Arial" w:cs="Arial" w:eastAsia="Arial" w:hAnsi="Arial"/>
          <w:color w:val="2b2b2b"/>
          <w:sz w:val="22"/>
          <w:szCs w:val="22"/>
        </w:rPr>
        <w:t xml:space="preserve">A Random Forest Classifier was built to predict whether an order is at risk of late delivery before it is shipped. This predictive capability allows operations teams to proactively intervene and re-route high-risk orders.</w:t>
      </w:r>
    </w:p>
    <w:p>
      <w:pPr>
        <w:spacing w:after="160" w:line="288"/>
      </w:pPr>
      <w:r>
        <w:rPr>
          <w:rFonts w:ascii="Arial" w:cs="Arial" w:eastAsia="Arial" w:hAnsi="Arial"/>
          <w:color w:val="2b2b2b"/>
          <w:sz w:val="22"/>
          <w:szCs w:val="22"/>
        </w:rPr>
        <w:t xml:space="preserve"/>
      </w:r>
    </w:p>
    <w:p>
      <w:pPr>
        <w:pStyle w:val="Heading2"/>
        <w:spacing w:after="100" w:before="300"/>
      </w:pPr>
      <w:r>
        <w:rPr>
          <w:rFonts w:ascii="Arial" w:cs="Arial" w:eastAsia="Arial" w:hAnsi="Arial"/>
          <w:b/>
          <w:bCs/>
          <w:color w:val="2c5f8a"/>
          <w:sz w:val="26"/>
          <w:szCs w:val="26"/>
        </w:rPr>
        <w:t xml:space="preserve">10.1 Feature Engineering &amp; Class Balancing</w:t>
      </w:r>
    </w:p>
    <w:p>
      <w:pPr>
        <w:spacing w:after="160" w:line="288"/>
      </w:pPr>
      <w:r>
        <w:rPr>
          <w:rFonts w:ascii="Arial" w:cs="Arial" w:eastAsia="Arial" w:hAnsi="Arial"/>
          <w:color w:val="2b2b2b"/>
          <w:sz w:val="22"/>
          <w:szCs w:val="22"/>
        </w:rPr>
        <w:t xml:space="preserve">Several new features were engineered from the existing data to improve model quality:</w:t>
      </w:r>
    </w:p>
    <w:p>
      <w:pPr>
        <w:pStyle w:val="ListParagraph"/>
        <w:numPr>
          <w:ilvl w:val="0"/>
          <w:numId w:val="2"/>
        </w:numPr>
        <w:spacing w:after="120"/>
      </w:pPr>
      <w:r>
        <w:rPr>
          <w:rFonts w:ascii="Arial" w:cs="Arial" w:eastAsia="Arial" w:hAnsi="Arial"/>
          <w:color w:val="2b2b2b"/>
          <w:sz w:val="22"/>
          <w:szCs w:val="22"/>
        </w:rPr>
        <w:t xml:space="preserve">Order Processing Time: difference in days between order placement and shipment.</w:t>
      </w:r>
    </w:p>
    <w:p>
      <w:pPr>
        <w:pStyle w:val="ListParagraph"/>
        <w:numPr>
          <w:ilvl w:val="0"/>
          <w:numId w:val="2"/>
        </w:numPr>
        <w:spacing w:after="120"/>
      </w:pPr>
      <w:r>
        <w:rPr>
          <w:rFonts w:ascii="Arial" w:cs="Arial" w:eastAsia="Arial" w:hAnsi="Arial"/>
          <w:color w:val="2b2b2b"/>
          <w:sz w:val="22"/>
          <w:szCs w:val="22"/>
        </w:rPr>
        <w:t xml:space="preserve">Delay: actual processing time minus scheduled shipment days — the core target-related signal.</w:t>
      </w:r>
    </w:p>
    <w:p>
      <w:pPr>
        <w:pStyle w:val="ListParagraph"/>
        <w:numPr>
          <w:ilvl w:val="0"/>
          <w:numId w:val="2"/>
        </w:numPr>
        <w:spacing w:after="120"/>
      </w:pPr>
      <w:r>
        <w:rPr>
          <w:rFonts w:ascii="Arial" w:cs="Arial" w:eastAsia="Arial" w:hAnsi="Arial"/>
          <w:color w:val="2b2b2b"/>
          <w:sz w:val="22"/>
          <w:szCs w:val="22"/>
        </w:rPr>
        <w:t xml:space="preserve">Is_Delayed: binary flag (True/False) based on whether Delay &gt; 0.</w:t>
      </w:r>
    </w:p>
    <w:p>
      <w:pPr>
        <w:pStyle w:val="ListParagraph"/>
        <w:numPr>
          <w:ilvl w:val="0"/>
          <w:numId w:val="2"/>
        </w:numPr>
        <w:spacing w:after="120"/>
      </w:pPr>
      <w:r>
        <w:rPr>
          <w:rFonts w:ascii="Arial" w:cs="Arial" w:eastAsia="Arial" w:hAnsi="Arial"/>
          <w:color w:val="2b2b2b"/>
          <w:sz w:val="22"/>
          <w:szCs w:val="22"/>
        </w:rPr>
        <w:t xml:space="preserve">Time features: order month, day, hour, year, day-of-week, and weekday name.</w:t>
      </w:r>
    </w:p>
    <w:p>
      <w:pPr>
        <w:pStyle w:val="ListParagraph"/>
        <w:numPr>
          <w:ilvl w:val="0"/>
          <w:numId w:val="2"/>
        </w:numPr>
        <w:spacing w:after="120"/>
      </w:pPr>
      <w:r>
        <w:rPr>
          <w:rFonts w:ascii="Arial" w:cs="Arial" w:eastAsia="Arial" w:hAnsi="Arial"/>
          <w:color w:val="2b2b2b"/>
          <w:sz w:val="22"/>
          <w:szCs w:val="22"/>
        </w:rPr>
        <w:t xml:space="preserve">Profitability Flag: categorizes each order as Profitable, Break-even, or Loss-making.</w:t>
      </w:r>
    </w:p>
    <w:p>
      <w:pPr>
        <w:pStyle w:val="ListParagraph"/>
        <w:numPr>
          <w:ilvl w:val="0"/>
          <w:numId w:val="2"/>
        </w:numPr>
        <w:spacing w:after="120"/>
      </w:pPr>
      <w:r>
        <w:rPr>
          <w:rFonts w:ascii="Arial" w:cs="Arial" w:eastAsia="Arial" w:hAnsi="Arial"/>
          <w:color w:val="2b2b2b"/>
          <w:sz w:val="22"/>
          <w:szCs w:val="22"/>
        </w:rPr>
        <w:t xml:space="preserve">Schedule Gap: difference between actual and scheduled shipping days.</w:t>
      </w:r>
    </w:p>
    <w:p>
      <w:pPr>
        <w:pStyle w:val="ListParagraph"/>
        <w:numPr>
          <w:ilvl w:val="0"/>
          <w:numId w:val="2"/>
        </w:numPr>
        <w:spacing w:after="120"/>
      </w:pPr>
      <w:r>
        <w:rPr>
          <w:rFonts w:ascii="Arial" w:cs="Arial" w:eastAsia="Arial" w:hAnsi="Arial"/>
          <w:color w:val="2b2b2b"/>
          <w:sz w:val="22"/>
          <w:szCs w:val="22"/>
        </w:rPr>
        <w:t xml:space="preserve">Processing Bin: groups orders by processing speed for easier segmentation.</w:t>
      </w:r>
    </w:p>
    <w:p>
      <w:pPr>
        <w:spacing w:after="160" w:line="288"/>
      </w:pPr>
      <w:r>
        <w:rPr>
          <w:rFonts w:ascii="Arial" w:cs="Arial" w:eastAsia="Arial" w:hAnsi="Arial"/>
          <w:color w:val="2b2b2b"/>
          <w:sz w:val="22"/>
          <w:szCs w:val="22"/>
        </w:rPr>
        <w:t xml:space="preserve"/>
      </w:r>
    </w:p>
    <w:p>
      <w:pPr>
        <w:spacing w:after="160" w:line="288"/>
      </w:pPr>
      <w:r>
        <w:rPr>
          <w:rFonts w:ascii="Arial" w:cs="Arial" w:eastAsia="Arial" w:hAnsi="Arial"/>
          <w:color w:val="2b2b2b"/>
          <w:sz w:val="22"/>
          <w:szCs w:val="22"/>
        </w:rPr>
        <w:t xml:space="preserve">Fourteen features were selected as model inputs. All categorical columns (payment type, shipping mode, market, etc.) were encoded using Frequency Encoding — replacing each category with its relative frequency in the dataset. The data was split 80/20 (train/test) with stratified sampling.</w:t>
      </w:r>
    </w:p>
    <w:p>
      <w:pPr>
        <w:spacing w:after="160" w:line="288"/>
      </w:pPr>
      <w:r>
        <w:rPr>
          <w:rFonts w:ascii="Arial" w:cs="Arial" w:eastAsia="Arial" w:hAnsi="Arial"/>
          <w:color w:val="2b2b2b"/>
          <w:sz w:val="22"/>
          <w:szCs w:val="22"/>
        </w:rPr>
        <w:t xml:space="preserve"/>
      </w:r>
    </w:p>
    <w:p>
      <w:pPr>
        <w:spacing w:after="160" w:line="288"/>
      </w:pPr>
      <w:r>
        <w:rPr>
          <w:rFonts w:ascii="Arial" w:cs="Arial" w:eastAsia="Arial" w:hAnsi="Arial"/>
          <w:color w:val="2b2b2b"/>
          <w:sz w:val="22"/>
          <w:szCs w:val="22"/>
        </w:rPr>
        <w:t xml:space="preserve">The training set had a class imbalance: 79,182 late-delivery cases vs 59,030 on-time cases. SMOTE (Synthetic Minority Over-sampling Technique) was applied to balance the training set to 79,182 samples per class before model training.</w:t>
      </w:r>
    </w:p>
    <w:p>
      <w:pPr>
        <w:spacing w:after="160" w:line="288"/>
      </w:pPr>
      <w:r>
        <w:rPr>
          <w:rFonts w:ascii="Arial" w:cs="Arial" w:eastAsia="Arial" w:hAnsi="Arial"/>
          <w:color w:val="2b2b2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F1F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Split</w:t>
            </w:r>
          </w:p>
        </w:tc>
        <w:tc>
          <w:tcPr>
            <w:tcW w:type="dxa" w:w="3120"/>
            <w:tcBorders>
              <w:top w:val="single" w:color="DDDDDD" w:sz="1"/>
              <w:left w:val="single" w:color="DDDDDD" w:sz="1"/>
              <w:bottom w:val="single" w:color="DDDDDD" w:sz="1"/>
              <w:right w:val="single" w:color="DDDDDD" w:sz="1"/>
            </w:tcBorders>
            <w:shd w:fill="1F1F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Before SMOTE</w:t>
            </w:r>
          </w:p>
        </w:tc>
        <w:tc>
          <w:tcPr>
            <w:tcW w:type="dxa" w:w="3120"/>
            <w:tcBorders>
              <w:top w:val="single" w:color="DDDDDD" w:sz="1"/>
              <w:left w:val="single" w:color="DDDDDD" w:sz="1"/>
              <w:bottom w:val="single" w:color="DDDDDD" w:sz="1"/>
              <w:right w:val="single" w:color="DDDDDD" w:sz="1"/>
            </w:tcBorders>
            <w:shd w:fill="1F1F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After SMOTE</w:t>
            </w:r>
          </w:p>
        </w:tc>
      </w:tr>
      <w:tr>
        <w:tc>
          <w:tcPr>
            <w:tcW w:type="dxa" w:w="312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pPr>
              <w:jc w:val="left"/>
            </w:pPr>
            <w:r>
              <w:rPr>
                <w:rFonts w:ascii="Arial" w:cs="Arial" w:eastAsia="Arial" w:hAnsi="Arial"/>
                <w:color w:val="2b2b2b"/>
                <w:sz w:val="20"/>
                <w:szCs w:val="20"/>
              </w:rPr>
              <w:t xml:space="preserve">Late Delivery (1)</w:t>
            </w:r>
          </w:p>
        </w:tc>
        <w:tc>
          <w:tcPr>
            <w:tcW w:type="dxa" w:w="312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pPr>
              <w:jc w:val="center"/>
            </w:pPr>
            <w:r>
              <w:rPr>
                <w:rFonts w:ascii="Arial" w:cs="Arial" w:eastAsia="Arial" w:hAnsi="Arial"/>
                <w:color w:val="2b2b2b"/>
                <w:sz w:val="20"/>
                <w:szCs w:val="20"/>
              </w:rPr>
              <w:t xml:space="preserve">79,182</w:t>
            </w:r>
          </w:p>
        </w:tc>
        <w:tc>
          <w:tcPr>
            <w:tcW w:type="dxa" w:w="312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pPr>
              <w:jc w:val="center"/>
            </w:pPr>
            <w:r>
              <w:rPr>
                <w:rFonts w:ascii="Arial" w:cs="Arial" w:eastAsia="Arial" w:hAnsi="Arial"/>
                <w:color w:val="2b2b2b"/>
                <w:sz w:val="20"/>
                <w:szCs w:val="20"/>
              </w:rPr>
              <w:t xml:space="preserve">79,182</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2b2b2b"/>
                <w:sz w:val="20"/>
                <w:szCs w:val="20"/>
              </w:rPr>
              <w:t xml:space="preserve">On-Time (0)</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b2b2b"/>
                <w:sz w:val="20"/>
                <w:szCs w:val="20"/>
              </w:rPr>
              <w:t xml:space="preserve">59,030</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b2b2b"/>
                <w:sz w:val="20"/>
                <w:szCs w:val="20"/>
              </w:rPr>
              <w:t xml:space="preserve">79,182</w:t>
            </w:r>
          </w:p>
        </w:tc>
      </w:tr>
      <w:tr>
        <w:tc>
          <w:tcPr>
            <w:tcW w:type="dxa" w:w="312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pPr>
              <w:jc w:val="left"/>
            </w:pPr>
            <w:r>
              <w:rPr>
                <w:rFonts w:ascii="Arial" w:cs="Arial" w:eastAsia="Arial" w:hAnsi="Arial"/>
                <w:color w:val="2b2b2b"/>
                <w:sz w:val="20"/>
                <w:szCs w:val="20"/>
              </w:rPr>
              <w:t xml:space="preserve">Total</w:t>
            </w:r>
          </w:p>
        </w:tc>
        <w:tc>
          <w:tcPr>
            <w:tcW w:type="dxa" w:w="312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pPr>
              <w:jc w:val="center"/>
            </w:pPr>
            <w:r>
              <w:rPr>
                <w:rFonts w:ascii="Arial" w:cs="Arial" w:eastAsia="Arial" w:hAnsi="Arial"/>
                <w:color w:val="2b2b2b"/>
                <w:sz w:val="20"/>
                <w:szCs w:val="20"/>
              </w:rPr>
              <w:t xml:space="preserve">138,212</w:t>
            </w:r>
          </w:p>
        </w:tc>
        <w:tc>
          <w:tcPr>
            <w:tcW w:type="dxa" w:w="312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pPr>
              <w:jc w:val="center"/>
            </w:pPr>
            <w:r>
              <w:rPr>
                <w:rFonts w:ascii="Arial" w:cs="Arial" w:eastAsia="Arial" w:hAnsi="Arial"/>
                <w:color w:val="2b2b2b"/>
                <w:sz w:val="20"/>
                <w:szCs w:val="20"/>
              </w:rPr>
              <w:t xml:space="preserve">158,364</w:t>
            </w:r>
          </w:p>
        </w:tc>
      </w:tr>
    </w:tbl>
    <w:p>
      <w:pPr>
        <w:spacing w:after="160" w:line="288"/>
      </w:pPr>
      <w:r>
        <w:rPr>
          <w:rFonts w:ascii="Arial" w:cs="Arial" w:eastAsia="Arial" w:hAnsi="Arial"/>
          <w:color w:val="2b2b2b"/>
          <w:sz w:val="22"/>
          <w:szCs w:val="22"/>
        </w:rPr>
        <w:t xml:space="preserve"/>
      </w:r>
    </w:p>
    <w:p>
      <w:pPr>
        <w:pStyle w:val="Heading2"/>
        <w:spacing w:after="100" w:before="300"/>
      </w:pPr>
      <w:r>
        <w:rPr>
          <w:rFonts w:ascii="Arial" w:cs="Arial" w:eastAsia="Arial" w:hAnsi="Arial"/>
          <w:b/>
          <w:bCs/>
          <w:color w:val="2c5f8a"/>
          <w:sz w:val="26"/>
          <w:szCs w:val="26"/>
        </w:rPr>
        <w:t xml:space="preserve">10.2 Model Performance Results</w:t>
      </w:r>
    </w:p>
    <w:p>
      <w:pPr>
        <w:spacing w:after="160" w:line="288"/>
      </w:pPr>
      <w:r>
        <w:rPr>
          <w:rFonts w:ascii="Arial" w:cs="Arial" w:eastAsia="Arial" w:hAnsi="Arial"/>
          <w:color w:val="2b2b2b"/>
          <w:sz w:val="22"/>
          <w:szCs w:val="22"/>
        </w:rPr>
        <w:t xml:space="preserve">The Random Forest Classifier was evaluated on 34,553 held-out test orders and produced the following results:</w:t>
      </w:r>
    </w:p>
    <w:p>
      <w:pPr>
        <w:spacing w:after="160" w:line="288"/>
      </w:pPr>
      <w:r>
        <w:rPr>
          <w:rFonts w:ascii="Arial" w:cs="Arial" w:eastAsia="Arial" w:hAnsi="Arial"/>
          <w:color w:val="2b2b2b"/>
          <w:sz w:val="22"/>
          <w:szCs w:val="22"/>
        </w:rPr>
        <w:t xml:space="preserve"/>
      </w:r>
    </w:p>
    <w:p>
      <w:pPr>
        <w:spacing w:after="220" w:before="140"/>
        <w:jc w:val="center"/>
      </w:pPr>
      <w:r>
        <w:drawing>
          <wp:inline distT="0" distB="0" distL="0" distR="0">
            <wp:extent cx="47625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647950"/>
                    </a:xfrm>
                    <a:prstGeom prst="rect">
                      <a:avLst/>
                    </a:prstGeom>
                  </pic:spPr>
                </pic:pic>
              </a:graphicData>
            </a:graphic>
          </wp:inline>
        </w:drawing>
      </w:r>
    </w:p>
    <w:p>
      <w:pPr>
        <w:spacing w:after="260"/>
        <w:jc w:val="center"/>
      </w:pPr>
      <w:r>
        <w:rPr>
          <w:rFonts w:ascii="Arial" w:cs="Arial" w:eastAsia="Arial" w:hAnsi="Arial"/>
          <w:i/>
          <w:iCs/>
          <w:color w:val="888888"/>
          <w:sz w:val="18"/>
          <w:szCs w:val="18"/>
        </w:rPr>
        <w:t xml:space="preserve">Figure 8 — Random Forest Classifier: Performance Metrics by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F1F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Metric</w:t>
            </w:r>
          </w:p>
        </w:tc>
        <w:tc>
          <w:tcPr>
            <w:tcW w:type="dxa" w:w="2340"/>
            <w:tcBorders>
              <w:top w:val="single" w:color="DDDDDD" w:sz="1"/>
              <w:left w:val="single" w:color="DDDDDD" w:sz="1"/>
              <w:bottom w:val="single" w:color="DDDDDD" w:sz="1"/>
              <w:right w:val="single" w:color="DDDDDD" w:sz="1"/>
            </w:tcBorders>
            <w:shd w:fill="1F1F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On-Time (Class 0)</w:t>
            </w:r>
          </w:p>
        </w:tc>
        <w:tc>
          <w:tcPr>
            <w:tcW w:type="dxa" w:w="2340"/>
            <w:tcBorders>
              <w:top w:val="single" w:color="DDDDDD" w:sz="1"/>
              <w:left w:val="single" w:color="DDDDDD" w:sz="1"/>
              <w:bottom w:val="single" w:color="DDDDDD" w:sz="1"/>
              <w:right w:val="single" w:color="DDDDDD" w:sz="1"/>
            </w:tcBorders>
            <w:shd w:fill="1F1F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Late Delivery (Class 1)</w:t>
            </w:r>
          </w:p>
        </w:tc>
        <w:tc>
          <w:tcPr>
            <w:tcW w:type="dxa" w:w="2340"/>
            <w:tcBorders>
              <w:top w:val="single" w:color="DDDDDD" w:sz="1"/>
              <w:left w:val="single" w:color="DDDDDD" w:sz="1"/>
              <w:bottom w:val="single" w:color="DDDDDD" w:sz="1"/>
              <w:right w:val="single" w:color="DDDDDD" w:sz="1"/>
            </w:tcBorders>
            <w:shd w:fill="1F1F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Overall</w:t>
            </w:r>
          </w:p>
        </w:tc>
      </w:tr>
      <w:tr>
        <w:tc>
          <w:tcPr>
            <w:tcW w:type="dxa" w:w="234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pPr>
              <w:jc w:val="left"/>
            </w:pPr>
            <w:r>
              <w:rPr>
                <w:rFonts w:ascii="Arial" w:cs="Arial" w:eastAsia="Arial" w:hAnsi="Arial"/>
                <w:color w:val="2b2b2b"/>
                <w:sz w:val="20"/>
                <w:szCs w:val="20"/>
              </w:rPr>
              <w:t xml:space="preserve">Accuracy</w:t>
            </w:r>
          </w:p>
        </w:tc>
        <w:tc>
          <w:tcPr>
            <w:tcW w:type="dxa" w:w="234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pPr>
              <w:jc w:val="center"/>
            </w:pPr>
            <w:r>
              <w:rPr>
                <w:rFonts w:ascii="Arial" w:cs="Arial" w:eastAsia="Arial" w:hAnsi="Arial"/>
                <w:color w:val="2b2b2b"/>
                <w:sz w:val="20"/>
                <w:szCs w:val="20"/>
              </w:rPr>
              <w:t xml:space="preserve">—</w:t>
            </w:r>
          </w:p>
        </w:tc>
        <w:tc>
          <w:tcPr>
            <w:tcW w:type="dxa" w:w="234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pPr>
              <w:jc w:val="center"/>
            </w:pPr>
            <w:r>
              <w:rPr>
                <w:rFonts w:ascii="Arial" w:cs="Arial" w:eastAsia="Arial" w:hAnsi="Arial"/>
                <w:color w:val="2b2b2b"/>
                <w:sz w:val="20"/>
                <w:szCs w:val="20"/>
              </w:rPr>
              <w:t xml:space="preserve">—</w:t>
            </w:r>
          </w:p>
        </w:tc>
        <w:tc>
          <w:tcPr>
            <w:tcW w:type="dxa" w:w="234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pPr>
              <w:jc w:val="center"/>
            </w:pPr>
            <w:r>
              <w:rPr>
                <w:rFonts w:ascii="Arial" w:cs="Arial" w:eastAsia="Arial" w:hAnsi="Arial"/>
                <w:color w:val="2b2b2b"/>
                <w:sz w:val="20"/>
                <w:szCs w:val="20"/>
              </w:rPr>
              <w:t xml:space="preserve">80%</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2b2b2b"/>
                <w:sz w:val="20"/>
                <w:szCs w:val="20"/>
              </w:rPr>
              <w:t xml:space="preserve">Precision</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b2b2b"/>
                <w:sz w:val="20"/>
                <w:szCs w:val="20"/>
              </w:rPr>
              <w:t xml:space="preserve">74%</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b2b2b"/>
                <w:sz w:val="20"/>
                <w:szCs w:val="20"/>
              </w:rPr>
              <w:t xml:space="preserve">86%</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b2b2b"/>
                <w:sz w:val="20"/>
                <w:szCs w:val="20"/>
              </w:rPr>
              <w:t xml:space="preserve">81%</w:t>
            </w:r>
          </w:p>
        </w:tc>
      </w:tr>
      <w:tr>
        <w:tc>
          <w:tcPr>
            <w:tcW w:type="dxa" w:w="234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pPr>
              <w:jc w:val="left"/>
            </w:pPr>
            <w:r>
              <w:rPr>
                <w:rFonts w:ascii="Arial" w:cs="Arial" w:eastAsia="Arial" w:hAnsi="Arial"/>
                <w:color w:val="2b2b2b"/>
                <w:sz w:val="20"/>
                <w:szCs w:val="20"/>
              </w:rPr>
              <w:t xml:space="preserve">Recall</w:t>
            </w:r>
          </w:p>
        </w:tc>
        <w:tc>
          <w:tcPr>
            <w:tcW w:type="dxa" w:w="234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pPr>
              <w:jc w:val="center"/>
            </w:pPr>
            <w:r>
              <w:rPr>
                <w:rFonts w:ascii="Arial" w:cs="Arial" w:eastAsia="Arial" w:hAnsi="Arial"/>
                <w:color w:val="2b2b2b"/>
                <w:sz w:val="20"/>
                <w:szCs w:val="20"/>
              </w:rPr>
              <w:t xml:space="preserve">83%</w:t>
            </w:r>
          </w:p>
        </w:tc>
        <w:tc>
          <w:tcPr>
            <w:tcW w:type="dxa" w:w="234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pPr>
              <w:jc w:val="center"/>
            </w:pPr>
            <w:r>
              <w:rPr>
                <w:rFonts w:ascii="Arial" w:cs="Arial" w:eastAsia="Arial" w:hAnsi="Arial"/>
                <w:color w:val="2b2b2b"/>
                <w:sz w:val="20"/>
                <w:szCs w:val="20"/>
              </w:rPr>
              <w:t xml:space="preserve">78%</w:t>
            </w:r>
          </w:p>
        </w:tc>
        <w:tc>
          <w:tcPr>
            <w:tcW w:type="dxa" w:w="234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pPr>
              <w:jc w:val="center"/>
            </w:pPr>
            <w:r>
              <w:rPr>
                <w:rFonts w:ascii="Arial" w:cs="Arial" w:eastAsia="Arial" w:hAnsi="Arial"/>
                <w:color w:val="2b2b2b"/>
                <w:sz w:val="20"/>
                <w:szCs w:val="20"/>
              </w:rPr>
              <w:t xml:space="preserve">80%</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2b2b2b"/>
                <w:sz w:val="20"/>
                <w:szCs w:val="20"/>
              </w:rPr>
              <w:t xml:space="preserve">F1-Score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b2b2b"/>
                <w:sz w:val="20"/>
                <w:szCs w:val="20"/>
              </w:rPr>
              <w:t xml:space="preserve">78%</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b2b2b"/>
                <w:sz w:val="20"/>
                <w:szCs w:val="20"/>
              </w:rPr>
              <w:t xml:space="preserve">82%</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2b2b2b"/>
                <w:sz w:val="20"/>
                <w:szCs w:val="20"/>
              </w:rPr>
              <w:t xml:space="preserve">80%</w:t>
            </w:r>
          </w:p>
        </w:tc>
      </w:tr>
      <w:tr>
        <w:tc>
          <w:tcPr>
            <w:tcW w:type="dxa" w:w="234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pPr>
              <w:jc w:val="left"/>
            </w:pPr>
            <w:r>
              <w:rPr>
                <w:rFonts w:ascii="Arial" w:cs="Arial" w:eastAsia="Arial" w:hAnsi="Arial"/>
                <w:color w:val="2b2b2b"/>
                <w:sz w:val="20"/>
                <w:szCs w:val="20"/>
              </w:rPr>
              <w:t xml:space="preserve">Support</w:t>
            </w:r>
          </w:p>
        </w:tc>
        <w:tc>
          <w:tcPr>
            <w:tcW w:type="dxa" w:w="234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pPr>
              <w:jc w:val="center"/>
            </w:pPr>
            <w:r>
              <w:rPr>
                <w:rFonts w:ascii="Arial" w:cs="Arial" w:eastAsia="Arial" w:hAnsi="Arial"/>
                <w:color w:val="2b2b2b"/>
                <w:sz w:val="20"/>
                <w:szCs w:val="20"/>
              </w:rPr>
              <w:t xml:space="preserve">14,758</w:t>
            </w:r>
          </w:p>
        </w:tc>
        <w:tc>
          <w:tcPr>
            <w:tcW w:type="dxa" w:w="234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pPr>
              <w:jc w:val="center"/>
            </w:pPr>
            <w:r>
              <w:rPr>
                <w:rFonts w:ascii="Arial" w:cs="Arial" w:eastAsia="Arial" w:hAnsi="Arial"/>
                <w:color w:val="2b2b2b"/>
                <w:sz w:val="20"/>
                <w:szCs w:val="20"/>
              </w:rPr>
              <w:t xml:space="preserve">19,795</w:t>
            </w:r>
          </w:p>
        </w:tc>
        <w:tc>
          <w:tcPr>
            <w:tcW w:type="dxa" w:w="2340"/>
            <w:tcBorders>
              <w:top w:val="single" w:color="DDDDDD" w:sz="1"/>
              <w:left w:val="single" w:color="DDDDDD" w:sz="1"/>
              <w:bottom w:val="single" w:color="DDDDDD" w:sz="1"/>
              <w:right w:val="single" w:color="DDDDDD" w:sz="1"/>
            </w:tcBorders>
            <w:shd w:fill="F4F6FB" w:val="clear"/>
            <w:tcMar>
              <w:top w:type="dxa" w:w="80"/>
              <w:left w:type="dxa" w:w="120"/>
              <w:bottom w:type="dxa" w:w="80"/>
              <w:right w:type="dxa" w:w="120"/>
            </w:tcMar>
          </w:tcPr>
          <w:p>
            <w:pPr>
              <w:jc w:val="center"/>
            </w:pPr>
            <w:r>
              <w:rPr>
                <w:rFonts w:ascii="Arial" w:cs="Arial" w:eastAsia="Arial" w:hAnsi="Arial"/>
                <w:color w:val="2b2b2b"/>
                <w:sz w:val="20"/>
                <w:szCs w:val="20"/>
              </w:rPr>
              <w:t xml:space="preserve">34,553</w:t>
            </w:r>
          </w:p>
        </w:tc>
      </w:tr>
    </w:tbl>
    <w:p>
      <w:pPr>
        <w:spacing w:after="160" w:line="288"/>
      </w:pPr>
      <w:r>
        <w:rPr>
          <w:rFonts w:ascii="Arial" w:cs="Arial" w:eastAsia="Arial" w:hAnsi="Arial"/>
          <w:color w:val="2b2b2b"/>
          <w:sz w:val="22"/>
          <w:szCs w:val="22"/>
        </w:rPr>
        <w:t xml:space="preserve"/>
      </w:r>
    </w:p>
    <w:p>
      <w:pPr>
        <w:spacing w:after="160" w:line="288"/>
      </w:pPr>
      <w:r>
        <w:rPr>
          <w:rFonts w:ascii="Arial" w:cs="Arial" w:eastAsia="Arial" w:hAnsi="Arial"/>
          <w:color w:val="2b2b2b"/>
          <w:sz w:val="22"/>
          <w:szCs w:val="22"/>
        </w:rPr>
        <w:t xml:space="preserve">The model achieves 80% overall accuracy. The high precision of 86% for late deliveries means when the model flags an order as high-risk, it is correct 86% of the time — minimizing false alarms. The recall of 78% means it catches the vast majority of genuinely late orders. An F1-score of 0.82 for the late-delivery class reflects a strong and balanced predictor ready for production use.</w:t>
      </w:r>
    </w:p>
    <w:p>
      <w:pPr>
        <w:pStyle w:val="Heading1"/>
        <w:spacing w:after="100" w:before="440"/>
      </w:pPr>
      <w:r>
        <w:rPr>
          <w:rFonts w:ascii="Arial" w:cs="Arial" w:eastAsia="Arial" w:hAnsi="Arial"/>
          <w:b/>
          <w:bCs/>
          <w:color w:val="1F1F5E"/>
          <w:sz w:val="34"/>
          <w:szCs w:val="34"/>
        </w:rPr>
        <w:t xml:space="preserve">11. Key Findings &amp; Recommendations</w:t>
      </w:r>
    </w:p>
    <w:p>
      <w:pPr>
        <w:pBdr>
          <w:bottom w:val="single" w:color="2c5f8a" w:sz="8" w:space="1"/>
        </w:pBdr>
        <w:spacing w:after="200" w:before="0"/>
      </w:pPr>
    </w:p>
    <w:p>
      <w:pPr>
        <w:pStyle w:val="Heading2"/>
        <w:spacing w:after="100" w:before="300"/>
      </w:pPr>
      <w:r>
        <w:rPr>
          <w:rFonts w:ascii="Arial" w:cs="Arial" w:eastAsia="Arial" w:hAnsi="Arial"/>
          <w:b/>
          <w:bCs/>
          <w:color w:val="2c5f8a"/>
          <w:sz w:val="26"/>
          <w:szCs w:val="26"/>
        </w:rPr>
        <w:t xml:space="preserve">Key Findings</w:t>
      </w:r>
    </w:p>
    <w:p>
      <w:pPr>
        <w:pStyle w:val="ListParagraph"/>
        <w:numPr>
          <w:ilvl w:val="0"/>
          <w:numId w:val="2"/>
        </w:numPr>
        <w:spacing w:after="120"/>
      </w:pPr>
      <w:r>
        <w:rPr>
          <w:rFonts w:ascii="Arial" w:cs="Arial" w:eastAsia="Arial" w:hAnsi="Arial"/>
          <w:color w:val="2b2b2b"/>
          <w:sz w:val="22"/>
          <w:szCs w:val="22"/>
        </w:rPr>
        <w:t xml:space="preserve">54.71% of all orders are delivered late — more than half of all customers receive orders beyond the promised date.</w:t>
      </w:r>
    </w:p>
    <w:p>
      <w:pPr>
        <w:pStyle w:val="ListParagraph"/>
        <w:numPr>
          <w:ilvl w:val="0"/>
          <w:numId w:val="2"/>
        </w:numPr>
        <w:spacing w:after="120"/>
      </w:pPr>
      <w:r>
        <w:rPr>
          <w:rFonts w:ascii="Arial" w:cs="Arial" w:eastAsia="Arial" w:hAnsi="Arial"/>
          <w:color w:val="2b2b2b"/>
          <w:sz w:val="22"/>
          <w:szCs w:val="22"/>
        </w:rPr>
        <w:t xml:space="preserve">$2.1M in profit is lost directly due to delivery delays out of a total profit of $7.5M (28% erosion).</w:t>
      </w:r>
    </w:p>
    <w:p>
      <w:pPr>
        <w:pStyle w:val="ListParagraph"/>
        <w:numPr>
          <w:ilvl w:val="0"/>
          <w:numId w:val="2"/>
        </w:numPr>
        <w:spacing w:after="120"/>
      </w:pPr>
      <w:r>
        <w:rPr>
          <w:rFonts w:ascii="Arial" w:cs="Arial" w:eastAsia="Arial" w:hAnsi="Arial"/>
          <w:color w:val="2b2b2b"/>
          <w:sz w:val="22"/>
          <w:szCs w:val="22"/>
        </w:rPr>
        <w:t xml:space="preserve">Second Class shipping is the worst performing mode: 1.99-day average delay and 80% late risk rate.</w:t>
      </w:r>
    </w:p>
    <w:p>
      <w:pPr>
        <w:pStyle w:val="ListParagraph"/>
        <w:numPr>
          <w:ilvl w:val="0"/>
          <w:numId w:val="2"/>
        </w:numPr>
        <w:spacing w:after="120"/>
      </w:pPr>
      <w:r>
        <w:rPr>
          <w:rFonts w:ascii="Arial" w:cs="Arial" w:eastAsia="Arial" w:hAnsi="Arial"/>
          <w:color w:val="2b2b2b"/>
          <w:sz w:val="22"/>
          <w:szCs w:val="22"/>
        </w:rPr>
        <w:t xml:space="preserve">First Class has a 100% late risk rate despite its premium label — a major scheduling breakdown.</w:t>
      </w:r>
    </w:p>
    <w:p>
      <w:pPr>
        <w:pStyle w:val="ListParagraph"/>
        <w:numPr>
          <w:ilvl w:val="0"/>
          <w:numId w:val="2"/>
        </w:numPr>
        <w:spacing w:after="120"/>
      </w:pPr>
      <w:r>
        <w:rPr>
          <w:rFonts w:ascii="Arial" w:cs="Arial" w:eastAsia="Arial" w:hAnsi="Arial"/>
          <w:color w:val="2b2b2b"/>
          <w:sz w:val="22"/>
          <w:szCs w:val="22"/>
        </w:rPr>
        <w:t xml:space="preserve">Standard Class, handling 60% of all orders, performs best with near-zero average delay.</w:t>
      </w:r>
    </w:p>
    <w:p>
      <w:pPr>
        <w:pStyle w:val="ListParagraph"/>
        <w:numPr>
          <w:ilvl w:val="0"/>
          <w:numId w:val="2"/>
        </w:numPr>
        <w:spacing w:after="120"/>
      </w:pPr>
      <w:r>
        <w:rPr>
          <w:rFonts w:ascii="Arial" w:cs="Arial" w:eastAsia="Arial" w:hAnsi="Arial"/>
          <w:color w:val="2b2b2b"/>
          <w:sz w:val="22"/>
          <w:szCs w:val="22"/>
        </w:rPr>
        <w:t xml:space="preserve">Central Africa is the worst-performing geographic region consistently across all analyses.</w:t>
      </w:r>
    </w:p>
    <w:p>
      <w:pPr>
        <w:pStyle w:val="ListParagraph"/>
        <w:numPr>
          <w:ilvl w:val="0"/>
          <w:numId w:val="2"/>
        </w:numPr>
        <w:spacing w:after="120"/>
      </w:pPr>
      <w:r>
        <w:rPr>
          <w:rFonts w:ascii="Arial" w:cs="Arial" w:eastAsia="Arial" w:hAnsi="Arial"/>
          <w:color w:val="2b2b2b"/>
          <w:sz w:val="22"/>
          <w:szCs w:val="22"/>
        </w:rPr>
        <w:t xml:space="preserve">Home Office customers experience the highest delays among all customer segments.</w:t>
      </w:r>
    </w:p>
    <w:p>
      <w:pPr>
        <w:pStyle w:val="ListParagraph"/>
        <w:numPr>
          <w:ilvl w:val="0"/>
          <w:numId w:val="2"/>
        </w:numPr>
        <w:spacing w:after="120"/>
      </w:pPr>
      <w:r>
        <w:rPr>
          <w:rFonts w:ascii="Arial" w:cs="Arial" w:eastAsia="Arial" w:hAnsi="Arial"/>
          <w:color w:val="2b2b2b"/>
          <w:sz w:val="22"/>
          <w:szCs w:val="22"/>
        </w:rPr>
        <w:t xml:space="preserve">Overall delay trend is INCREASING — the situation is worsening over time without intervention.</w:t>
      </w:r>
    </w:p>
    <w:p>
      <w:pPr>
        <w:pStyle w:val="ListParagraph"/>
        <w:numPr>
          <w:ilvl w:val="0"/>
          <w:numId w:val="2"/>
        </w:numPr>
        <w:spacing w:after="120"/>
      </w:pPr>
      <w:r>
        <w:rPr>
          <w:rFonts w:ascii="Arial" w:cs="Arial" w:eastAsia="Arial" w:hAnsi="Arial"/>
          <w:color w:val="2b2b2b"/>
          <w:sz w:val="22"/>
          <w:szCs w:val="22"/>
        </w:rPr>
        <w:t xml:space="preserve">The ML model predicts late delivery with 80% accuracy and 86% precision — production-ready.</w:t>
      </w:r>
    </w:p>
    <w:p>
      <w:pPr>
        <w:spacing w:after="160" w:line="288"/>
      </w:pPr>
      <w:r>
        <w:rPr>
          <w:rFonts w:ascii="Arial" w:cs="Arial" w:eastAsia="Arial" w:hAnsi="Arial"/>
          <w:color w:val="2b2b2b"/>
          <w:sz w:val="22"/>
          <w:szCs w:val="22"/>
        </w:rPr>
        <w:t xml:space="preserve"/>
      </w:r>
    </w:p>
    <w:p>
      <w:pPr>
        <w:pStyle w:val="Heading2"/>
        <w:spacing w:after="100" w:before="300"/>
      </w:pPr>
      <w:r>
        <w:rPr>
          <w:rFonts w:ascii="Arial" w:cs="Arial" w:eastAsia="Arial" w:hAnsi="Arial"/>
          <w:b/>
          <w:bCs/>
          <w:color w:val="2c5f8a"/>
          <w:sz w:val="26"/>
          <w:szCs w:val="26"/>
        </w:rPr>
        <w:t xml:space="preserve">Recommendations</w:t>
      </w:r>
    </w:p>
    <w:p>
      <w:pPr>
        <w:pStyle w:val="ListParagraph"/>
        <w:numPr>
          <w:ilvl w:val="0"/>
          <w:numId w:val="2"/>
        </w:numPr>
        <w:spacing w:after="120"/>
      </w:pPr>
      <w:r>
        <w:rPr>
          <w:rFonts w:ascii="Arial" w:cs="Arial" w:eastAsia="Arial" w:hAnsi="Arial"/>
          <w:color w:val="2b2b2b"/>
          <w:sz w:val="22"/>
          <w:szCs w:val="22"/>
        </w:rPr>
        <w:t xml:space="preserve">Audit Second Class and First Class logistics pipelines immediately — their schedule gaps indicate either carrier under-performance or unrealistic scheduling promises.</w:t>
      </w:r>
    </w:p>
    <w:p>
      <w:pPr>
        <w:pStyle w:val="ListParagraph"/>
        <w:numPr>
          <w:ilvl w:val="0"/>
          <w:numId w:val="2"/>
        </w:numPr>
        <w:spacing w:after="120"/>
      </w:pPr>
      <w:r>
        <w:rPr>
          <w:rFonts w:ascii="Arial" w:cs="Arial" w:eastAsia="Arial" w:hAnsi="Arial"/>
          <w:color w:val="2b2b2b"/>
          <w:sz w:val="22"/>
          <w:szCs w:val="22"/>
        </w:rPr>
        <w:t xml:space="preserve">Deploy the Random Forest model as a real-time late-delivery alert system integrated into the order management platform.</w:t>
      </w:r>
    </w:p>
    <w:p>
      <w:pPr>
        <w:pStyle w:val="ListParagraph"/>
        <w:numPr>
          <w:ilvl w:val="0"/>
          <w:numId w:val="2"/>
        </w:numPr>
        <w:spacing w:after="120"/>
      </w:pPr>
      <w:r>
        <w:rPr>
          <w:rFonts w:ascii="Arial" w:cs="Arial" w:eastAsia="Arial" w:hAnsi="Arial"/>
          <w:color w:val="2b2b2b"/>
          <w:sz w:val="22"/>
          <w:szCs w:val="22"/>
        </w:rPr>
        <w:t xml:space="preserve">Conduct a focused operational review for Central Africa and other high-delay regions with tailored carrier contracts or regional logistics partners.</w:t>
      </w:r>
    </w:p>
    <w:p>
      <w:pPr>
        <w:pStyle w:val="ListParagraph"/>
        <w:numPr>
          <w:ilvl w:val="0"/>
          <w:numId w:val="2"/>
        </w:numPr>
        <w:spacing w:after="120"/>
      </w:pPr>
      <w:r>
        <w:rPr>
          <w:rFonts w:ascii="Arial" w:cs="Arial" w:eastAsia="Arial" w:hAnsi="Arial"/>
          <w:color w:val="2b2b2b"/>
          <w:sz w:val="22"/>
          <w:szCs w:val="22"/>
        </w:rPr>
        <w:t xml:space="preserve">Reduce processing time for orders taking more than 5 days — these generate an average 2.5-day delay and represent a key intervention point.</w:t>
      </w:r>
    </w:p>
    <w:p>
      <w:pPr>
        <w:pStyle w:val="ListParagraph"/>
        <w:numPr>
          <w:ilvl w:val="0"/>
          <w:numId w:val="2"/>
        </w:numPr>
        <w:spacing w:after="120"/>
      </w:pPr>
      <w:r>
        <w:rPr>
          <w:rFonts w:ascii="Arial" w:cs="Arial" w:eastAsia="Arial" w:hAnsi="Arial"/>
          <w:color w:val="2b2b2b"/>
          <w:sz w:val="22"/>
          <w:szCs w:val="22"/>
        </w:rPr>
        <w:t xml:space="preserve">Offer customers more accurate estimated delivery dates powered by the ML model rather than fixed schedule commitments.</w:t>
      </w:r>
    </w:p>
    <w:p>
      <w:pPr>
        <w:pStyle w:val="ListParagraph"/>
        <w:numPr>
          <w:ilvl w:val="0"/>
          <w:numId w:val="2"/>
        </w:numPr>
        <w:spacing w:after="120"/>
      </w:pPr>
      <w:r>
        <w:rPr>
          <w:rFonts w:ascii="Arial" w:cs="Arial" w:eastAsia="Arial" w:hAnsi="Arial"/>
          <w:color w:val="2b2b2b"/>
          <w:sz w:val="22"/>
          <w:szCs w:val="22"/>
        </w:rPr>
        <w:t xml:space="preserve">Monitor Monday and midday (12:00) order surges and increase processing staff or automation during these high-delay periods.</w:t>
      </w:r>
    </w:p>
    <w:p>
      <w:pPr>
        <w:spacing w:after="80"/>
      </w:pPr>
    </w:p>
    <w:p>
      <w:pPr>
        <w:spacing w:after="80"/>
      </w:pPr>
    </w:p>
    <w:p>
      <w:pPr>
        <w:pBdr>
          <w:top w:val="single" w:color="1F1F5E" w:sz="4" w:space="4"/>
        </w:pBdr>
        <w:spacing w:before="400"/>
        <w:jc w:val="center"/>
      </w:pPr>
      <w:r>
        <w:rPr>
          <w:rFonts w:ascii="Arial" w:cs="Arial" w:eastAsia="Arial" w:hAnsi="Arial"/>
          <w:i/>
          <w:iCs/>
          <w:color w:val="888888"/>
          <w:sz w:val="20"/>
          <w:szCs w:val="20"/>
        </w:rPr>
        <w:t xml:space="preserve">— End of Report —</w:t>
      </w:r>
    </w:p>
    <w:sectPr>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440"/>
      <w:outlineLvl w:val="0"/>
    </w:pPr>
    <w:rPr>
      <w:rFonts w:ascii="Arial" w:cs="Arial" w:eastAsia="Arial" w:hAnsi="Arial"/>
      <w:b/>
      <w:bCs/>
      <w:color w:val="1F1F5E"/>
      <w:sz w:val="34"/>
      <w:szCs w:val="34"/>
    </w:rPr>
  </w:style>
  <w:style w:type="paragraph" w:styleId="Heading2">
    <w:name w:val="Heading 2"/>
    <w:basedOn w:val="Normal"/>
    <w:next w:val="Normal"/>
    <w:qFormat/>
    <w:pPr>
      <w:spacing w:after="100" w:before="300"/>
      <w:outlineLvl w:val="1"/>
    </w:pPr>
    <w:rPr>
      <w:rFonts w:ascii="Arial" w:cs="Arial" w:eastAsia="Arial" w:hAnsi="Arial"/>
      <w:b/>
      <w:bCs/>
      <w:color w:val="2c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8590aa62f703e5557ed691ba5435cc289116d32.png"/><Relationship Id="rId8" Type="http://schemas.openxmlformats.org/officeDocument/2006/relationships/image" Target="media/77f90320ecdd7e5b56265c0fa54703517395321a.png"/><Relationship Id="rId9" Type="http://schemas.openxmlformats.org/officeDocument/2006/relationships/image" Target="media/a8e2b921b3421c001d01ba7de358425e3b5cdc15.png"/><Relationship Id="rId10" Type="http://schemas.openxmlformats.org/officeDocument/2006/relationships/image" Target="media/b57ac8dd8da687f7d32a9f002c95f6463234c182.png"/><Relationship Id="rId11" Type="http://schemas.openxmlformats.org/officeDocument/2006/relationships/image" Target="media/945b4afe23fb073f15087fdfad2bbe3e3b8e63c1.png"/><Relationship Id="rId12" Type="http://schemas.openxmlformats.org/officeDocument/2006/relationships/image" Target="media/27381ab1c4027389212aba8cf3776139ec2ee892.png"/><Relationship Id="rId13" Type="http://schemas.openxmlformats.org/officeDocument/2006/relationships/image" Target="media/55163cf00bf5100d59cf2f9fd3fa819d59788969.png"/><Relationship Id="rId14" Type="http://schemas.openxmlformats.org/officeDocument/2006/relationships/image" Target="media/0863e799b0f49c5fa64bd4ecd03d785c883509fa.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2026-05-30T08:25:52.424Z</dcterms:created>
  <dcterms:modified xsi:type="dcterms:W3CDTF">2026-05-30T08:25:52.424Z</dcterms:modified>
</cp:coreProperties>
</file>

<file path=docProps/custom.xml><?xml version="1.0" encoding="utf-8"?>
<Properties xmlns="http://schemas.openxmlformats.org/officeDocument/2006/custom-properties" xmlns:vt="http://schemas.openxmlformats.org/officeDocument/2006/docPropsVTypes"/>
</file>