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SYSTEM CAPACITY &amp; CARE LOAD ANALYTICS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Unaccompanied Children (UAC) Program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Executive Summary  ·  Data Coverage: Jan 12, 2023 – Dec 21, 2025  ·  Prepared for HHS / Unified Mentor stakeholders</w:t>
      </w:r>
    </w:p>
    <w:p>
      <w:pPr>
        <w:pStyle w:val="Heading1"/>
        <w:spacing w:after="140" w:before="320"/>
      </w:pPr>
      <w:r>
        <w:t xml:space="preserve">Purpose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HHS currently lacks a centralized way to continuously monitor total care-system load, the balance between inflow and outflow, and periods of capacity stress across the CBP-to-HHS unaccompanied children (UAC) pipeline. This summary presents the key findings from a full analysis of 720 days of daily operational data (2023–2025) and the resulting KPI framework and dashboard now available to support proactive, data-driven decisions.</w:t>
      </w:r>
    </w:p>
    <w:p>
      <w:pPr>
        <w:pStyle w:val="Heading1"/>
        <w:spacing w:after="140" w:before="320"/>
      </w:pPr>
      <w:r>
        <w:t xml:space="preserve">Current System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1730"/>
        <w:gridCol w:w="1730"/>
        <w:gridCol w:w="1730"/>
        <w:gridCol w:w="1730"/>
      </w:tblGrid>
      <w:tr>
        <w:tc>
          <w:tcPr>
            <w:tcW w:type="pct" w:w="20%"/>
            <w:shd w:fill="F2F4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30"/>
                <w:szCs w:val="30"/>
              </w:rPr>
              <w:t xml:space="preserve">2,502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Latest Total Load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children under care, 12/21/2025</w:t>
            </w:r>
          </w:p>
        </w:tc>
        <w:tc>
          <w:tcPr>
            <w:tcW w:type="pct" w:w="20%"/>
            <w:shd w:fill="F2F4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30"/>
                <w:szCs w:val="30"/>
              </w:rPr>
              <w:t xml:space="preserve">-71%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2023→2025 Change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avg. total system load</w:t>
            </w:r>
          </w:p>
        </w:tc>
        <w:tc>
          <w:tcPr>
            <w:tcW w:type="pct" w:w="20%"/>
            <w:shd w:fill="F2F4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30"/>
                <w:szCs w:val="30"/>
              </w:rPr>
              <w:t xml:space="preserve">11,762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Peak Load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Dec 20, 2023</w:t>
            </w:r>
          </w:p>
        </w:tc>
        <w:tc>
          <w:tcPr>
            <w:tcW w:type="pct" w:w="20%"/>
            <w:shd w:fill="F2F4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30"/>
                <w:szCs w:val="30"/>
              </w:rPr>
              <w:t xml:space="preserve">1.24%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Avg. Volatility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7-day rolling index</w:t>
            </w:r>
          </w:p>
        </w:tc>
        <w:tc>
          <w:tcPr>
            <w:tcW w:type="pct" w:w="20%"/>
            <w:shd w:fill="F2F4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30"/>
                <w:szCs w:val="30"/>
              </w:rPr>
              <w:t xml:space="preserve">1.28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Median Discharge Ratio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discharges ÷ transfers-in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load has declined sharply and sustainably. Average total system load (CBP custody + HHS care) fell from ~8,847 (2023) to ~2,576 (2025) — a ~71% reduction — driven primarily by lower CBP intake (117.6/day avg. in 2023 vs. 13.0/day in 2025), not solely faster HHS discharge.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sharpest relief window was Q1 2025. Monthly average total load dropped from ~5,080 (Jan 2025) to ~2,186 (Mar 2025) — a ~57% decline in two months — after which the system stabilized in a ~2,000–2,550 operating band.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most acute historical stress was late 2023–early 2024, with total load twice exceeding 11,000 and CBP custody spiking to 531 children in a single day (Feb 4, 2024) — CBP-side surges are the leading indicator of acute strain.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Backlog accumulation is typically short-lived. Sustained positive net-intake streaks rarely exceed 4–5 consecutive days, indicating existing discharge/placement processes generally absorb normal week-to-week variation.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volatility has stayed comparatively stable (~1.2% avg.) even as absolute system size changed dramatically — a favorable signal for scalable staffing and shelter-capacity models.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Total system load, 2023–2025, with 30-day rolling average. The Q1 2025 step-down and subsequent stable, lower-volume period are clearly visible.</w:t>
      </w:r>
    </w:p>
    <w:p>
      <w:pPr>
        <w:pStyle w:val="Heading1"/>
        <w:spacing w:after="140" w:before="32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 the five-KPI framework (Total Children Under Care, Net Intake Pressure, Care Load Volatility Index, Backlog Accumulation Rate, Discharge Offset Ratio) as a standing weekly capacity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accompanying Streamlit dashboard for continuous, self-service monitoring with date-range, granularity, and metric filtering.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an early-warning threshold on Backlog Streak (e.g., flag any streak beyond 5 days, the historical maximum observed) and on Discharge Offset Ratio falling below 1.0 over a rolling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CBP custody spikes as a leading indicator to trigger HHS shelter/staffing readiness reviews ahead of downstream load increases.</w:t>
      </w:r>
    </w:p>
    <w:p>
      <w:pPr>
        <w:pStyle w:val="Heading1"/>
        <w:spacing w:after="140" w:before="320"/>
      </w:pPr>
      <w:r>
        <w:t xml:space="preserve">Deliverables Provided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research paper — detailed EDA, methodology, findings, and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Streamlit dashboard — live KPI cards, trend charts, and filterable data export.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executive summary — condensed briefing for policymakers and program leadership.</w:t>
      </w:r>
    </w:p>
    <w:sectPr>
      <w:headerReference w:type="default" r:id="rId7"/>
      <w:footerReference w:type="default" r:id="rId8"/>
      <w:pgSz w:w="12240" w:h="15840" w:orient="portrait"/>
      <w:pgMar w:top="1260" w:right="1350" w:bottom="126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Executive Summary — UAC Capacity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97f076fc742f6d849cbc2e5b0c7ed8d40628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2026-08-19T06:57:48.448Z</dcterms:created>
  <dcterms:modified xsi:type="dcterms:W3CDTF">2026-08-19T06:57:48.448Z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