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75" w:rsidRDefault="00236275" w:rsidP="00236275">
      <w:pPr>
        <w:pStyle w:val="Default"/>
      </w:pPr>
    </w:p>
    <w:p w:rsidR="009E3EEC" w:rsidRPr="009E3EEC" w:rsidRDefault="00236275" w:rsidP="00236275">
      <w:pPr>
        <w:spacing w:after="0"/>
        <w:rPr>
          <w:rFonts w:ascii="Times New Roman" w:hAnsi="Times New Roman" w:cs="Times New Roman"/>
          <w:b/>
          <w:bCs/>
          <w:sz w:val="28"/>
          <w:szCs w:val="28"/>
        </w:rPr>
      </w:pPr>
      <w:r w:rsidRPr="00236275">
        <w:rPr>
          <w:rFonts w:ascii="Times New Roman" w:hAnsi="Times New Roman" w:cs="Times New Roman"/>
          <w:sz w:val="28"/>
          <w:szCs w:val="28"/>
        </w:rPr>
        <w:t xml:space="preserve"> </w:t>
      </w:r>
      <w:r w:rsidRPr="00236275">
        <w:rPr>
          <w:rFonts w:ascii="Times New Roman" w:hAnsi="Times New Roman" w:cs="Times New Roman"/>
          <w:b/>
          <w:bCs/>
          <w:sz w:val="28"/>
          <w:szCs w:val="28"/>
        </w:rPr>
        <w:t>Описание проблемной ситуации в терминах теории систем</w:t>
      </w:r>
    </w:p>
    <w:p w:rsidR="00236275" w:rsidRPr="009E3EEC" w:rsidRDefault="00236275" w:rsidP="00236275">
      <w:pPr>
        <w:spacing w:after="0"/>
        <w:rPr>
          <w:rFonts w:ascii="Times New Roman" w:hAnsi="Times New Roman" w:cs="Times New Roman"/>
          <w:b/>
          <w:bCs/>
          <w:sz w:val="28"/>
          <w:szCs w:val="28"/>
        </w:rPr>
      </w:pPr>
    </w:p>
    <w:p w:rsidR="00236275" w:rsidRPr="00236275" w:rsidRDefault="00236275" w:rsidP="00236275">
      <w:pPr>
        <w:pStyle w:val="Default"/>
        <w:rPr>
          <w:sz w:val="28"/>
          <w:szCs w:val="28"/>
        </w:rPr>
      </w:pPr>
      <w:r w:rsidRPr="00236275">
        <w:rPr>
          <w:sz w:val="28"/>
          <w:szCs w:val="28"/>
        </w:rPr>
        <w:t xml:space="preserve">Смоделируйте работу бизнес-единицы «Претензионная работа», </w:t>
      </w:r>
      <w:proofErr w:type="gramStart"/>
      <w:r w:rsidRPr="00236275">
        <w:rPr>
          <w:sz w:val="28"/>
          <w:szCs w:val="28"/>
        </w:rPr>
        <w:t>отвечающей</w:t>
      </w:r>
      <w:proofErr w:type="gramEnd"/>
      <w:r w:rsidRPr="00236275">
        <w:rPr>
          <w:sz w:val="28"/>
          <w:szCs w:val="28"/>
        </w:rPr>
        <w:t xml:space="preserve"> за защиту прав предприятия от недобросовестных поставщиков. </w:t>
      </w:r>
    </w:p>
    <w:p w:rsidR="00236275" w:rsidRPr="00236275" w:rsidRDefault="00236275" w:rsidP="00236275">
      <w:pPr>
        <w:pStyle w:val="Default"/>
        <w:spacing w:after="24"/>
        <w:rPr>
          <w:sz w:val="28"/>
          <w:szCs w:val="28"/>
        </w:rPr>
      </w:pPr>
      <w:r w:rsidRPr="00236275">
        <w:rPr>
          <w:sz w:val="28"/>
          <w:szCs w:val="28"/>
        </w:rPr>
        <w:t xml:space="preserve">1. </w:t>
      </w:r>
      <w:r w:rsidRPr="00236275">
        <w:rPr>
          <w:b/>
          <w:bCs/>
          <w:sz w:val="28"/>
          <w:szCs w:val="28"/>
        </w:rPr>
        <w:t xml:space="preserve">Основная цель </w:t>
      </w:r>
      <w:proofErr w:type="gramStart"/>
      <w:r w:rsidRPr="00236275">
        <w:rPr>
          <w:sz w:val="28"/>
          <w:szCs w:val="28"/>
        </w:rPr>
        <w:t>бизнес-единицы</w:t>
      </w:r>
      <w:proofErr w:type="gramEnd"/>
      <w:r w:rsidRPr="00236275">
        <w:rPr>
          <w:sz w:val="28"/>
          <w:szCs w:val="28"/>
        </w:rPr>
        <w:t xml:space="preserve">. Полная и своевременная защита имущественных прав предприятия в случае поставки поставщиками некондиционных материалов. </w:t>
      </w:r>
    </w:p>
    <w:p w:rsidR="00236275" w:rsidRPr="00236275" w:rsidRDefault="00236275" w:rsidP="00236275">
      <w:pPr>
        <w:pStyle w:val="Default"/>
        <w:spacing w:after="24"/>
        <w:rPr>
          <w:sz w:val="28"/>
          <w:szCs w:val="28"/>
        </w:rPr>
      </w:pPr>
      <w:r w:rsidRPr="00236275">
        <w:rPr>
          <w:sz w:val="28"/>
          <w:szCs w:val="28"/>
        </w:rPr>
        <w:t xml:space="preserve">2. </w:t>
      </w:r>
      <w:r w:rsidRPr="00236275">
        <w:rPr>
          <w:b/>
          <w:bCs/>
          <w:sz w:val="28"/>
          <w:szCs w:val="28"/>
        </w:rPr>
        <w:t>Основные задачи</w:t>
      </w:r>
      <w:r w:rsidRPr="00236275">
        <w:rPr>
          <w:sz w:val="28"/>
          <w:szCs w:val="28"/>
        </w:rPr>
        <w:t xml:space="preserve">, </w:t>
      </w:r>
      <w:proofErr w:type="gramStart"/>
      <w:r w:rsidRPr="00236275">
        <w:rPr>
          <w:sz w:val="28"/>
          <w:szCs w:val="28"/>
        </w:rPr>
        <w:t>которое</w:t>
      </w:r>
      <w:proofErr w:type="gramEnd"/>
      <w:r w:rsidRPr="00236275">
        <w:rPr>
          <w:sz w:val="28"/>
          <w:szCs w:val="28"/>
        </w:rPr>
        <w:t xml:space="preserve"> решает отдел. Регистрация жалоб </w:t>
      </w:r>
      <w:proofErr w:type="gramStart"/>
      <w:r w:rsidRPr="00236275">
        <w:rPr>
          <w:sz w:val="28"/>
          <w:szCs w:val="28"/>
        </w:rPr>
        <w:t>бизнес-единиц</w:t>
      </w:r>
      <w:proofErr w:type="gramEnd"/>
      <w:r w:rsidRPr="00236275">
        <w:rPr>
          <w:sz w:val="28"/>
          <w:szCs w:val="28"/>
        </w:rPr>
        <w:t xml:space="preserve"> предприятия на поставку некондиционных материалов поставщиками. Выставление претензий поставщикам и переговоры об урегулировании. Взыскание ущерба по претензиям. </w:t>
      </w:r>
    </w:p>
    <w:p w:rsidR="00236275" w:rsidRPr="009E3EEC" w:rsidRDefault="00236275" w:rsidP="00236275">
      <w:pPr>
        <w:pStyle w:val="Default"/>
        <w:rPr>
          <w:sz w:val="28"/>
          <w:szCs w:val="28"/>
        </w:rPr>
      </w:pPr>
      <w:r w:rsidRPr="00236275">
        <w:rPr>
          <w:sz w:val="28"/>
          <w:szCs w:val="28"/>
        </w:rPr>
        <w:t xml:space="preserve">3. </w:t>
      </w:r>
      <w:r w:rsidRPr="00236275">
        <w:rPr>
          <w:b/>
          <w:bCs/>
          <w:sz w:val="28"/>
          <w:szCs w:val="28"/>
        </w:rPr>
        <w:t xml:space="preserve">Описание предметной области. </w:t>
      </w:r>
    </w:p>
    <w:p w:rsidR="00236275" w:rsidRPr="00236275" w:rsidRDefault="00236275" w:rsidP="00236275">
      <w:pPr>
        <w:pStyle w:val="Default"/>
        <w:rPr>
          <w:sz w:val="28"/>
          <w:szCs w:val="28"/>
        </w:rPr>
      </w:pPr>
      <w:r w:rsidRPr="00236275">
        <w:rPr>
          <w:sz w:val="28"/>
          <w:szCs w:val="28"/>
        </w:rPr>
        <w:t xml:space="preserve">В случае обнаружения поставки некондиционного материала поставщиками </w:t>
      </w:r>
      <w:proofErr w:type="gramStart"/>
      <w:r w:rsidRPr="00236275">
        <w:rPr>
          <w:sz w:val="28"/>
          <w:szCs w:val="28"/>
        </w:rPr>
        <w:t>бизнес-единицы</w:t>
      </w:r>
      <w:proofErr w:type="gramEnd"/>
      <w:r w:rsidRPr="00236275">
        <w:rPr>
          <w:sz w:val="28"/>
          <w:szCs w:val="28"/>
        </w:rPr>
        <w:t xml:space="preserve"> предприятия оформляют акт несоответствия, в котором указывают некондиционный материал, по какому договору он был поставлен и какова величина ущерба, а затем передают его в бизнес-единицу «Претензионная работа». Менеджеры </w:t>
      </w:r>
      <w:proofErr w:type="gramStart"/>
      <w:r w:rsidRPr="00236275">
        <w:rPr>
          <w:sz w:val="28"/>
          <w:szCs w:val="28"/>
        </w:rPr>
        <w:t>бизнес-единицы</w:t>
      </w:r>
      <w:proofErr w:type="gramEnd"/>
      <w:r w:rsidRPr="00236275">
        <w:rPr>
          <w:sz w:val="28"/>
          <w:szCs w:val="28"/>
        </w:rPr>
        <w:t xml:space="preserve"> «Претензионная работа» формируют официальную</w:t>
      </w:r>
      <w:r w:rsidRPr="009E3EEC">
        <w:rPr>
          <w:sz w:val="28"/>
          <w:szCs w:val="28"/>
        </w:rPr>
        <w:t xml:space="preserve"> </w:t>
      </w:r>
      <w:r w:rsidRPr="00236275">
        <w:rPr>
          <w:sz w:val="28"/>
          <w:szCs w:val="28"/>
        </w:rPr>
        <w:t xml:space="preserve">претензию к поставщику. Затем они ведут переговоры об урегулировании ущерба. Если предприятие-виновник принимает решение согласиться, в этом случае выписывается платежное поручение на перечисление денег по претензии. В противном случае не реагируют, либо пишут письмо-отказ в претензии. Поступившее возмещение либо отказ в нем фиксируется менеджерами </w:t>
      </w:r>
      <w:proofErr w:type="gramStart"/>
      <w:r w:rsidRPr="00236275">
        <w:rPr>
          <w:sz w:val="28"/>
          <w:szCs w:val="28"/>
        </w:rPr>
        <w:t>бизнес-единицы</w:t>
      </w:r>
      <w:proofErr w:type="gramEnd"/>
      <w:r w:rsidRPr="00236275">
        <w:rPr>
          <w:sz w:val="28"/>
          <w:szCs w:val="28"/>
        </w:rPr>
        <w:t xml:space="preserve"> «Претензионная работа». По результатам претензионной работы менеджером проводится анализ степени возмещения предъявленного ущерба. </w:t>
      </w:r>
    </w:p>
    <w:p w:rsidR="00236275" w:rsidRPr="009E3EEC" w:rsidRDefault="00236275" w:rsidP="00236275">
      <w:pPr>
        <w:pStyle w:val="Default"/>
        <w:rPr>
          <w:sz w:val="28"/>
          <w:szCs w:val="28"/>
        </w:rPr>
      </w:pPr>
      <w:r w:rsidRPr="00236275">
        <w:rPr>
          <w:sz w:val="28"/>
          <w:szCs w:val="28"/>
        </w:rPr>
        <w:t xml:space="preserve">4. </w:t>
      </w:r>
      <w:r w:rsidRPr="00236275">
        <w:rPr>
          <w:b/>
          <w:bCs/>
          <w:sz w:val="28"/>
          <w:szCs w:val="28"/>
        </w:rPr>
        <w:t xml:space="preserve">Рекомендуемые таблицы </w:t>
      </w:r>
      <w:r w:rsidRPr="00236275">
        <w:rPr>
          <w:sz w:val="28"/>
          <w:szCs w:val="28"/>
        </w:rPr>
        <w:t xml:space="preserve">– Поставщики, </w:t>
      </w:r>
      <w:proofErr w:type="gramStart"/>
      <w:r w:rsidRPr="00236275">
        <w:rPr>
          <w:sz w:val="28"/>
          <w:szCs w:val="28"/>
        </w:rPr>
        <w:t>Бизнес-единицы</w:t>
      </w:r>
      <w:proofErr w:type="gramEnd"/>
      <w:r w:rsidRPr="00236275">
        <w:rPr>
          <w:sz w:val="28"/>
          <w:szCs w:val="28"/>
        </w:rPr>
        <w:t xml:space="preserve">, Договоры, Материалы, Претензии, Документы на возмещение (включая отказы). </w:t>
      </w:r>
    </w:p>
    <w:p w:rsidR="00236275" w:rsidRPr="009E3EEC" w:rsidRDefault="00236275" w:rsidP="00236275">
      <w:pPr>
        <w:pStyle w:val="Default"/>
        <w:rPr>
          <w:sz w:val="28"/>
          <w:szCs w:val="28"/>
        </w:rPr>
      </w:pPr>
    </w:p>
    <w:p w:rsidR="00236275" w:rsidRDefault="00236275" w:rsidP="00236275">
      <w:pPr>
        <w:pStyle w:val="Default"/>
      </w:pPr>
    </w:p>
    <w:p w:rsidR="00236275" w:rsidRPr="009E3EEC" w:rsidRDefault="00236275" w:rsidP="00236275">
      <w:pPr>
        <w:pStyle w:val="Default"/>
        <w:rPr>
          <w:sz w:val="28"/>
          <w:szCs w:val="28"/>
        </w:rPr>
      </w:pPr>
      <w:r w:rsidRPr="00236275">
        <w:rPr>
          <w:sz w:val="28"/>
          <w:szCs w:val="28"/>
        </w:rPr>
        <w:t xml:space="preserve"> Описание улучшаемой системы в терминах теории систем и прикладного системного анализа.</w:t>
      </w:r>
    </w:p>
    <w:p w:rsidR="00236275" w:rsidRPr="00236275" w:rsidRDefault="00236275" w:rsidP="00236275">
      <w:pPr>
        <w:pStyle w:val="Default"/>
        <w:rPr>
          <w:b/>
          <w:sz w:val="28"/>
          <w:szCs w:val="28"/>
        </w:rPr>
      </w:pPr>
      <w:r w:rsidRPr="009E3EEC">
        <w:rPr>
          <w:sz w:val="28"/>
          <w:szCs w:val="28"/>
        </w:rPr>
        <w:tab/>
      </w:r>
      <w:r w:rsidRPr="00236275">
        <w:rPr>
          <w:b/>
          <w:sz w:val="28"/>
          <w:szCs w:val="28"/>
        </w:rPr>
        <w:t>Система:</w:t>
      </w:r>
    </w:p>
    <w:p w:rsidR="00236275" w:rsidRPr="00236275" w:rsidRDefault="00236275" w:rsidP="00236275">
      <w:pPr>
        <w:spacing w:after="0"/>
        <w:rPr>
          <w:rFonts w:ascii="Times New Roman" w:hAnsi="Times New Roman" w:cs="Times New Roman"/>
          <w:sz w:val="28"/>
          <w:szCs w:val="28"/>
        </w:rPr>
      </w:pPr>
      <w:r w:rsidRPr="00236275">
        <w:rPr>
          <w:rFonts w:ascii="Times New Roman" w:hAnsi="Times New Roman" w:cs="Times New Roman"/>
        </w:rPr>
        <w:tab/>
      </w:r>
      <w:r w:rsidRPr="00236275">
        <w:rPr>
          <w:rFonts w:ascii="Times New Roman" w:hAnsi="Times New Roman" w:cs="Times New Roman"/>
          <w:sz w:val="28"/>
          <w:szCs w:val="28"/>
        </w:rPr>
        <w:t>Защита прав предприятия от недобросовестных поставщико</w:t>
      </w:r>
      <w:proofErr w:type="gramStart"/>
      <w:r w:rsidRPr="00236275">
        <w:rPr>
          <w:rFonts w:ascii="Times New Roman" w:hAnsi="Times New Roman" w:cs="Times New Roman"/>
          <w:sz w:val="28"/>
          <w:szCs w:val="28"/>
        </w:rPr>
        <w:t>в(</w:t>
      </w:r>
      <w:proofErr w:type="gramEnd"/>
      <w:r w:rsidRPr="00236275">
        <w:rPr>
          <w:rFonts w:ascii="Times New Roman" w:hAnsi="Times New Roman" w:cs="Times New Roman"/>
          <w:sz w:val="28"/>
          <w:szCs w:val="28"/>
        </w:rPr>
        <w:t>бизнес-единица «Претензионная работа»).</w:t>
      </w:r>
    </w:p>
    <w:p w:rsidR="00236275" w:rsidRDefault="00236275" w:rsidP="00236275">
      <w:pPr>
        <w:spacing w:after="0"/>
        <w:rPr>
          <w:rFonts w:ascii="Times New Roman" w:hAnsi="Times New Roman" w:cs="Times New Roman"/>
          <w:b/>
          <w:sz w:val="28"/>
          <w:szCs w:val="28"/>
        </w:rPr>
      </w:pPr>
      <w:r w:rsidRPr="00236275">
        <w:rPr>
          <w:rFonts w:ascii="Times New Roman" w:hAnsi="Times New Roman" w:cs="Times New Roman"/>
          <w:sz w:val="28"/>
          <w:szCs w:val="28"/>
        </w:rPr>
        <w:tab/>
      </w:r>
      <w:r w:rsidRPr="00236275">
        <w:rPr>
          <w:rFonts w:ascii="Times New Roman" w:hAnsi="Times New Roman" w:cs="Times New Roman"/>
          <w:b/>
          <w:sz w:val="28"/>
          <w:szCs w:val="28"/>
        </w:rPr>
        <w:t>Взаимодействующие системы:</w:t>
      </w:r>
    </w:p>
    <w:p w:rsidR="00236275" w:rsidRDefault="008800DA" w:rsidP="00236275">
      <w:pPr>
        <w:pStyle w:val="a3"/>
        <w:numPr>
          <w:ilvl w:val="0"/>
          <w:numId w:val="1"/>
        </w:numPr>
        <w:spacing w:after="0"/>
        <w:rPr>
          <w:rFonts w:ascii="Times New Roman" w:hAnsi="Times New Roman" w:cs="Times New Roman"/>
          <w:sz w:val="28"/>
          <w:szCs w:val="28"/>
        </w:rPr>
      </w:pPr>
      <w:r>
        <w:rPr>
          <w:rFonts w:ascii="Times New Roman" w:hAnsi="Times New Roman" w:cs="Times New Roman"/>
          <w:sz w:val="28"/>
          <w:szCs w:val="28"/>
        </w:rPr>
        <w:t>Органы власти</w:t>
      </w:r>
      <w:r w:rsidR="00236275">
        <w:rPr>
          <w:rFonts w:ascii="Times New Roman" w:hAnsi="Times New Roman" w:cs="Times New Roman"/>
          <w:sz w:val="28"/>
          <w:szCs w:val="28"/>
        </w:rPr>
        <w:t>;</w:t>
      </w:r>
    </w:p>
    <w:p w:rsidR="00236275" w:rsidRDefault="00236275" w:rsidP="00236275">
      <w:pPr>
        <w:pStyle w:val="a3"/>
        <w:numPr>
          <w:ilvl w:val="0"/>
          <w:numId w:val="1"/>
        </w:numPr>
        <w:spacing w:after="0"/>
        <w:rPr>
          <w:rFonts w:ascii="Times New Roman" w:hAnsi="Times New Roman" w:cs="Times New Roman"/>
          <w:sz w:val="28"/>
          <w:szCs w:val="28"/>
        </w:rPr>
      </w:pPr>
      <w:r>
        <w:rPr>
          <w:rFonts w:ascii="Times New Roman" w:hAnsi="Times New Roman" w:cs="Times New Roman"/>
          <w:sz w:val="28"/>
          <w:szCs w:val="28"/>
        </w:rPr>
        <w:t>Поставщики;</w:t>
      </w:r>
    </w:p>
    <w:p w:rsidR="00236275" w:rsidRDefault="00236275" w:rsidP="00236275">
      <w:pPr>
        <w:spacing w:after="0"/>
        <w:ind w:left="708"/>
        <w:rPr>
          <w:rFonts w:ascii="Times New Roman" w:hAnsi="Times New Roman" w:cs="Times New Roman"/>
          <w:b/>
          <w:sz w:val="28"/>
          <w:szCs w:val="28"/>
        </w:rPr>
      </w:pPr>
      <w:r w:rsidRPr="00236275">
        <w:rPr>
          <w:rFonts w:ascii="Times New Roman" w:hAnsi="Times New Roman" w:cs="Times New Roman"/>
          <w:b/>
          <w:sz w:val="28"/>
          <w:szCs w:val="28"/>
        </w:rPr>
        <w:t>Компонен</w:t>
      </w:r>
      <w:r>
        <w:rPr>
          <w:rFonts w:ascii="Times New Roman" w:hAnsi="Times New Roman" w:cs="Times New Roman"/>
          <w:b/>
          <w:sz w:val="28"/>
          <w:szCs w:val="28"/>
        </w:rPr>
        <w:t>т</w:t>
      </w:r>
      <w:r w:rsidRPr="00236275">
        <w:rPr>
          <w:rFonts w:ascii="Times New Roman" w:hAnsi="Times New Roman" w:cs="Times New Roman"/>
          <w:b/>
          <w:sz w:val="28"/>
          <w:szCs w:val="28"/>
        </w:rPr>
        <w:t>ы системы:</w:t>
      </w:r>
    </w:p>
    <w:p w:rsidR="00236275" w:rsidRPr="00236275" w:rsidRDefault="00236275" w:rsidP="00236275">
      <w:pPr>
        <w:pStyle w:val="a3"/>
        <w:numPr>
          <w:ilvl w:val="0"/>
          <w:numId w:val="2"/>
        </w:numPr>
        <w:spacing w:after="0"/>
        <w:rPr>
          <w:rFonts w:ascii="Times New Roman" w:hAnsi="Times New Roman" w:cs="Times New Roman"/>
          <w:b/>
          <w:sz w:val="28"/>
          <w:szCs w:val="28"/>
        </w:rPr>
      </w:pPr>
      <w:r>
        <w:rPr>
          <w:rFonts w:ascii="Times New Roman" w:hAnsi="Times New Roman" w:cs="Times New Roman"/>
          <w:sz w:val="28"/>
          <w:szCs w:val="28"/>
        </w:rPr>
        <w:t>Функциональные под</w:t>
      </w:r>
      <w:r w:rsidR="009E3EEC">
        <w:rPr>
          <w:rFonts w:ascii="Times New Roman" w:hAnsi="Times New Roman" w:cs="Times New Roman"/>
          <w:sz w:val="28"/>
          <w:szCs w:val="28"/>
        </w:rPr>
        <w:t>си</w:t>
      </w:r>
      <w:r>
        <w:rPr>
          <w:rFonts w:ascii="Times New Roman" w:hAnsi="Times New Roman" w:cs="Times New Roman"/>
          <w:sz w:val="28"/>
          <w:szCs w:val="28"/>
        </w:rPr>
        <w:t>стемы:</w:t>
      </w:r>
    </w:p>
    <w:p w:rsidR="00236275" w:rsidRPr="00236275" w:rsidRDefault="00463EE7" w:rsidP="00236275">
      <w:pPr>
        <w:pStyle w:val="a3"/>
        <w:numPr>
          <w:ilvl w:val="1"/>
          <w:numId w:val="2"/>
        </w:numPr>
        <w:spacing w:after="0"/>
        <w:rPr>
          <w:rFonts w:ascii="Times New Roman" w:hAnsi="Times New Roman" w:cs="Times New Roman"/>
          <w:b/>
          <w:sz w:val="28"/>
          <w:szCs w:val="28"/>
        </w:rPr>
      </w:pPr>
      <w:r>
        <w:rPr>
          <w:rFonts w:ascii="Times New Roman" w:hAnsi="Times New Roman" w:cs="Times New Roman"/>
          <w:sz w:val="28"/>
          <w:szCs w:val="28"/>
        </w:rPr>
        <w:t>Подсистема регистрации жалоб</w:t>
      </w:r>
      <w:r w:rsidR="00236275">
        <w:rPr>
          <w:rFonts w:ascii="Times New Roman" w:hAnsi="Times New Roman" w:cs="Times New Roman"/>
          <w:sz w:val="28"/>
          <w:szCs w:val="28"/>
        </w:rPr>
        <w:t>;</w:t>
      </w:r>
    </w:p>
    <w:p w:rsidR="00236275" w:rsidRPr="00E85DCA" w:rsidRDefault="00463EE7" w:rsidP="00236275">
      <w:pPr>
        <w:pStyle w:val="a3"/>
        <w:numPr>
          <w:ilvl w:val="1"/>
          <w:numId w:val="2"/>
        </w:numPr>
        <w:spacing w:after="0"/>
        <w:rPr>
          <w:rFonts w:ascii="Times New Roman" w:hAnsi="Times New Roman" w:cs="Times New Roman"/>
          <w:b/>
          <w:sz w:val="28"/>
          <w:szCs w:val="28"/>
        </w:rPr>
      </w:pPr>
      <w:r>
        <w:rPr>
          <w:rFonts w:ascii="Times New Roman" w:hAnsi="Times New Roman" w:cs="Times New Roman"/>
          <w:sz w:val="28"/>
          <w:szCs w:val="28"/>
        </w:rPr>
        <w:t>Подсистема</w:t>
      </w:r>
      <w:r w:rsidR="00E85DCA">
        <w:rPr>
          <w:rFonts w:ascii="Times New Roman" w:hAnsi="Times New Roman" w:cs="Times New Roman"/>
          <w:sz w:val="28"/>
          <w:szCs w:val="28"/>
        </w:rPr>
        <w:t xml:space="preserve"> выставления претензий поставщикам;</w:t>
      </w:r>
    </w:p>
    <w:p w:rsidR="00E85DCA" w:rsidRPr="00E85DCA" w:rsidRDefault="00E85DCA" w:rsidP="00236275">
      <w:pPr>
        <w:pStyle w:val="a3"/>
        <w:numPr>
          <w:ilvl w:val="1"/>
          <w:numId w:val="2"/>
        </w:numPr>
        <w:spacing w:after="0"/>
        <w:rPr>
          <w:rFonts w:ascii="Times New Roman" w:hAnsi="Times New Roman" w:cs="Times New Roman"/>
          <w:b/>
          <w:sz w:val="28"/>
          <w:szCs w:val="28"/>
        </w:rPr>
      </w:pPr>
      <w:r>
        <w:rPr>
          <w:rFonts w:ascii="Times New Roman" w:hAnsi="Times New Roman" w:cs="Times New Roman"/>
          <w:sz w:val="28"/>
          <w:szCs w:val="28"/>
        </w:rPr>
        <w:t>Подсистема анализа степени возмещения;</w:t>
      </w:r>
    </w:p>
    <w:p w:rsidR="00E85DCA" w:rsidRPr="00236275" w:rsidRDefault="00CF559F" w:rsidP="00236275">
      <w:pPr>
        <w:pStyle w:val="a3"/>
        <w:numPr>
          <w:ilvl w:val="1"/>
          <w:numId w:val="2"/>
        </w:numPr>
        <w:spacing w:after="0"/>
        <w:rPr>
          <w:rFonts w:ascii="Times New Roman" w:hAnsi="Times New Roman" w:cs="Times New Roman"/>
          <w:b/>
          <w:sz w:val="28"/>
          <w:szCs w:val="28"/>
        </w:rPr>
      </w:pPr>
      <w:r>
        <w:rPr>
          <w:rFonts w:ascii="Times New Roman" w:hAnsi="Times New Roman" w:cs="Times New Roman"/>
          <w:sz w:val="28"/>
          <w:szCs w:val="28"/>
        </w:rPr>
        <w:lastRenderedPageBreak/>
        <w:t>Подсистема поставок</w:t>
      </w:r>
      <w:r w:rsidR="00E85DCA">
        <w:rPr>
          <w:rFonts w:ascii="Times New Roman" w:hAnsi="Times New Roman" w:cs="Times New Roman"/>
          <w:sz w:val="28"/>
          <w:szCs w:val="28"/>
        </w:rPr>
        <w:t>.</w:t>
      </w:r>
    </w:p>
    <w:p w:rsidR="00E85DCA" w:rsidRDefault="00E85DCA" w:rsidP="00236275">
      <w:pPr>
        <w:spacing w:after="0"/>
        <w:ind w:left="708"/>
        <w:rPr>
          <w:rFonts w:ascii="Times New Roman" w:hAnsi="Times New Roman" w:cs="Times New Roman"/>
          <w:b/>
          <w:sz w:val="28"/>
          <w:szCs w:val="28"/>
        </w:rPr>
      </w:pPr>
    </w:p>
    <w:p w:rsidR="00236275" w:rsidRDefault="00236275" w:rsidP="00236275">
      <w:pPr>
        <w:spacing w:after="0"/>
        <w:ind w:left="708"/>
        <w:rPr>
          <w:rFonts w:ascii="Times New Roman" w:hAnsi="Times New Roman" w:cs="Times New Roman"/>
          <w:b/>
          <w:sz w:val="28"/>
          <w:szCs w:val="28"/>
        </w:rPr>
      </w:pPr>
      <w:r>
        <w:rPr>
          <w:rFonts w:ascii="Times New Roman" w:hAnsi="Times New Roman" w:cs="Times New Roman"/>
          <w:b/>
          <w:sz w:val="28"/>
          <w:szCs w:val="28"/>
        </w:rPr>
        <w:t>Процесс:</w:t>
      </w:r>
    </w:p>
    <w:p w:rsidR="00236275" w:rsidRDefault="00236275" w:rsidP="00236275">
      <w:pPr>
        <w:spacing w:after="0"/>
        <w:rPr>
          <w:rFonts w:ascii="Times New Roman" w:hAnsi="Times New Roman" w:cs="Times New Roman"/>
          <w:sz w:val="28"/>
          <w:szCs w:val="28"/>
        </w:rPr>
      </w:pPr>
      <w:r>
        <w:rPr>
          <w:rFonts w:ascii="Times New Roman" w:hAnsi="Times New Roman" w:cs="Times New Roman"/>
          <w:b/>
          <w:sz w:val="28"/>
          <w:szCs w:val="28"/>
        </w:rPr>
        <w:tab/>
      </w:r>
      <w:r w:rsidRPr="00236275">
        <w:rPr>
          <w:rFonts w:ascii="Times New Roman" w:hAnsi="Times New Roman" w:cs="Times New Roman"/>
          <w:sz w:val="28"/>
          <w:szCs w:val="28"/>
        </w:rPr>
        <w:t xml:space="preserve">Действия, направленные на достижение главной цели системы – </w:t>
      </w:r>
      <w:r>
        <w:rPr>
          <w:rFonts w:ascii="Times New Roman" w:hAnsi="Times New Roman" w:cs="Times New Roman"/>
          <w:sz w:val="28"/>
          <w:szCs w:val="28"/>
        </w:rPr>
        <w:t>р</w:t>
      </w:r>
      <w:r w:rsidRPr="00236275">
        <w:rPr>
          <w:rFonts w:ascii="Times New Roman" w:hAnsi="Times New Roman" w:cs="Times New Roman"/>
          <w:sz w:val="28"/>
          <w:szCs w:val="28"/>
        </w:rPr>
        <w:t xml:space="preserve">егистрация жалоб </w:t>
      </w:r>
      <w:proofErr w:type="gramStart"/>
      <w:r w:rsidRPr="00236275">
        <w:rPr>
          <w:rFonts w:ascii="Times New Roman" w:hAnsi="Times New Roman" w:cs="Times New Roman"/>
          <w:sz w:val="28"/>
          <w:szCs w:val="28"/>
        </w:rPr>
        <w:t>бизнес-единиц</w:t>
      </w:r>
      <w:proofErr w:type="gramEnd"/>
      <w:r w:rsidRPr="00236275">
        <w:rPr>
          <w:rFonts w:ascii="Times New Roman" w:hAnsi="Times New Roman" w:cs="Times New Roman"/>
          <w:sz w:val="28"/>
          <w:szCs w:val="28"/>
        </w:rPr>
        <w:t xml:space="preserve"> предприятия на поставку некондиционных материалов поставщиками</w:t>
      </w:r>
      <w:r>
        <w:rPr>
          <w:rFonts w:ascii="Times New Roman" w:hAnsi="Times New Roman" w:cs="Times New Roman"/>
          <w:sz w:val="28"/>
          <w:szCs w:val="28"/>
        </w:rPr>
        <w:t>.</w:t>
      </w:r>
    </w:p>
    <w:p w:rsidR="00236275" w:rsidRPr="00236275" w:rsidRDefault="00236275" w:rsidP="00236275">
      <w:pPr>
        <w:spacing w:after="0"/>
        <w:rPr>
          <w:rFonts w:ascii="Times New Roman" w:hAnsi="Times New Roman" w:cs="Times New Roman"/>
          <w:b/>
          <w:sz w:val="28"/>
          <w:szCs w:val="28"/>
        </w:rPr>
      </w:pPr>
      <w:r>
        <w:rPr>
          <w:rFonts w:ascii="Times New Roman" w:hAnsi="Times New Roman" w:cs="Times New Roman"/>
          <w:b/>
          <w:sz w:val="28"/>
          <w:szCs w:val="28"/>
        </w:rPr>
        <w:tab/>
        <w:t>Состояние:</w:t>
      </w:r>
    </w:p>
    <w:p w:rsidR="00236275" w:rsidRDefault="00236275" w:rsidP="00236275">
      <w:pPr>
        <w:pStyle w:val="Default"/>
        <w:numPr>
          <w:ilvl w:val="0"/>
          <w:numId w:val="4"/>
        </w:numPr>
        <w:rPr>
          <w:sz w:val="28"/>
          <w:szCs w:val="28"/>
        </w:rPr>
      </w:pPr>
      <w:r w:rsidRPr="00236275">
        <w:rPr>
          <w:sz w:val="28"/>
          <w:szCs w:val="28"/>
        </w:rPr>
        <w:t xml:space="preserve">Значения на каждый момент времени показателей системы </w:t>
      </w:r>
    </w:p>
    <w:p w:rsidR="00236275" w:rsidRDefault="00236275" w:rsidP="00236275">
      <w:pPr>
        <w:pStyle w:val="Default"/>
        <w:numPr>
          <w:ilvl w:val="1"/>
          <w:numId w:val="4"/>
        </w:numPr>
        <w:rPr>
          <w:sz w:val="28"/>
          <w:szCs w:val="28"/>
        </w:rPr>
      </w:pPr>
      <w:r>
        <w:rPr>
          <w:sz w:val="28"/>
          <w:szCs w:val="28"/>
        </w:rPr>
        <w:t>Список нормированного мате</w:t>
      </w:r>
      <w:r w:rsidR="009E3EEC">
        <w:rPr>
          <w:sz w:val="28"/>
          <w:szCs w:val="28"/>
        </w:rPr>
        <w:t>р</w:t>
      </w:r>
      <w:r>
        <w:rPr>
          <w:sz w:val="28"/>
          <w:szCs w:val="28"/>
        </w:rPr>
        <w:t>иала;</w:t>
      </w:r>
    </w:p>
    <w:p w:rsidR="00236275" w:rsidRDefault="00EB033D" w:rsidP="00236275">
      <w:pPr>
        <w:pStyle w:val="Default"/>
        <w:numPr>
          <w:ilvl w:val="1"/>
          <w:numId w:val="4"/>
        </w:numPr>
        <w:rPr>
          <w:sz w:val="28"/>
          <w:szCs w:val="28"/>
        </w:rPr>
      </w:pPr>
      <w:r>
        <w:rPr>
          <w:sz w:val="28"/>
          <w:szCs w:val="28"/>
        </w:rPr>
        <w:t>Количество некондиционного материала</w:t>
      </w:r>
      <w:r w:rsidR="00236275">
        <w:rPr>
          <w:sz w:val="28"/>
          <w:szCs w:val="28"/>
        </w:rPr>
        <w:t>;</w:t>
      </w:r>
    </w:p>
    <w:p w:rsidR="00236275" w:rsidRDefault="001C6DF9" w:rsidP="00236275">
      <w:pPr>
        <w:pStyle w:val="Default"/>
        <w:numPr>
          <w:ilvl w:val="1"/>
          <w:numId w:val="4"/>
        </w:numPr>
        <w:rPr>
          <w:sz w:val="28"/>
          <w:szCs w:val="28"/>
        </w:rPr>
      </w:pPr>
      <w:r>
        <w:rPr>
          <w:sz w:val="28"/>
          <w:szCs w:val="28"/>
        </w:rPr>
        <w:t>Количество обработанных заявок о несоответствии</w:t>
      </w:r>
      <w:r w:rsidR="00EB033D">
        <w:rPr>
          <w:sz w:val="28"/>
          <w:szCs w:val="28"/>
        </w:rPr>
        <w:t xml:space="preserve"> и их статус</w:t>
      </w:r>
      <w:r w:rsidR="00236275">
        <w:rPr>
          <w:sz w:val="28"/>
          <w:szCs w:val="28"/>
        </w:rPr>
        <w:t>;</w:t>
      </w:r>
    </w:p>
    <w:p w:rsidR="00236275" w:rsidRDefault="001C6DF9" w:rsidP="00236275">
      <w:pPr>
        <w:pStyle w:val="Default"/>
        <w:numPr>
          <w:ilvl w:val="1"/>
          <w:numId w:val="4"/>
        </w:numPr>
        <w:rPr>
          <w:sz w:val="28"/>
          <w:szCs w:val="28"/>
        </w:rPr>
      </w:pPr>
      <w:r>
        <w:rPr>
          <w:sz w:val="28"/>
          <w:szCs w:val="28"/>
        </w:rPr>
        <w:t>Количество претензий</w:t>
      </w:r>
      <w:r w:rsidR="00236275">
        <w:rPr>
          <w:sz w:val="28"/>
          <w:szCs w:val="28"/>
        </w:rPr>
        <w:t xml:space="preserve"> к поставщику;</w:t>
      </w:r>
    </w:p>
    <w:p w:rsidR="00E5040C" w:rsidRDefault="00CF559F" w:rsidP="00CF559F">
      <w:pPr>
        <w:pStyle w:val="Default"/>
        <w:numPr>
          <w:ilvl w:val="1"/>
          <w:numId w:val="4"/>
        </w:numPr>
        <w:rPr>
          <w:sz w:val="28"/>
          <w:szCs w:val="28"/>
        </w:rPr>
      </w:pPr>
      <w:r>
        <w:rPr>
          <w:sz w:val="28"/>
          <w:szCs w:val="28"/>
        </w:rPr>
        <w:t>Сумма возмещения ущерба;</w:t>
      </w:r>
    </w:p>
    <w:p w:rsidR="00CF559F" w:rsidRDefault="00EB033D" w:rsidP="00CF559F">
      <w:pPr>
        <w:pStyle w:val="Default"/>
        <w:numPr>
          <w:ilvl w:val="1"/>
          <w:numId w:val="4"/>
        </w:numPr>
        <w:rPr>
          <w:sz w:val="28"/>
          <w:szCs w:val="28"/>
        </w:rPr>
      </w:pPr>
      <w:r>
        <w:rPr>
          <w:sz w:val="28"/>
          <w:szCs w:val="28"/>
        </w:rPr>
        <w:t>Список поставщиков;</w:t>
      </w:r>
    </w:p>
    <w:p w:rsidR="00EB033D" w:rsidRPr="00CF559F" w:rsidRDefault="00EB033D" w:rsidP="00CF559F">
      <w:pPr>
        <w:pStyle w:val="Default"/>
        <w:numPr>
          <w:ilvl w:val="1"/>
          <w:numId w:val="4"/>
        </w:numPr>
        <w:rPr>
          <w:sz w:val="28"/>
          <w:szCs w:val="28"/>
        </w:rPr>
      </w:pPr>
      <w:r>
        <w:rPr>
          <w:sz w:val="28"/>
          <w:szCs w:val="28"/>
        </w:rPr>
        <w:t>Список документов на возмещение.</w:t>
      </w:r>
    </w:p>
    <w:p w:rsidR="00236275" w:rsidRPr="00236275" w:rsidRDefault="00236275" w:rsidP="00236275">
      <w:pPr>
        <w:pStyle w:val="Default"/>
        <w:rPr>
          <w:sz w:val="28"/>
          <w:szCs w:val="28"/>
        </w:rPr>
      </w:pPr>
    </w:p>
    <w:p w:rsidR="00236275" w:rsidRDefault="00236275" w:rsidP="00236275">
      <w:pPr>
        <w:pStyle w:val="Default"/>
        <w:ind w:firstLine="708"/>
        <w:rPr>
          <w:i/>
          <w:iCs/>
          <w:sz w:val="28"/>
          <w:szCs w:val="28"/>
        </w:rPr>
      </w:pPr>
      <w:r w:rsidRPr="00236275">
        <w:rPr>
          <w:b/>
          <w:bCs/>
          <w:sz w:val="28"/>
          <w:szCs w:val="28"/>
        </w:rPr>
        <w:t>Системный эффект (синергия</w:t>
      </w:r>
      <w:r w:rsidRPr="00236275">
        <w:rPr>
          <w:sz w:val="28"/>
          <w:szCs w:val="28"/>
        </w:rPr>
        <w:t xml:space="preserve">) </w:t>
      </w:r>
      <w:r w:rsidRPr="00236275">
        <w:rPr>
          <w:i/>
          <w:iCs/>
          <w:sz w:val="28"/>
          <w:szCs w:val="28"/>
        </w:rPr>
        <w:t>–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236275" w:rsidRPr="00236275" w:rsidRDefault="00236275" w:rsidP="00236275">
      <w:pPr>
        <w:pStyle w:val="Default"/>
        <w:ind w:firstLine="708"/>
        <w:rPr>
          <w:iCs/>
          <w:sz w:val="28"/>
          <w:szCs w:val="28"/>
        </w:rPr>
      </w:pPr>
      <w:r>
        <w:rPr>
          <w:iCs/>
          <w:sz w:val="28"/>
          <w:szCs w:val="28"/>
        </w:rPr>
        <w:t>Связи между подсистемами:</w:t>
      </w:r>
    </w:p>
    <w:tbl>
      <w:tblPr>
        <w:tblStyle w:val="a4"/>
        <w:tblW w:w="0" w:type="auto"/>
        <w:tblLook w:val="04A0" w:firstRow="1" w:lastRow="0" w:firstColumn="1" w:lastColumn="0" w:noHBand="0" w:noVBand="1"/>
      </w:tblPr>
      <w:tblGrid>
        <w:gridCol w:w="3190"/>
        <w:gridCol w:w="3190"/>
        <w:gridCol w:w="3191"/>
      </w:tblGrid>
      <w:tr w:rsidR="00236275" w:rsidTr="00236275">
        <w:tc>
          <w:tcPr>
            <w:tcW w:w="3190" w:type="dxa"/>
          </w:tcPr>
          <w:p w:rsidR="00236275" w:rsidRPr="00236275" w:rsidRDefault="00236275" w:rsidP="00236275">
            <w:pPr>
              <w:pStyle w:val="Default"/>
              <w:jc w:val="center"/>
              <w:rPr>
                <w:b/>
                <w:sz w:val="28"/>
                <w:szCs w:val="28"/>
              </w:rPr>
            </w:pPr>
            <w:r w:rsidRPr="00236275">
              <w:rPr>
                <w:b/>
                <w:sz w:val="28"/>
                <w:szCs w:val="28"/>
              </w:rPr>
              <w:t>Система отправитель</w:t>
            </w:r>
          </w:p>
        </w:tc>
        <w:tc>
          <w:tcPr>
            <w:tcW w:w="3190" w:type="dxa"/>
          </w:tcPr>
          <w:p w:rsidR="00236275" w:rsidRPr="00236275" w:rsidRDefault="00236275" w:rsidP="00236275">
            <w:pPr>
              <w:pStyle w:val="Default"/>
              <w:jc w:val="center"/>
              <w:rPr>
                <w:b/>
                <w:sz w:val="28"/>
                <w:szCs w:val="28"/>
              </w:rPr>
            </w:pPr>
            <w:r w:rsidRPr="00236275">
              <w:rPr>
                <w:b/>
                <w:sz w:val="28"/>
                <w:szCs w:val="28"/>
              </w:rPr>
              <w:t>Связь</w:t>
            </w:r>
          </w:p>
        </w:tc>
        <w:tc>
          <w:tcPr>
            <w:tcW w:w="3191" w:type="dxa"/>
          </w:tcPr>
          <w:p w:rsidR="00236275" w:rsidRPr="00236275" w:rsidRDefault="00236275" w:rsidP="00236275">
            <w:pPr>
              <w:pStyle w:val="Default"/>
              <w:jc w:val="center"/>
              <w:rPr>
                <w:b/>
                <w:sz w:val="28"/>
                <w:szCs w:val="28"/>
              </w:rPr>
            </w:pPr>
            <w:r w:rsidRPr="00236275">
              <w:rPr>
                <w:b/>
                <w:sz w:val="28"/>
                <w:szCs w:val="28"/>
              </w:rPr>
              <w:t>Система получатель</w:t>
            </w:r>
          </w:p>
        </w:tc>
      </w:tr>
      <w:tr w:rsidR="00387856" w:rsidTr="00236275">
        <w:tc>
          <w:tcPr>
            <w:tcW w:w="3190" w:type="dxa"/>
          </w:tcPr>
          <w:p w:rsidR="00387856" w:rsidRDefault="00387856" w:rsidP="00236275">
            <w:pPr>
              <w:pStyle w:val="Default"/>
              <w:rPr>
                <w:sz w:val="28"/>
                <w:szCs w:val="28"/>
              </w:rPr>
            </w:pPr>
            <w:r>
              <w:rPr>
                <w:sz w:val="28"/>
                <w:szCs w:val="28"/>
              </w:rPr>
              <w:t>Подсистема регистрации жалоб</w:t>
            </w:r>
          </w:p>
        </w:tc>
        <w:tc>
          <w:tcPr>
            <w:tcW w:w="3190" w:type="dxa"/>
          </w:tcPr>
          <w:p w:rsidR="00387856" w:rsidRDefault="00387856" w:rsidP="003F67E8">
            <w:pPr>
              <w:pStyle w:val="Default"/>
              <w:rPr>
                <w:sz w:val="28"/>
                <w:szCs w:val="28"/>
              </w:rPr>
            </w:pPr>
            <w:r>
              <w:rPr>
                <w:sz w:val="28"/>
                <w:szCs w:val="28"/>
              </w:rPr>
              <w:t>Перечень некондиционного материала</w:t>
            </w:r>
          </w:p>
        </w:tc>
        <w:tc>
          <w:tcPr>
            <w:tcW w:w="3191" w:type="dxa"/>
          </w:tcPr>
          <w:p w:rsidR="00387856" w:rsidRDefault="00387856" w:rsidP="00236275">
            <w:pPr>
              <w:pStyle w:val="Default"/>
              <w:rPr>
                <w:sz w:val="28"/>
                <w:szCs w:val="28"/>
              </w:rPr>
            </w:pPr>
            <w:r>
              <w:rPr>
                <w:sz w:val="28"/>
                <w:szCs w:val="28"/>
              </w:rPr>
              <w:t>Подсистема выставления претензий поставщикам</w:t>
            </w:r>
          </w:p>
        </w:tc>
      </w:tr>
      <w:tr w:rsidR="00387856" w:rsidTr="00236275">
        <w:tc>
          <w:tcPr>
            <w:tcW w:w="3190" w:type="dxa"/>
          </w:tcPr>
          <w:p w:rsidR="00387856" w:rsidRDefault="006F3A69" w:rsidP="00236275">
            <w:pPr>
              <w:pStyle w:val="Default"/>
              <w:rPr>
                <w:sz w:val="28"/>
                <w:szCs w:val="28"/>
              </w:rPr>
            </w:pPr>
            <w:r>
              <w:rPr>
                <w:sz w:val="28"/>
                <w:szCs w:val="28"/>
              </w:rPr>
              <w:t>Подсистема регистрации жалоб</w:t>
            </w:r>
          </w:p>
        </w:tc>
        <w:tc>
          <w:tcPr>
            <w:tcW w:w="3190" w:type="dxa"/>
          </w:tcPr>
          <w:p w:rsidR="00387856" w:rsidRDefault="00387856" w:rsidP="00236275">
            <w:pPr>
              <w:pStyle w:val="Default"/>
              <w:rPr>
                <w:sz w:val="28"/>
                <w:szCs w:val="28"/>
              </w:rPr>
            </w:pPr>
            <w:r>
              <w:rPr>
                <w:sz w:val="28"/>
                <w:szCs w:val="28"/>
              </w:rPr>
              <w:t>Перечень некондиционного материала</w:t>
            </w:r>
          </w:p>
        </w:tc>
        <w:tc>
          <w:tcPr>
            <w:tcW w:w="3191" w:type="dxa"/>
          </w:tcPr>
          <w:p w:rsidR="00387856" w:rsidRDefault="006F3A69" w:rsidP="00236275">
            <w:pPr>
              <w:pStyle w:val="Default"/>
              <w:rPr>
                <w:sz w:val="28"/>
                <w:szCs w:val="28"/>
              </w:rPr>
            </w:pPr>
            <w:r>
              <w:rPr>
                <w:sz w:val="28"/>
                <w:szCs w:val="28"/>
              </w:rPr>
              <w:t>Подсистема анализа степени возмещения</w:t>
            </w:r>
          </w:p>
        </w:tc>
      </w:tr>
      <w:tr w:rsidR="00387856" w:rsidTr="00236275">
        <w:tc>
          <w:tcPr>
            <w:tcW w:w="3190" w:type="dxa"/>
          </w:tcPr>
          <w:p w:rsidR="00387856" w:rsidRDefault="006F3A69" w:rsidP="00236275">
            <w:pPr>
              <w:pStyle w:val="Default"/>
              <w:rPr>
                <w:sz w:val="28"/>
                <w:szCs w:val="28"/>
              </w:rPr>
            </w:pPr>
            <w:r>
              <w:rPr>
                <w:sz w:val="28"/>
                <w:szCs w:val="28"/>
              </w:rPr>
              <w:t>Подсистема анализа степени возмещения</w:t>
            </w:r>
          </w:p>
        </w:tc>
        <w:tc>
          <w:tcPr>
            <w:tcW w:w="3190" w:type="dxa"/>
          </w:tcPr>
          <w:p w:rsidR="00387856" w:rsidRDefault="006F3A69" w:rsidP="00236275">
            <w:pPr>
              <w:pStyle w:val="Default"/>
              <w:rPr>
                <w:sz w:val="28"/>
                <w:szCs w:val="28"/>
              </w:rPr>
            </w:pPr>
            <w:r>
              <w:rPr>
                <w:sz w:val="28"/>
                <w:szCs w:val="28"/>
              </w:rPr>
              <w:t>Объем ущерба</w:t>
            </w:r>
          </w:p>
          <w:p w:rsidR="006F3A69" w:rsidRDefault="006F3A69" w:rsidP="00236275">
            <w:pPr>
              <w:pStyle w:val="Default"/>
              <w:rPr>
                <w:sz w:val="28"/>
                <w:szCs w:val="28"/>
              </w:rPr>
            </w:pPr>
          </w:p>
        </w:tc>
        <w:tc>
          <w:tcPr>
            <w:tcW w:w="3191" w:type="dxa"/>
          </w:tcPr>
          <w:p w:rsidR="00387856" w:rsidRDefault="006F3A69" w:rsidP="00236275">
            <w:pPr>
              <w:pStyle w:val="Default"/>
              <w:rPr>
                <w:sz w:val="28"/>
                <w:szCs w:val="28"/>
              </w:rPr>
            </w:pPr>
            <w:r>
              <w:rPr>
                <w:sz w:val="28"/>
                <w:szCs w:val="28"/>
              </w:rPr>
              <w:t>Подсистема выставления претензий поставщикам</w:t>
            </w:r>
          </w:p>
        </w:tc>
      </w:tr>
      <w:tr w:rsidR="006F3A69" w:rsidTr="00236275">
        <w:tc>
          <w:tcPr>
            <w:tcW w:w="3190" w:type="dxa"/>
          </w:tcPr>
          <w:p w:rsidR="006F3A69" w:rsidRDefault="000A4A27" w:rsidP="00236275">
            <w:pPr>
              <w:pStyle w:val="Default"/>
              <w:rPr>
                <w:sz w:val="28"/>
                <w:szCs w:val="28"/>
              </w:rPr>
            </w:pPr>
            <w:r>
              <w:rPr>
                <w:sz w:val="28"/>
                <w:szCs w:val="28"/>
              </w:rPr>
              <w:t>Подсистема поставок</w:t>
            </w:r>
          </w:p>
        </w:tc>
        <w:tc>
          <w:tcPr>
            <w:tcW w:w="3190" w:type="dxa"/>
          </w:tcPr>
          <w:p w:rsidR="006F3A69" w:rsidRDefault="004374D1" w:rsidP="00236275">
            <w:pPr>
              <w:pStyle w:val="Default"/>
              <w:rPr>
                <w:sz w:val="28"/>
                <w:szCs w:val="28"/>
              </w:rPr>
            </w:pPr>
            <w:r>
              <w:rPr>
                <w:sz w:val="28"/>
                <w:szCs w:val="28"/>
              </w:rPr>
              <w:t xml:space="preserve">Перечень некондиционного </w:t>
            </w:r>
            <w:bookmarkStart w:id="0" w:name="_GoBack"/>
            <w:bookmarkEnd w:id="0"/>
            <w:r w:rsidR="000A4A27">
              <w:rPr>
                <w:sz w:val="28"/>
                <w:szCs w:val="28"/>
              </w:rPr>
              <w:t>материала</w:t>
            </w:r>
          </w:p>
        </w:tc>
        <w:tc>
          <w:tcPr>
            <w:tcW w:w="3191" w:type="dxa"/>
          </w:tcPr>
          <w:p w:rsidR="006F3A69" w:rsidRDefault="000A4A27" w:rsidP="00236275">
            <w:pPr>
              <w:pStyle w:val="Default"/>
              <w:rPr>
                <w:sz w:val="28"/>
                <w:szCs w:val="28"/>
              </w:rPr>
            </w:pPr>
            <w:r>
              <w:rPr>
                <w:sz w:val="28"/>
                <w:szCs w:val="28"/>
              </w:rPr>
              <w:t>Подсистема регистрации жалоб</w:t>
            </w:r>
          </w:p>
        </w:tc>
      </w:tr>
    </w:tbl>
    <w:p w:rsidR="00236275" w:rsidRDefault="00236275" w:rsidP="00236275">
      <w:pPr>
        <w:pStyle w:val="Default"/>
        <w:rPr>
          <w:sz w:val="28"/>
          <w:szCs w:val="28"/>
        </w:rPr>
      </w:pPr>
    </w:p>
    <w:p w:rsidR="00236275" w:rsidRDefault="00236275" w:rsidP="00236275">
      <w:pPr>
        <w:pStyle w:val="Default"/>
      </w:pPr>
    </w:p>
    <w:p w:rsidR="00236275" w:rsidRPr="00236275" w:rsidRDefault="00236275" w:rsidP="00236275">
      <w:pPr>
        <w:pStyle w:val="Default"/>
        <w:ind w:firstLine="708"/>
        <w:rPr>
          <w:sz w:val="28"/>
          <w:szCs w:val="28"/>
        </w:rPr>
      </w:pPr>
      <w:r w:rsidRPr="00236275">
        <w:rPr>
          <w:b/>
          <w:bCs/>
          <w:sz w:val="28"/>
          <w:szCs w:val="28"/>
        </w:rPr>
        <w:t xml:space="preserve">Цель – </w:t>
      </w:r>
      <w:r w:rsidRPr="00236275">
        <w:rPr>
          <w:i/>
          <w:iCs/>
          <w:sz w:val="28"/>
          <w:szCs w:val="28"/>
        </w:rPr>
        <w:t xml:space="preserve">желаемые будущие состояния системы в заданный момент времени </w:t>
      </w:r>
    </w:p>
    <w:tbl>
      <w:tblPr>
        <w:tblStyle w:val="a4"/>
        <w:tblW w:w="0" w:type="auto"/>
        <w:tblLook w:val="04A0" w:firstRow="1" w:lastRow="0" w:firstColumn="1" w:lastColumn="0" w:noHBand="0" w:noVBand="1"/>
      </w:tblPr>
      <w:tblGrid>
        <w:gridCol w:w="4785"/>
        <w:gridCol w:w="4786"/>
      </w:tblGrid>
      <w:tr w:rsidR="00236275" w:rsidTr="00236275">
        <w:tc>
          <w:tcPr>
            <w:tcW w:w="4785" w:type="dxa"/>
          </w:tcPr>
          <w:p w:rsidR="00236275" w:rsidRPr="00236275" w:rsidRDefault="00236275" w:rsidP="00236275">
            <w:pPr>
              <w:pStyle w:val="Default"/>
              <w:jc w:val="center"/>
              <w:rPr>
                <w:b/>
                <w:sz w:val="28"/>
                <w:szCs w:val="28"/>
              </w:rPr>
            </w:pPr>
            <w:r w:rsidRPr="00236275">
              <w:rPr>
                <w:b/>
                <w:sz w:val="28"/>
                <w:szCs w:val="28"/>
              </w:rPr>
              <w:t>Показатель</w:t>
            </w:r>
          </w:p>
        </w:tc>
        <w:tc>
          <w:tcPr>
            <w:tcW w:w="4786" w:type="dxa"/>
          </w:tcPr>
          <w:p w:rsidR="00236275" w:rsidRPr="00236275" w:rsidRDefault="00236275" w:rsidP="00236275">
            <w:pPr>
              <w:pStyle w:val="Default"/>
              <w:jc w:val="center"/>
              <w:rPr>
                <w:b/>
                <w:sz w:val="28"/>
                <w:szCs w:val="28"/>
              </w:rPr>
            </w:pPr>
            <w:r w:rsidRPr="00236275">
              <w:rPr>
                <w:b/>
                <w:sz w:val="28"/>
                <w:szCs w:val="28"/>
              </w:rPr>
              <w:t>Желаемое состояние</w:t>
            </w:r>
          </w:p>
        </w:tc>
      </w:tr>
      <w:tr w:rsidR="00236275" w:rsidTr="00236275">
        <w:tc>
          <w:tcPr>
            <w:tcW w:w="4785" w:type="dxa"/>
          </w:tcPr>
          <w:p w:rsidR="00236275" w:rsidRDefault="00E72C2E" w:rsidP="00236275">
            <w:pPr>
              <w:pStyle w:val="Default"/>
              <w:rPr>
                <w:sz w:val="28"/>
                <w:szCs w:val="28"/>
              </w:rPr>
            </w:pPr>
            <w:r>
              <w:rPr>
                <w:sz w:val="28"/>
                <w:szCs w:val="28"/>
              </w:rPr>
              <w:t>Список и стадия урегулирования ущербов</w:t>
            </w:r>
          </w:p>
        </w:tc>
        <w:tc>
          <w:tcPr>
            <w:tcW w:w="4786" w:type="dxa"/>
          </w:tcPr>
          <w:p w:rsidR="00236275" w:rsidRDefault="00E034E4" w:rsidP="00236275">
            <w:pPr>
              <w:pStyle w:val="Default"/>
              <w:rPr>
                <w:sz w:val="28"/>
                <w:szCs w:val="28"/>
              </w:rPr>
            </w:pPr>
            <w:r>
              <w:rPr>
                <w:sz w:val="28"/>
                <w:szCs w:val="28"/>
              </w:rPr>
              <w:t>Претензии полностью урегулированы</w:t>
            </w:r>
          </w:p>
        </w:tc>
      </w:tr>
      <w:tr w:rsidR="00236275" w:rsidTr="00236275">
        <w:tc>
          <w:tcPr>
            <w:tcW w:w="4785" w:type="dxa"/>
          </w:tcPr>
          <w:p w:rsidR="00236275" w:rsidRDefault="00E034E4" w:rsidP="00236275">
            <w:pPr>
              <w:pStyle w:val="Default"/>
              <w:rPr>
                <w:sz w:val="28"/>
                <w:szCs w:val="28"/>
              </w:rPr>
            </w:pPr>
            <w:r>
              <w:rPr>
                <w:sz w:val="28"/>
                <w:szCs w:val="28"/>
              </w:rPr>
              <w:t>Степень возмещения ущерба</w:t>
            </w:r>
          </w:p>
        </w:tc>
        <w:tc>
          <w:tcPr>
            <w:tcW w:w="4786" w:type="dxa"/>
          </w:tcPr>
          <w:p w:rsidR="00236275" w:rsidRDefault="00E034E4" w:rsidP="00236275">
            <w:pPr>
              <w:pStyle w:val="Default"/>
              <w:rPr>
                <w:sz w:val="28"/>
                <w:szCs w:val="28"/>
              </w:rPr>
            </w:pPr>
            <w:r>
              <w:rPr>
                <w:sz w:val="28"/>
                <w:szCs w:val="28"/>
              </w:rPr>
              <w:t>Ущерб полностью возмещен</w:t>
            </w:r>
          </w:p>
        </w:tc>
      </w:tr>
      <w:tr w:rsidR="00E034E4" w:rsidTr="00236275">
        <w:tc>
          <w:tcPr>
            <w:tcW w:w="4785" w:type="dxa"/>
          </w:tcPr>
          <w:p w:rsidR="00E034E4" w:rsidRDefault="00E034E4" w:rsidP="00236275">
            <w:pPr>
              <w:pStyle w:val="Default"/>
              <w:rPr>
                <w:sz w:val="28"/>
                <w:szCs w:val="28"/>
              </w:rPr>
            </w:pPr>
            <w:r>
              <w:rPr>
                <w:sz w:val="28"/>
                <w:szCs w:val="28"/>
              </w:rPr>
              <w:lastRenderedPageBreak/>
              <w:t>Объем поставки</w:t>
            </w:r>
          </w:p>
        </w:tc>
        <w:tc>
          <w:tcPr>
            <w:tcW w:w="4786" w:type="dxa"/>
          </w:tcPr>
          <w:p w:rsidR="00E034E4" w:rsidRDefault="0028463E" w:rsidP="00236275">
            <w:pPr>
              <w:pStyle w:val="Default"/>
              <w:rPr>
                <w:sz w:val="28"/>
                <w:szCs w:val="28"/>
              </w:rPr>
            </w:pPr>
            <w:r>
              <w:rPr>
                <w:sz w:val="28"/>
                <w:szCs w:val="28"/>
              </w:rPr>
              <w:t>Товар по максимуму работоспособен</w:t>
            </w:r>
          </w:p>
        </w:tc>
      </w:tr>
      <w:tr w:rsidR="0028463E" w:rsidTr="00236275">
        <w:tc>
          <w:tcPr>
            <w:tcW w:w="4785" w:type="dxa"/>
          </w:tcPr>
          <w:p w:rsidR="0028463E" w:rsidRDefault="0028463E" w:rsidP="00236275">
            <w:pPr>
              <w:pStyle w:val="Default"/>
              <w:rPr>
                <w:sz w:val="28"/>
                <w:szCs w:val="28"/>
              </w:rPr>
            </w:pPr>
          </w:p>
        </w:tc>
        <w:tc>
          <w:tcPr>
            <w:tcW w:w="4786" w:type="dxa"/>
          </w:tcPr>
          <w:p w:rsidR="0028463E" w:rsidRDefault="0028463E" w:rsidP="00236275">
            <w:pPr>
              <w:pStyle w:val="Default"/>
              <w:rPr>
                <w:sz w:val="28"/>
                <w:szCs w:val="28"/>
              </w:rPr>
            </w:pPr>
          </w:p>
        </w:tc>
      </w:tr>
    </w:tbl>
    <w:p w:rsidR="00B509E7" w:rsidRDefault="00B509E7" w:rsidP="00236275">
      <w:pPr>
        <w:pStyle w:val="Default"/>
      </w:pPr>
    </w:p>
    <w:p w:rsidR="00236275" w:rsidRPr="00B509E7" w:rsidRDefault="00B509E7" w:rsidP="00B509E7">
      <w:pPr>
        <w:pStyle w:val="Default"/>
        <w:ind w:firstLine="708"/>
        <w:rPr>
          <w:sz w:val="28"/>
          <w:szCs w:val="28"/>
        </w:rPr>
      </w:pPr>
      <w:r w:rsidRPr="00B509E7">
        <w:rPr>
          <w:b/>
          <w:sz w:val="28"/>
          <w:szCs w:val="28"/>
        </w:rPr>
        <w:t>Граница системы</w:t>
      </w:r>
      <w:r w:rsidRPr="00B509E7">
        <w:rPr>
          <w:sz w:val="28"/>
          <w:szCs w:val="28"/>
        </w:rPr>
        <w:t xml:space="preserve"> – любые материальные и нематериальные ограничители, отделяющие систему от внешней среды.</w:t>
      </w:r>
    </w:p>
    <w:p w:rsidR="00236275" w:rsidRDefault="00236275" w:rsidP="00236275">
      <w:pPr>
        <w:spacing w:after="0"/>
        <w:rPr>
          <w:rFonts w:ascii="Times New Roman" w:hAnsi="Times New Roman" w:cs="Times New Roman"/>
          <w:sz w:val="28"/>
          <w:szCs w:val="28"/>
        </w:rPr>
      </w:pPr>
    </w:p>
    <w:p w:rsidR="00864AF7" w:rsidRDefault="00864AF7" w:rsidP="00236275">
      <w:pPr>
        <w:spacing w:after="0"/>
        <w:rPr>
          <w:rFonts w:ascii="Times New Roman" w:hAnsi="Times New Roman" w:cs="Times New Roman"/>
          <w:sz w:val="28"/>
          <w:szCs w:val="28"/>
        </w:rPr>
      </w:pPr>
    </w:p>
    <w:p w:rsidR="00864AF7" w:rsidRPr="0028463E" w:rsidRDefault="00864AF7" w:rsidP="00236275">
      <w:pPr>
        <w:spacing w:after="0"/>
        <w:rPr>
          <w:rFonts w:ascii="Times New Roman" w:hAnsi="Times New Roman" w:cs="Times New Roman"/>
          <w:b/>
          <w:sz w:val="28"/>
          <w:szCs w:val="28"/>
        </w:rPr>
      </w:pPr>
    </w:p>
    <w:p w:rsidR="00864AF7" w:rsidRPr="0028463E" w:rsidRDefault="00864AF7" w:rsidP="00864AF7">
      <w:pPr>
        <w:spacing w:after="0"/>
        <w:ind w:firstLine="708"/>
        <w:rPr>
          <w:rFonts w:ascii="Times New Roman" w:hAnsi="Times New Roman" w:cs="Times New Roman"/>
          <w:b/>
          <w:sz w:val="28"/>
          <w:szCs w:val="28"/>
        </w:rPr>
      </w:pPr>
      <w:r w:rsidRPr="0028463E">
        <w:rPr>
          <w:rFonts w:ascii="Times New Roman" w:hAnsi="Times New Roman" w:cs="Times New Roman"/>
          <w:b/>
          <w:sz w:val="28"/>
          <w:szCs w:val="28"/>
        </w:rPr>
        <w:t xml:space="preserve">К системе относится: </w:t>
      </w:r>
    </w:p>
    <w:p w:rsidR="00864AF7" w:rsidRDefault="00864AF7" w:rsidP="00864AF7">
      <w:pPr>
        <w:spacing w:after="0"/>
        <w:ind w:firstLine="708"/>
        <w:rPr>
          <w:rFonts w:ascii="Times New Roman" w:hAnsi="Times New Roman" w:cs="Times New Roman"/>
          <w:sz w:val="28"/>
          <w:szCs w:val="28"/>
        </w:rPr>
      </w:pPr>
      <w:r w:rsidRPr="00864AF7">
        <w:rPr>
          <w:rFonts w:ascii="Times New Roman" w:hAnsi="Times New Roman" w:cs="Times New Roman"/>
          <w:sz w:val="28"/>
          <w:szCs w:val="28"/>
        </w:rPr>
        <w:t xml:space="preserve">Деятельность </w:t>
      </w:r>
      <w:r w:rsidR="0028463E">
        <w:rPr>
          <w:rFonts w:ascii="Times New Roman" w:hAnsi="Times New Roman" w:cs="Times New Roman"/>
          <w:sz w:val="28"/>
          <w:szCs w:val="28"/>
        </w:rPr>
        <w:t>сотрудников</w:t>
      </w:r>
      <w:r w:rsidRPr="00864AF7">
        <w:rPr>
          <w:rFonts w:ascii="Times New Roman" w:hAnsi="Times New Roman" w:cs="Times New Roman"/>
          <w:sz w:val="28"/>
          <w:szCs w:val="28"/>
        </w:rPr>
        <w:t xml:space="preserve"> в рамках выполнения функций </w:t>
      </w:r>
      <w:proofErr w:type="gramStart"/>
      <w:r w:rsidRPr="00864AF7">
        <w:rPr>
          <w:rFonts w:ascii="Times New Roman" w:hAnsi="Times New Roman" w:cs="Times New Roman"/>
          <w:sz w:val="28"/>
          <w:szCs w:val="28"/>
        </w:rPr>
        <w:t>бизнес-единицы</w:t>
      </w:r>
      <w:proofErr w:type="gramEnd"/>
      <w:r w:rsidRPr="00864AF7">
        <w:rPr>
          <w:rFonts w:ascii="Times New Roman" w:hAnsi="Times New Roman" w:cs="Times New Roman"/>
          <w:sz w:val="28"/>
          <w:szCs w:val="28"/>
        </w:rPr>
        <w:t>.</w:t>
      </w:r>
    </w:p>
    <w:p w:rsidR="00864AF7" w:rsidRPr="0028463E" w:rsidRDefault="00864AF7" w:rsidP="00864AF7">
      <w:pPr>
        <w:spacing w:after="0"/>
        <w:ind w:firstLine="708"/>
        <w:rPr>
          <w:rFonts w:ascii="Times New Roman" w:hAnsi="Times New Roman" w:cs="Times New Roman"/>
          <w:b/>
          <w:sz w:val="28"/>
          <w:szCs w:val="28"/>
        </w:rPr>
      </w:pPr>
      <w:r w:rsidRPr="0028463E">
        <w:rPr>
          <w:rFonts w:ascii="Times New Roman" w:hAnsi="Times New Roman" w:cs="Times New Roman"/>
          <w:b/>
          <w:sz w:val="28"/>
          <w:szCs w:val="28"/>
        </w:rPr>
        <w:t>Вне системы находятся:</w:t>
      </w:r>
    </w:p>
    <w:p w:rsidR="00864AF7" w:rsidRDefault="00C92852" w:rsidP="00864AF7">
      <w:pPr>
        <w:pStyle w:val="a3"/>
        <w:numPr>
          <w:ilvl w:val="0"/>
          <w:numId w:val="4"/>
        </w:numPr>
        <w:spacing w:after="0"/>
        <w:rPr>
          <w:rFonts w:ascii="Times New Roman" w:hAnsi="Times New Roman" w:cs="Times New Roman"/>
          <w:sz w:val="28"/>
          <w:szCs w:val="28"/>
        </w:rPr>
      </w:pPr>
      <w:r>
        <w:rPr>
          <w:rFonts w:ascii="Times New Roman" w:hAnsi="Times New Roman" w:cs="Times New Roman"/>
          <w:sz w:val="28"/>
          <w:szCs w:val="28"/>
        </w:rPr>
        <w:t>Деятельность поставщиков</w:t>
      </w:r>
    </w:p>
    <w:p w:rsidR="00076A89" w:rsidRDefault="008D15C0" w:rsidP="00864AF7">
      <w:pPr>
        <w:pStyle w:val="a3"/>
        <w:numPr>
          <w:ilvl w:val="0"/>
          <w:numId w:val="4"/>
        </w:numPr>
        <w:spacing w:after="0"/>
        <w:rPr>
          <w:rFonts w:ascii="Times New Roman" w:hAnsi="Times New Roman" w:cs="Times New Roman"/>
          <w:sz w:val="28"/>
          <w:szCs w:val="28"/>
        </w:rPr>
      </w:pPr>
      <w:r>
        <w:rPr>
          <w:rFonts w:ascii="Times New Roman" w:hAnsi="Times New Roman" w:cs="Times New Roman"/>
          <w:sz w:val="28"/>
          <w:szCs w:val="28"/>
        </w:rPr>
        <w:t>Деятельность финансовых организаций</w:t>
      </w:r>
    </w:p>
    <w:p w:rsidR="0028463E" w:rsidRDefault="0028463E" w:rsidP="00864AF7">
      <w:pPr>
        <w:pStyle w:val="a3"/>
        <w:numPr>
          <w:ilvl w:val="0"/>
          <w:numId w:val="4"/>
        </w:numPr>
        <w:spacing w:after="0"/>
        <w:rPr>
          <w:rFonts w:ascii="Times New Roman" w:hAnsi="Times New Roman" w:cs="Times New Roman"/>
          <w:sz w:val="28"/>
          <w:szCs w:val="28"/>
        </w:rPr>
      </w:pPr>
      <w:r>
        <w:rPr>
          <w:rFonts w:ascii="Times New Roman" w:hAnsi="Times New Roman" w:cs="Times New Roman"/>
          <w:sz w:val="28"/>
          <w:szCs w:val="28"/>
        </w:rPr>
        <w:t>Деятельность юридических организаций</w:t>
      </w:r>
    </w:p>
    <w:p w:rsidR="008D15C0" w:rsidRDefault="008D15C0" w:rsidP="008D15C0">
      <w:pPr>
        <w:spacing w:after="0"/>
        <w:ind w:left="360"/>
        <w:rPr>
          <w:rFonts w:ascii="Times New Roman" w:hAnsi="Times New Roman" w:cs="Times New Roman"/>
          <w:sz w:val="28"/>
          <w:szCs w:val="28"/>
        </w:rPr>
      </w:pPr>
    </w:p>
    <w:p w:rsidR="008D15C0" w:rsidRDefault="008D15C0" w:rsidP="008D15C0">
      <w:pPr>
        <w:spacing w:after="0"/>
        <w:ind w:left="360" w:firstLine="348"/>
        <w:rPr>
          <w:rFonts w:ascii="Times New Roman" w:hAnsi="Times New Roman" w:cs="Times New Roman"/>
          <w:b/>
          <w:sz w:val="28"/>
          <w:szCs w:val="28"/>
        </w:rPr>
      </w:pPr>
      <w:r w:rsidRPr="008D15C0">
        <w:rPr>
          <w:rFonts w:ascii="Times New Roman" w:hAnsi="Times New Roman" w:cs="Times New Roman"/>
          <w:b/>
          <w:sz w:val="28"/>
          <w:szCs w:val="28"/>
        </w:rPr>
        <w:t>Главная проблема владельца системы:</w:t>
      </w:r>
    </w:p>
    <w:p w:rsidR="00846DFB" w:rsidRDefault="008D15C0" w:rsidP="008D15C0">
      <w:pPr>
        <w:spacing w:after="0"/>
        <w:ind w:left="360" w:firstLine="348"/>
        <w:rPr>
          <w:rFonts w:ascii="Times New Roman" w:hAnsi="Times New Roman" w:cs="Times New Roman"/>
          <w:sz w:val="28"/>
          <w:szCs w:val="28"/>
        </w:rPr>
      </w:pPr>
      <w:r>
        <w:rPr>
          <w:rFonts w:ascii="Times New Roman" w:hAnsi="Times New Roman" w:cs="Times New Roman"/>
          <w:sz w:val="28"/>
          <w:szCs w:val="28"/>
        </w:rPr>
        <w:t xml:space="preserve">Владелец стремится </w:t>
      </w:r>
      <w:r w:rsidR="0028463E">
        <w:rPr>
          <w:sz w:val="28"/>
          <w:szCs w:val="28"/>
        </w:rPr>
        <w:t>п</w:t>
      </w:r>
      <w:r w:rsidR="00F34DDF">
        <w:rPr>
          <w:sz w:val="28"/>
          <w:szCs w:val="28"/>
        </w:rPr>
        <w:t>олностью и своевременно защитить имущественные права и взыскать ущерб по жалобам.</w:t>
      </w:r>
    </w:p>
    <w:p w:rsidR="00846DFB" w:rsidRDefault="00846DFB" w:rsidP="008D15C0">
      <w:pPr>
        <w:spacing w:after="0"/>
        <w:ind w:left="360" w:firstLine="348"/>
        <w:rPr>
          <w:rFonts w:ascii="Times New Roman" w:hAnsi="Times New Roman" w:cs="Times New Roman"/>
          <w:b/>
          <w:sz w:val="28"/>
          <w:szCs w:val="28"/>
        </w:rPr>
      </w:pPr>
      <w:r w:rsidRPr="000E2C13">
        <w:rPr>
          <w:rFonts w:ascii="Times New Roman" w:hAnsi="Times New Roman" w:cs="Times New Roman"/>
          <w:b/>
          <w:sz w:val="28"/>
          <w:szCs w:val="28"/>
        </w:rPr>
        <w:t xml:space="preserve">Список </w:t>
      </w:r>
      <w:proofErr w:type="spellStart"/>
      <w:r w:rsidRPr="000E2C13">
        <w:rPr>
          <w:rFonts w:ascii="Times New Roman" w:hAnsi="Times New Roman" w:cs="Times New Roman"/>
          <w:b/>
          <w:sz w:val="28"/>
          <w:szCs w:val="28"/>
        </w:rPr>
        <w:t>стейкхолдеров</w:t>
      </w:r>
      <w:proofErr w:type="spellEnd"/>
      <w:r w:rsidRPr="000E2C13">
        <w:rPr>
          <w:rFonts w:ascii="Times New Roman" w:hAnsi="Times New Roman" w:cs="Times New Roman"/>
          <w:b/>
          <w:sz w:val="28"/>
          <w:szCs w:val="28"/>
        </w:rPr>
        <w:t>:</w:t>
      </w:r>
    </w:p>
    <w:p w:rsidR="00F34DDF" w:rsidRDefault="00F34DDF" w:rsidP="000E2C13">
      <w:pPr>
        <w:pStyle w:val="a3"/>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Сотрудники </w:t>
      </w:r>
      <w:proofErr w:type="gramStart"/>
      <w:r>
        <w:rPr>
          <w:rFonts w:ascii="Times New Roman" w:hAnsi="Times New Roman" w:cs="Times New Roman"/>
          <w:sz w:val="28"/>
          <w:szCs w:val="28"/>
        </w:rPr>
        <w:t>бизнес-единицы</w:t>
      </w:r>
      <w:proofErr w:type="gramEnd"/>
      <w:r>
        <w:rPr>
          <w:rFonts w:ascii="Times New Roman" w:hAnsi="Times New Roman" w:cs="Times New Roman"/>
          <w:sz w:val="28"/>
          <w:szCs w:val="28"/>
        </w:rPr>
        <w:t>;</w:t>
      </w:r>
    </w:p>
    <w:p w:rsidR="000E2C13" w:rsidRDefault="000E2C13" w:rsidP="000E2C13">
      <w:pPr>
        <w:pStyle w:val="a3"/>
        <w:numPr>
          <w:ilvl w:val="0"/>
          <w:numId w:val="5"/>
        </w:numPr>
        <w:spacing w:after="0"/>
        <w:rPr>
          <w:rFonts w:ascii="Times New Roman" w:hAnsi="Times New Roman" w:cs="Times New Roman"/>
          <w:sz w:val="28"/>
          <w:szCs w:val="28"/>
        </w:rPr>
      </w:pPr>
      <w:r>
        <w:rPr>
          <w:rFonts w:ascii="Times New Roman" w:hAnsi="Times New Roman" w:cs="Times New Roman"/>
          <w:sz w:val="28"/>
          <w:szCs w:val="28"/>
        </w:rPr>
        <w:t>Поставщики</w:t>
      </w:r>
      <w:r w:rsidR="00F34DDF">
        <w:rPr>
          <w:rFonts w:ascii="Times New Roman" w:hAnsi="Times New Roman" w:cs="Times New Roman"/>
          <w:sz w:val="28"/>
          <w:szCs w:val="28"/>
        </w:rPr>
        <w:t>;</w:t>
      </w:r>
    </w:p>
    <w:p w:rsidR="00F34DDF" w:rsidRDefault="00F34DDF" w:rsidP="000E2C13">
      <w:pPr>
        <w:pStyle w:val="a3"/>
        <w:numPr>
          <w:ilvl w:val="0"/>
          <w:numId w:val="5"/>
        </w:numPr>
        <w:spacing w:after="0"/>
        <w:rPr>
          <w:rFonts w:ascii="Times New Roman" w:hAnsi="Times New Roman" w:cs="Times New Roman"/>
          <w:sz w:val="28"/>
          <w:szCs w:val="28"/>
        </w:rPr>
      </w:pPr>
      <w:r>
        <w:rPr>
          <w:rFonts w:ascii="Times New Roman" w:hAnsi="Times New Roman" w:cs="Times New Roman"/>
          <w:sz w:val="28"/>
          <w:szCs w:val="28"/>
        </w:rPr>
        <w:t>Юридические организации и органы власти.</w:t>
      </w:r>
    </w:p>
    <w:p w:rsidR="007345E8" w:rsidRDefault="007345E8" w:rsidP="007345E8">
      <w:pPr>
        <w:spacing w:after="0"/>
        <w:ind w:left="708"/>
        <w:rPr>
          <w:rFonts w:ascii="Times New Roman" w:hAnsi="Times New Roman" w:cs="Times New Roman"/>
          <w:b/>
          <w:sz w:val="28"/>
          <w:szCs w:val="28"/>
        </w:rPr>
      </w:pPr>
      <w:r w:rsidRPr="007345E8">
        <w:rPr>
          <w:rFonts w:ascii="Times New Roman" w:hAnsi="Times New Roman" w:cs="Times New Roman"/>
          <w:b/>
          <w:sz w:val="28"/>
          <w:szCs w:val="28"/>
        </w:rPr>
        <w:t>Языки конфигуратора:</w:t>
      </w:r>
    </w:p>
    <w:p w:rsidR="007345E8" w:rsidRDefault="007345E8" w:rsidP="007345E8">
      <w:pPr>
        <w:pStyle w:val="a3"/>
        <w:numPr>
          <w:ilvl w:val="0"/>
          <w:numId w:val="6"/>
        </w:numPr>
        <w:spacing w:after="0"/>
        <w:rPr>
          <w:rFonts w:ascii="Times New Roman" w:hAnsi="Times New Roman" w:cs="Times New Roman"/>
          <w:sz w:val="28"/>
          <w:szCs w:val="28"/>
        </w:rPr>
      </w:pPr>
      <w:r>
        <w:rPr>
          <w:rFonts w:ascii="Times New Roman" w:hAnsi="Times New Roman" w:cs="Times New Roman"/>
          <w:sz w:val="28"/>
          <w:szCs w:val="28"/>
        </w:rPr>
        <w:t>Язык финансов</w:t>
      </w:r>
    </w:p>
    <w:p w:rsidR="007345E8" w:rsidRPr="007345E8" w:rsidRDefault="007345E8" w:rsidP="007345E8">
      <w:pPr>
        <w:pStyle w:val="a3"/>
        <w:numPr>
          <w:ilvl w:val="0"/>
          <w:numId w:val="6"/>
        </w:numPr>
        <w:spacing w:after="0"/>
        <w:rPr>
          <w:rFonts w:ascii="Times New Roman" w:hAnsi="Times New Roman" w:cs="Times New Roman"/>
          <w:sz w:val="28"/>
          <w:szCs w:val="28"/>
        </w:rPr>
      </w:pPr>
      <w:r>
        <w:rPr>
          <w:rFonts w:ascii="Times New Roman" w:hAnsi="Times New Roman" w:cs="Times New Roman"/>
          <w:sz w:val="28"/>
          <w:szCs w:val="28"/>
        </w:rPr>
        <w:t>Язык бухгалтерского учета (</w:t>
      </w:r>
      <w:r>
        <w:rPr>
          <w:sz w:val="28"/>
          <w:szCs w:val="28"/>
        </w:rPr>
        <w:t>П</w:t>
      </w:r>
      <w:r w:rsidRPr="00236275">
        <w:rPr>
          <w:sz w:val="28"/>
          <w:szCs w:val="28"/>
        </w:rPr>
        <w:t>латежное поручение на перечисление денег по претензии</w:t>
      </w:r>
      <w:r>
        <w:rPr>
          <w:rFonts w:ascii="Times New Roman" w:hAnsi="Times New Roman" w:cs="Times New Roman"/>
          <w:sz w:val="28"/>
          <w:szCs w:val="28"/>
        </w:rPr>
        <w:t>)</w:t>
      </w:r>
    </w:p>
    <w:p w:rsidR="007345E8" w:rsidRPr="007345E8" w:rsidRDefault="007345E8" w:rsidP="007345E8">
      <w:pPr>
        <w:spacing w:after="0"/>
        <w:ind w:left="708"/>
        <w:rPr>
          <w:rFonts w:ascii="Times New Roman" w:hAnsi="Times New Roman" w:cs="Times New Roman"/>
          <w:sz w:val="28"/>
          <w:szCs w:val="28"/>
        </w:rPr>
      </w:pPr>
    </w:p>
    <w:sectPr w:rsidR="007345E8" w:rsidRPr="007345E8" w:rsidSect="008028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611F8"/>
    <w:multiLevelType w:val="hybridMultilevel"/>
    <w:tmpl w:val="3AC6328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447D85"/>
    <w:multiLevelType w:val="hybridMultilevel"/>
    <w:tmpl w:val="491ADD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B7D118B"/>
    <w:multiLevelType w:val="hybridMultilevel"/>
    <w:tmpl w:val="4C20E1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0EF042A"/>
    <w:multiLevelType w:val="hybridMultilevel"/>
    <w:tmpl w:val="01127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FF83005"/>
    <w:multiLevelType w:val="hybridMultilevel"/>
    <w:tmpl w:val="8488E7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3D17631"/>
    <w:multiLevelType w:val="hybridMultilevel"/>
    <w:tmpl w:val="272ADD5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236275"/>
    <w:rsid w:val="00076A89"/>
    <w:rsid w:val="000A4A27"/>
    <w:rsid w:val="000E2C13"/>
    <w:rsid w:val="001A2E0C"/>
    <w:rsid w:val="001C6DF9"/>
    <w:rsid w:val="00236275"/>
    <w:rsid w:val="0027141F"/>
    <w:rsid w:val="00280058"/>
    <w:rsid w:val="0028463E"/>
    <w:rsid w:val="002A6B39"/>
    <w:rsid w:val="00387856"/>
    <w:rsid w:val="003C3D50"/>
    <w:rsid w:val="004374D1"/>
    <w:rsid w:val="00463EE7"/>
    <w:rsid w:val="00602144"/>
    <w:rsid w:val="006F3A69"/>
    <w:rsid w:val="007208AF"/>
    <w:rsid w:val="007345E8"/>
    <w:rsid w:val="00754D7B"/>
    <w:rsid w:val="00802843"/>
    <w:rsid w:val="00846DFB"/>
    <w:rsid w:val="00864AF7"/>
    <w:rsid w:val="008800DA"/>
    <w:rsid w:val="008D15C0"/>
    <w:rsid w:val="009E3EEC"/>
    <w:rsid w:val="00B509E7"/>
    <w:rsid w:val="00C92852"/>
    <w:rsid w:val="00CF559F"/>
    <w:rsid w:val="00D04ACE"/>
    <w:rsid w:val="00E034E4"/>
    <w:rsid w:val="00E5040C"/>
    <w:rsid w:val="00E72C2E"/>
    <w:rsid w:val="00E85DCA"/>
    <w:rsid w:val="00E958C6"/>
    <w:rsid w:val="00EB033D"/>
    <w:rsid w:val="00F34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8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627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236275"/>
    <w:pPr>
      <w:ind w:left="720"/>
      <w:contextualSpacing/>
    </w:pPr>
  </w:style>
  <w:style w:type="table" w:styleId="a4">
    <w:name w:val="Table Grid"/>
    <w:basedOn w:val="a1"/>
    <w:uiPriority w:val="59"/>
    <w:rsid w:val="002362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80859-19EE-4E49-8F9E-88AD6F42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631</Words>
  <Characters>3598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A217B-02</cp:lastModifiedBy>
  <cp:revision>5</cp:revision>
  <dcterms:created xsi:type="dcterms:W3CDTF">2023-09-11T04:41:00Z</dcterms:created>
  <dcterms:modified xsi:type="dcterms:W3CDTF">2023-10-09T02:54:00Z</dcterms:modified>
</cp:coreProperties>
</file>