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120" w:before="0"/>
      </w:pPr>
    </w:p>
    <w:p>
      <w:pPr>
        <w:spacing w:after="120" w:before="0"/>
      </w:pPr>
    </w:p>
    <w:p>
      <w:pPr>
        <w:spacing w:after="120" w:before="0"/>
      </w:pPr>
    </w:p>
    <w:p>
      <w:pPr>
        <w:spacing w:after="120" w:before="0"/>
      </w:pPr>
    </w:p>
    <w:p>
      <w:pPr>
        <w:jc w:val="center"/>
      </w:pPr>
      <w:r>
        <w:rPr>
          <w:rFonts w:ascii="Arial" w:cs="Arial" w:eastAsia="Arial" w:hAnsi="Arial"/>
          <w:b/>
          <w:bCs/>
          <w:color w:val="E26A1F"/>
          <w:spacing w:val="80"/>
          <w:sz w:val="56"/>
          <w:szCs w:val="56"/>
        </w:rPr>
        <w:t xml:space="preserve">MONROE ELEMENTARY</w:t>
      </w:r>
    </w:p>
    <w:p>
      <w:pPr>
        <w:spacing w:after="480" w:before="120"/>
        <w:jc w:val="center"/>
      </w:pPr>
      <w:r>
        <w:rPr>
          <w:rFonts w:ascii="Arial" w:cs="Arial" w:eastAsia="Arial" w:hAnsi="Arial"/>
          <w:b/>
          <w:bCs/>
          <w:color w:val="1A1410"/>
          <w:sz w:val="48"/>
          <w:szCs w:val="48"/>
        </w:rPr>
        <w:t xml:space="preserve">Brand Guidelines</w:t>
      </w:r>
    </w:p>
    <w:p>
      <w:pPr>
        <w:pBdr>
          <w:top w:val="single" w:color="E26A1F" w:sz="8" w:space="1"/>
        </w:pBdr>
        <w:spacing w:after="240" w:before="0"/>
        <w:jc w:val="center"/>
      </w:pPr>
    </w:p>
    <w:p>
      <w:pPr>
        <w:spacing w:after="80" w:before="120"/>
        <w:jc w:val="center"/>
      </w:pPr>
      <w:r>
        <w:rPr>
          <w:rFonts w:ascii="Arial" w:cs="Arial" w:eastAsia="Arial" w:hAnsi="Arial"/>
          <w:color w:val="1A1410"/>
          <w:sz w:val="24"/>
          <w:szCs w:val="24"/>
        </w:rPr>
        <w:t xml:space="preserve">Visual identity, voice, and design standards</w:t>
      </w:r>
    </w:p>
    <w:p>
      <w:pPr>
        <w:jc w:val="center"/>
      </w:pPr>
      <w:r>
        <w:rPr>
          <w:rFonts w:ascii="Arial" w:cs="Arial" w:eastAsia="Arial" w:hAnsi="Arial"/>
          <w:color w:val="888888"/>
          <w:sz w:val="20"/>
          <w:szCs w:val="20"/>
        </w:rPr>
        <w:t xml:space="preserve">260 Madrid Street · San Francisco, CA · SFUSD</w:t>
      </w:r>
    </w:p>
    <w:p>
      <w:pPr>
        <w:spacing w:after="120" w:before="0"/>
      </w:pPr>
    </w:p>
    <w:p>
      <w:pPr>
        <w:spacing w:after="120" w:before="0"/>
      </w:pPr>
    </w:p>
    <w:p>
      <w:pPr>
        <w:jc w:val="center"/>
      </w:pPr>
      <w:r>
        <w:rPr>
          <w:rFonts w:ascii="Arial" w:cs="Arial" w:eastAsia="Arial" w:hAnsi="Arial"/>
          <w:color w:val="888888"/>
          <w:sz w:val="20"/>
          <w:szCs w:val="20"/>
        </w:rPr>
        <w:t xml:space="preserve">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A1410"/>
          <w:sz w:val="40"/>
          <w:szCs w:val="4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before="0"/>
      </w:pPr>
      <w:r>
        <w:rPr>
          <w:rFonts w:ascii="Arial" w:cs="Arial" w:eastAsia="Arial" w:hAnsi="Arial"/>
          <w:b/>
          <w:bCs/>
          <w:color w:val="1A1410"/>
          <w:sz w:val="40"/>
          <w:szCs w:val="40"/>
        </w:rPr>
        <w:t xml:space="preserve">1. Who We Are</w:t>
      </w:r>
    </w:p>
    <w:p>
      <w:pPr>
        <w:pBdr>
          <w:bottom w:val="single" w:color="CCCCCC" w:sz="4" w:space="1"/>
        </w:pBdr>
        <w:spacing w:after="240" w:before="0"/>
      </w:pPr>
    </w:p>
    <w:p>
      <w:pPr>
        <w:pStyle w:val="Heading2"/>
        <w:spacing w:after="120" w:before="320"/>
      </w:pPr>
      <w:r>
        <w:rPr>
          <w:rFonts w:ascii="Arial" w:cs="Arial" w:eastAsia="Arial" w:hAnsi="Arial"/>
          <w:b/>
          <w:bCs/>
          <w:color w:val="E26A1F"/>
          <w:sz w:val="28"/>
          <w:szCs w:val="28"/>
        </w:rPr>
        <w:t xml:space="preserve">Mission</w:t>
      </w:r>
    </w:p>
    <w:p>
      <w:pPr>
        <w:spacing w:after="80" w:before="80"/>
      </w:pPr>
      <w:r>
        <w:rPr>
          <w:rFonts w:ascii="Arial" w:cs="Arial" w:eastAsia="Arial" w:hAnsi="Arial"/>
          <w:color w:val="1A1410"/>
          <w:sz w:val="22"/>
          <w:szCs w:val="22"/>
        </w:rPr>
        <w:t xml:space="preserve">Monroe Elementary is a joyful, multilingual public school in San Francisco's Excelsior neighborhood. We serve a diverse community of families — in English, Spanish, and Cantonese — and are committed to building a school where every child belongs, every family is welcomed, and the community takes care of each other.</w:t>
      </w:r>
    </w:p>
    <w:p>
      <w:pPr>
        <w:pStyle w:val="Heading2"/>
        <w:spacing w:after="120" w:before="320"/>
      </w:pPr>
      <w:r>
        <w:rPr>
          <w:rFonts w:ascii="Arial" w:cs="Arial" w:eastAsia="Arial" w:hAnsi="Arial"/>
          <w:b/>
          <w:bCs/>
          <w:color w:val="E26A1F"/>
          <w:sz w:val="28"/>
          <w:szCs w:val="28"/>
        </w:rPr>
        <w:t xml:space="preserve">Core Values</w:t>
      </w:r>
    </w:p>
    <w:p>
      <w:pPr>
        <w:pStyle w:val="ListParagraph"/>
        <w:numPr>
          <w:ilvl w:val="0"/>
          <w:numId w:val="2"/>
        </w:numPr>
        <w:spacing w:after="40" w:before="40"/>
      </w:pPr>
      <w:r>
        <w:rPr>
          <w:rFonts w:ascii="Arial" w:cs="Arial" w:eastAsia="Arial" w:hAnsi="Arial"/>
          <w:color w:val="1A1410"/>
          <w:sz w:val="22"/>
          <w:szCs w:val="22"/>
        </w:rPr>
        <w:t xml:space="preserve">Community over institution — we center families, not bureaucracy</w:t>
      </w:r>
    </w:p>
    <w:p>
      <w:pPr>
        <w:pStyle w:val="ListParagraph"/>
        <w:numPr>
          <w:ilvl w:val="0"/>
          <w:numId w:val="2"/>
        </w:numPr>
        <w:spacing w:after="40" w:before="40"/>
      </w:pPr>
      <w:r>
        <w:rPr>
          <w:rFonts w:ascii="Arial" w:cs="Arial" w:eastAsia="Arial" w:hAnsi="Arial"/>
          <w:color w:val="1A1410"/>
          <w:sz w:val="22"/>
          <w:szCs w:val="22"/>
        </w:rPr>
        <w:t xml:space="preserve">Liberation and equity — anti-racist, culturally affirming, justice-minded</w:t>
      </w:r>
    </w:p>
    <w:p>
      <w:pPr>
        <w:pStyle w:val="ListParagraph"/>
        <w:numPr>
          <w:ilvl w:val="0"/>
          <w:numId w:val="2"/>
        </w:numPr>
        <w:spacing w:after="40" w:before="40"/>
      </w:pPr>
      <w:r>
        <w:rPr>
          <w:rFonts w:ascii="Arial" w:cs="Arial" w:eastAsia="Arial" w:hAnsi="Arial"/>
          <w:color w:val="1A1410"/>
          <w:sz w:val="22"/>
          <w:szCs w:val="22"/>
        </w:rPr>
        <w:t xml:space="preserve">Radical welcome — every family deserves access, information, and belonging</w:t>
      </w:r>
    </w:p>
    <w:p>
      <w:pPr>
        <w:pStyle w:val="ListParagraph"/>
        <w:numPr>
          <w:ilvl w:val="0"/>
          <w:numId w:val="2"/>
        </w:numPr>
        <w:spacing w:after="40" w:before="40"/>
      </w:pPr>
      <w:r>
        <w:rPr>
          <w:rFonts w:ascii="Arial" w:cs="Arial" w:eastAsia="Arial" w:hAnsi="Arial"/>
          <w:color w:val="1A1410"/>
          <w:sz w:val="22"/>
          <w:szCs w:val="22"/>
        </w:rPr>
        <w:t xml:space="preserve">Social-emotional learning — the whole child matters</w:t>
      </w:r>
    </w:p>
    <w:p>
      <w:pPr>
        <w:pStyle w:val="ListParagraph"/>
        <w:numPr>
          <w:ilvl w:val="0"/>
          <w:numId w:val="2"/>
        </w:numPr>
        <w:spacing w:after="40" w:before="40"/>
      </w:pPr>
      <w:r>
        <w:rPr>
          <w:rFonts w:ascii="Arial" w:cs="Arial" w:eastAsia="Arial" w:hAnsi="Arial"/>
          <w:color w:val="1A1410"/>
          <w:sz w:val="22"/>
          <w:szCs w:val="22"/>
        </w:rPr>
        <w:t xml:space="preserve">Multilingual identity — English, Spanish, and Cantonese are equally honored</w:t>
      </w:r>
    </w:p>
    <w:p>
      <w:pPr>
        <w:pStyle w:val="ListParagraph"/>
        <w:numPr>
          <w:ilvl w:val="0"/>
          <w:numId w:val="2"/>
        </w:numPr>
        <w:spacing w:after="40" w:before="40"/>
      </w:pPr>
      <w:r>
        <w:rPr>
          <w:rFonts w:ascii="Arial" w:cs="Arial" w:eastAsia="Arial" w:hAnsi="Arial"/>
          <w:color w:val="1A1410"/>
          <w:sz w:val="22"/>
          <w:szCs w:val="22"/>
        </w:rPr>
        <w:t xml:space="preserve">Mutual aid — we look out for each other</w:t>
      </w:r>
    </w:p>
    <w:p>
      <w:pPr>
        <w:spacing w:after="120" w:before="0"/>
      </w:pPr>
    </w:p>
    <w:p>
      <w:pPr>
        <w:pStyle w:val="Heading2"/>
        <w:spacing w:after="120" w:before="320"/>
      </w:pPr>
      <w:r>
        <w:rPr>
          <w:rFonts w:ascii="Arial" w:cs="Arial" w:eastAsia="Arial" w:hAnsi="Arial"/>
          <w:b/>
          <w:bCs/>
          <w:color w:val="E26A1F"/>
          <w:sz w:val="28"/>
          <w:szCs w:val="28"/>
        </w:rPr>
        <w:t xml:space="preserve">Our Audiences</w:t>
      </w:r>
    </w:p>
    <w:p>
      <w:pPr>
        <w:spacing w:after="40" w:before="160"/>
      </w:pPr>
      <w:r>
        <w:rPr>
          <w:rFonts w:ascii="Arial" w:cs="Arial" w:eastAsia="Arial" w:hAnsi="Arial"/>
          <w:b/>
          <w:bCs/>
          <w:color w:val="E26A1F"/>
          <w:spacing w:val="60"/>
          <w:sz w:val="16"/>
          <w:szCs w:val="16"/>
        </w:rPr>
        <w:t xml:space="preserve">PRIMARY</w:t>
      </w:r>
    </w:p>
    <w:p>
      <w:pPr>
        <w:pStyle w:val="ListParagraph"/>
        <w:numPr>
          <w:ilvl w:val="0"/>
          <w:numId w:val="2"/>
        </w:numPr>
        <w:spacing w:after="40" w:before="40"/>
      </w:pPr>
      <w:r>
        <w:rPr>
          <w:rFonts w:ascii="Arial" w:cs="Arial" w:eastAsia="Arial" w:hAnsi="Arial"/>
          <w:color w:val="1A1410"/>
          <w:sz w:val="22"/>
          <w:szCs w:val="22"/>
        </w:rPr>
        <w:t xml:space="preserve">Current Monroe families (caregivers, parents, guardians)</w:t>
      </w:r>
    </w:p>
    <w:p>
      <w:pPr>
        <w:pStyle w:val="ListParagraph"/>
        <w:numPr>
          <w:ilvl w:val="0"/>
          <w:numId w:val="2"/>
        </w:numPr>
        <w:spacing w:after="40" w:before="40"/>
      </w:pPr>
      <w:r>
        <w:rPr>
          <w:rFonts w:ascii="Arial" w:cs="Arial" w:eastAsia="Arial" w:hAnsi="Arial"/>
          <w:color w:val="1A1410"/>
          <w:sz w:val="22"/>
          <w:szCs w:val="22"/>
        </w:rPr>
        <w:t xml:space="preserve">Students</w:t>
      </w:r>
    </w:p>
    <w:p>
      <w:pPr>
        <w:spacing w:after="40" w:before="160"/>
      </w:pPr>
      <w:r>
        <w:rPr>
          <w:rFonts w:ascii="Arial" w:cs="Arial" w:eastAsia="Arial" w:hAnsi="Arial"/>
          <w:b/>
          <w:bCs/>
          <w:color w:val="E26A1F"/>
          <w:spacing w:val="60"/>
          <w:sz w:val="16"/>
          <w:szCs w:val="16"/>
        </w:rPr>
        <w:t xml:space="preserve">SECONDARY</w:t>
      </w:r>
    </w:p>
    <w:p>
      <w:pPr>
        <w:pStyle w:val="ListParagraph"/>
        <w:numPr>
          <w:ilvl w:val="0"/>
          <w:numId w:val="2"/>
        </w:numPr>
        <w:spacing w:after="40" w:before="40"/>
      </w:pPr>
      <w:r>
        <w:rPr>
          <w:rFonts w:ascii="Arial" w:cs="Arial" w:eastAsia="Arial" w:hAnsi="Arial"/>
          <w:color w:val="1A1410"/>
          <w:sz w:val="22"/>
          <w:szCs w:val="22"/>
        </w:rPr>
        <w:t xml:space="preserve">Prospective families considering enrollment</w:t>
      </w:r>
    </w:p>
    <w:p>
      <w:pPr>
        <w:pStyle w:val="ListParagraph"/>
        <w:numPr>
          <w:ilvl w:val="0"/>
          <w:numId w:val="2"/>
        </w:numPr>
        <w:spacing w:after="40" w:before="40"/>
      </w:pPr>
      <w:r>
        <w:rPr>
          <w:rFonts w:ascii="Arial" w:cs="Arial" w:eastAsia="Arial" w:hAnsi="Arial"/>
          <w:color w:val="1A1410"/>
          <w:sz w:val="22"/>
          <w:szCs w:val="22"/>
        </w:rPr>
        <w:t xml:space="preserve">Community partners and volunteers</w:t>
      </w:r>
    </w:p>
    <w:p>
      <w:pPr>
        <w:pStyle w:val="ListParagraph"/>
        <w:numPr>
          <w:ilvl w:val="0"/>
          <w:numId w:val="2"/>
        </w:numPr>
        <w:spacing w:after="40" w:before="40"/>
      </w:pPr>
      <w:r>
        <w:rPr>
          <w:rFonts w:ascii="Arial" w:cs="Arial" w:eastAsia="Arial" w:hAnsi="Arial"/>
          <w:color w:val="1A1410"/>
          <w:sz w:val="22"/>
          <w:szCs w:val="22"/>
        </w:rPr>
        <w:t xml:space="preserve">SFUSD staff and administration</w:t>
      </w:r>
    </w:p>
    <w:p>
      <w:pPr>
        <w:spacing w:after="120" w:before="0"/>
      </w:pPr>
    </w:p>
    <w:p>
      <w:pPr>
        <w:pStyle w:val="Heading1"/>
        <w:pageBreakBefore/>
        <w:spacing w:after="240" w:before="0"/>
      </w:pPr>
      <w:r>
        <w:rPr>
          <w:rFonts w:ascii="Arial" w:cs="Arial" w:eastAsia="Arial" w:hAnsi="Arial"/>
          <w:b/>
          <w:bCs/>
          <w:color w:val="1A1410"/>
          <w:sz w:val="40"/>
          <w:szCs w:val="40"/>
        </w:rPr>
        <w:t xml:space="preserve">2. Voice &amp; Tone</w:t>
      </w:r>
    </w:p>
    <w:p>
      <w:pPr>
        <w:pBdr>
          <w:bottom w:val="single" w:color="CCCCCC" w:sz="4" w:space="1"/>
        </w:pBdr>
        <w:spacing w:after="240" w:before="0"/>
      </w:pPr>
    </w:p>
    <w:p>
      <w:pPr>
        <w:spacing w:after="80" w:before="80"/>
      </w:pPr>
      <w:r>
        <w:rPr>
          <w:rFonts w:ascii="Arial" w:cs="Arial" w:eastAsia="Arial" w:hAnsi="Arial"/>
          <w:color w:val="1A1410"/>
          <w:sz w:val="22"/>
          <w:szCs w:val="22"/>
        </w:rPr>
        <w:t xml:space="preserve">Our voice is the personality behind everything we write and say. It stays consistent across all communication. Our tone shifts depending on context — warmer and more casual in community messages, more informative and clear in resource documents.</w:t>
      </w:r>
    </w:p>
    <w:p>
      <w:pPr>
        <w:spacing w:after="120" w:before="0"/>
      </w:pPr>
    </w:p>
    <w:p>
      <w:pPr>
        <w:pStyle w:val="Heading2"/>
        <w:spacing w:after="120" w:before="320"/>
      </w:pPr>
      <w:r>
        <w:rPr>
          <w:rFonts w:ascii="Arial" w:cs="Arial" w:eastAsia="Arial" w:hAnsi="Arial"/>
          <w:b/>
          <w:bCs/>
          <w:color w:val="E26A1F"/>
          <w:sz w:val="28"/>
          <w:szCs w:val="28"/>
        </w:rPr>
        <w:t xml:space="preserve">Voice Principles</w:t>
      </w:r>
    </w:p>
    <w:p>
      <w:pPr>
        <w:pStyle w:val="Heading3"/>
        <w:spacing w:after="80" w:before="240"/>
      </w:pPr>
      <w:r>
        <w:rPr>
          <w:rFonts w:ascii="Arial" w:cs="Arial" w:eastAsia="Arial" w:hAnsi="Arial"/>
          <w:b/>
          <w:bCs/>
          <w:color w:val="1A1410"/>
          <w:sz w:val="22"/>
          <w:szCs w:val="22"/>
        </w:rPr>
        <w:t xml:space="preserve">Warm and Direct</w:t>
      </w:r>
    </w:p>
    <w:p>
      <w:pPr>
        <w:spacing w:after="80" w:before="80"/>
      </w:pPr>
      <w:r>
        <w:rPr>
          <w:rFonts w:ascii="Arial" w:cs="Arial" w:eastAsia="Arial" w:hAnsi="Arial"/>
          <w:color w:val="1A1410"/>
          <w:sz w:val="22"/>
          <w:szCs w:val="22"/>
        </w:rPr>
        <w:t xml:space="preserve">We speak like a trusted neighbor, not a government office. We get to the point without being cold. We say "We've got you" not "Please be advised."</w:t>
      </w:r>
    </w:p>
    <w:p>
      <w:pPr>
        <w:pStyle w:val="Heading3"/>
        <w:spacing w:after="80" w:before="240"/>
      </w:pPr>
      <w:r>
        <w:rPr>
          <w:rFonts w:ascii="Arial" w:cs="Arial" w:eastAsia="Arial" w:hAnsi="Arial"/>
          <w:b/>
          <w:bCs/>
          <w:color w:val="1A1410"/>
          <w:sz w:val="22"/>
          <w:szCs w:val="22"/>
        </w:rPr>
        <w:t xml:space="preserve">Community-First</w:t>
      </w:r>
    </w:p>
    <w:p>
      <w:pPr>
        <w:spacing w:after="80" w:before="80"/>
      </w:pPr>
      <w:r>
        <w:rPr>
          <w:rFonts w:ascii="Arial" w:cs="Arial" w:eastAsia="Arial" w:hAnsi="Arial"/>
          <w:color w:val="1A1410"/>
          <w:sz w:val="22"/>
          <w:szCs w:val="22"/>
        </w:rPr>
        <w:t xml:space="preserve">The school exists for its families. Language centers the reader: "You can find..." not "Parents are encouraged to..." We avoid institutional distance.</w:t>
      </w:r>
    </w:p>
    <w:p>
      <w:pPr>
        <w:pStyle w:val="Heading3"/>
        <w:spacing w:after="80" w:before="240"/>
      </w:pPr>
      <w:r>
        <w:rPr>
          <w:rFonts w:ascii="Arial" w:cs="Arial" w:eastAsia="Arial" w:hAnsi="Arial"/>
          <w:b/>
          <w:bCs/>
          <w:color w:val="1A1410"/>
          <w:sz w:val="22"/>
          <w:szCs w:val="22"/>
        </w:rPr>
        <w:t xml:space="preserve">Hopeful and Real</w:t>
      </w:r>
    </w:p>
    <w:p>
      <w:pPr>
        <w:spacing w:after="80" w:before="80"/>
      </w:pPr>
      <w:r>
        <w:rPr>
          <w:rFonts w:ascii="Arial" w:cs="Arial" w:eastAsia="Arial" w:hAnsi="Arial"/>
          <w:color w:val="1A1410"/>
          <w:sz w:val="22"/>
          <w:szCs w:val="22"/>
        </w:rPr>
        <w:t xml:space="preserve">We acknowledge difficulty honestly while holding space for possibility. We don't paper over hard realities with empty positivity, but we always point toward what's possible.</w:t>
      </w:r>
    </w:p>
    <w:p>
      <w:pPr>
        <w:pStyle w:val="Heading3"/>
        <w:spacing w:after="80" w:before="240"/>
      </w:pPr>
      <w:r>
        <w:rPr>
          <w:rFonts w:ascii="Arial" w:cs="Arial" w:eastAsia="Arial" w:hAnsi="Arial"/>
          <w:b/>
          <w:bCs/>
          <w:color w:val="1A1410"/>
          <w:sz w:val="22"/>
          <w:szCs w:val="22"/>
        </w:rPr>
        <w:t xml:space="preserve">Multilingual by Default</w:t>
      </w:r>
    </w:p>
    <w:p>
      <w:pPr>
        <w:spacing w:after="80" w:before="80"/>
      </w:pPr>
      <w:r>
        <w:rPr>
          <w:rFonts w:ascii="Arial" w:cs="Arial" w:eastAsia="Arial" w:hAnsi="Arial"/>
          <w:color w:val="1A1410"/>
          <w:sz w:val="22"/>
          <w:szCs w:val="22"/>
        </w:rPr>
        <w:t xml:space="preserve">All primary communications are available in English, Spanish, and Cantonese. Translation is not an afterthought — it is baked into every content plan from the start.</w:t>
      </w:r>
    </w:p>
    <w:p>
      <w:pPr>
        <w:pStyle w:val="Heading3"/>
        <w:spacing w:after="80" w:before="240"/>
      </w:pPr>
      <w:r>
        <w:rPr>
          <w:rFonts w:ascii="Arial" w:cs="Arial" w:eastAsia="Arial" w:hAnsi="Arial"/>
          <w:b/>
          <w:bCs/>
          <w:color w:val="1A1410"/>
          <w:sz w:val="22"/>
          <w:szCs w:val="22"/>
        </w:rPr>
        <w:t xml:space="preserve">Inclusive and Liberatory</w:t>
      </w:r>
    </w:p>
    <w:p>
      <w:pPr>
        <w:spacing w:after="80" w:before="80"/>
      </w:pPr>
      <w:r>
        <w:rPr>
          <w:rFonts w:ascii="Arial" w:cs="Arial" w:eastAsia="Arial" w:hAnsi="Arial"/>
          <w:color w:val="1A1410"/>
          <w:sz w:val="22"/>
          <w:szCs w:val="22"/>
        </w:rPr>
        <w:t xml:space="preserve">We use gender-neutral language. We do not center whiteness or default assumptions of ability, housing status, or immigration status. We reflect the full humanity of our community.</w:t>
      </w:r>
    </w:p>
    <w:p>
      <w:pPr>
        <w:spacing w:after="120" w:before="0"/>
      </w:pPr>
    </w:p>
    <w:p>
      <w:pPr>
        <w:pStyle w:val="Heading2"/>
        <w:spacing w:after="120" w:before="320"/>
      </w:pPr>
      <w:r>
        <w:rPr>
          <w:rFonts w:ascii="Arial" w:cs="Arial" w:eastAsia="Arial" w:hAnsi="Arial"/>
          <w:b/>
          <w:bCs/>
          <w:color w:val="E26A1F"/>
          <w:sz w:val="28"/>
          <w:szCs w:val="28"/>
        </w:rPr>
        <w:t xml:space="preserve">Tone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20"/>
                <w:szCs w:val="20"/>
              </w:rPr>
              <w:t xml:space="preserve">Context</w:t>
            </w:r>
          </w:p>
        </w:tc>
        <w:tc>
          <w:tcPr>
            <w:tcW w:type="dxa" w:w="328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20"/>
                <w:szCs w:val="20"/>
              </w:rPr>
              <w:t xml:space="preserve">Tone</w:t>
            </w:r>
          </w:p>
        </w:tc>
        <w:tc>
          <w:tcPr>
            <w:tcW w:type="dxa" w:w="328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20"/>
                <w:szCs w:val="20"/>
              </w:rPr>
              <w:t xml:space="preserve">Example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Homepage / hero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Confident, welcoming, energetic</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"We take care of each other."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Community Hub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Warm, practical, non-judgmental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"Need something? We've got you."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Event announcements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Friendly, clear, action-oriented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"Join us Thursday — food provided."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Resource documents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Clear, accessible, plain language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"To apply, bring two forms of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Fundraising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Gratitude-first, community-minded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"Every dollar stays at Monroe."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Emergency / urgent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Calm, clear, direct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"School is closed tomorrow, May 20."</w:t>
            </w:r>
          </w:p>
        </w:tc>
      </w:tr>
    </w:tbl>
    <w:p>
      <w:pPr>
        <w:spacing w:after="120" w:before="0"/>
      </w:pPr>
    </w:p>
    <w:p>
      <w:pPr>
        <w:pStyle w:val="Heading2"/>
        <w:spacing w:after="120" w:before="320"/>
      </w:pPr>
      <w:r>
        <w:rPr>
          <w:rFonts w:ascii="Arial" w:cs="Arial" w:eastAsia="Arial" w:hAnsi="Arial"/>
          <w:b/>
          <w:bCs/>
          <w:color w:val="E26A1F"/>
          <w:sz w:val="28"/>
          <w:szCs w:val="28"/>
        </w:rPr>
        <w:t xml:space="preserve">Voice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1A1410" w:sz="1"/>
              <w:left w:val="single" w:color="1A1410" w:sz="1"/>
              <w:bottom w:val="single" w:color="1A1410" w:sz="1"/>
              <w:right w:val="single" w:color="1A1410" w:sz="1"/>
            </w:tcBorders>
            <w:shd w:fill="4D8C5C" w:val="clear"/>
            <w:tcMar>
              <w:top w:type="dxa" w:w="80"/>
              <w:left w:type="dxa" w:w="140"/>
              <w:bottom w:type="dxa" w:w="80"/>
              <w:right w:type="dxa" w:w="140"/>
            </w:tcMar>
          </w:tcPr>
          <w:p>
            <w:r>
              <w:rPr>
                <w:rFonts w:ascii="Arial" w:cs="Arial" w:eastAsia="Arial" w:hAnsi="Arial"/>
                <w:b/>
                <w:bCs/>
                <w:color w:val="FFFFFF"/>
                <w:sz w:val="20"/>
                <w:szCs w:val="20"/>
              </w:rPr>
              <w:t xml:space="preserve">DO</w:t>
            </w:r>
          </w:p>
        </w:tc>
        <w:tc>
          <w:tcPr>
            <w:tcW w:type="dxa" w:w="4800"/>
            <w:tcBorders>
              <w:top w:val="single" w:color="1A1410" w:sz="1"/>
              <w:left w:val="single" w:color="1A1410" w:sz="1"/>
              <w:bottom w:val="single" w:color="1A1410" w:sz="1"/>
              <w:right w:val="single" w:color="1A1410" w:sz="1"/>
            </w:tcBorders>
            <w:shd w:fill="D8392E" w:val="clear"/>
            <w:tcMar>
              <w:top w:type="dxa" w:w="80"/>
              <w:left w:type="dxa" w:w="140"/>
              <w:bottom w:type="dxa" w:w="80"/>
              <w:right w:type="dxa" w:w="140"/>
            </w:tcMar>
          </w:tcPr>
          <w:p>
            <w:r>
              <w:rPr>
                <w:rFonts w:ascii="Arial" w:cs="Arial" w:eastAsia="Arial" w:hAnsi="Arial"/>
                <w:b/>
                <w:bCs/>
                <w:color w:val="FFFFFF"/>
                <w:sz w:val="20"/>
                <w:szCs w:val="20"/>
              </w:rPr>
              <w:t xml:space="preserve">DON'T</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plain language families can act on</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bureaucratic or legalistic language</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"We've got you. Need something? Just ask."</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"Families are encouraged to avail themselves of..."</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Center the reader: "You can..."</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Center the institution: "Monroe provides..."</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Acknowledge difficulty honestly</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Minimize or paper over real challenges</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"caregivers" or "families" (inclusive)</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Default to "parents" (excludes guardians, grandparents)</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Translate all primary content upfront</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Add "Translation available upon request" as a workaround</w:t>
            </w:r>
          </w:p>
        </w:tc>
      </w:tr>
    </w:tbl>
    <w:p>
      <w:pPr>
        <w:spacing w:after="120" w:before="0"/>
      </w:pPr>
    </w:p>
    <w:p>
      <w:pPr>
        <w:pStyle w:val="Heading1"/>
        <w:pageBreakBefore/>
        <w:spacing w:after="240" w:before="0"/>
      </w:pPr>
      <w:r>
        <w:rPr>
          <w:rFonts w:ascii="Arial" w:cs="Arial" w:eastAsia="Arial" w:hAnsi="Arial"/>
          <w:b/>
          <w:bCs/>
          <w:color w:val="1A1410"/>
          <w:sz w:val="40"/>
          <w:szCs w:val="40"/>
        </w:rPr>
        <w:t xml:space="preserve">3. Color Palette</w:t>
      </w:r>
    </w:p>
    <w:p>
      <w:pPr>
        <w:pBdr>
          <w:bottom w:val="single" w:color="CCCCCC" w:sz="4" w:space="1"/>
        </w:pBdr>
        <w:spacing w:after="240" w:before="0"/>
      </w:pPr>
    </w:p>
    <w:p>
      <w:pPr>
        <w:spacing w:after="80" w:before="80"/>
      </w:pPr>
      <w:r>
        <w:rPr>
          <w:rFonts w:ascii="Arial" w:cs="Arial" w:eastAsia="Arial" w:hAnsi="Arial"/>
          <w:color w:val="1A1410"/>
          <w:sz w:val="22"/>
          <w:szCs w:val="22"/>
        </w:rPr>
        <w:t xml:space="preserve">Monroe's palette is warm, vibrant, and rooted in the community's energy. Cream and Ink form the neutral foundation. Monarch Orange is the primary brand accent. The supporting palette of Cyan, Marigold, Magenta, Poppy, Jade, and Plum are used for Community Hub sections, labels, and decorative accents.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2200"/>
        <w:gridCol w:w="2960"/>
      </w:tblGrid>
      <w:tr>
        <w:tc>
          <w:tcPr>
            <w:tcW w:type="dxa" w:w="12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Swatch</w:t>
            </w:r>
          </w:p>
        </w:tc>
        <w:tc>
          <w:tcPr>
            <w:tcW w:type="dxa" w:w="16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Name</w:t>
            </w:r>
          </w:p>
        </w:tc>
        <w:tc>
          <w:tcPr>
            <w:tcW w:type="dxa" w:w="14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Hex</w:t>
            </w:r>
          </w:p>
        </w:tc>
        <w:tc>
          <w:tcPr>
            <w:tcW w:type="dxa" w:w="22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CSS Variable</w:t>
            </w:r>
          </w:p>
        </w:tc>
        <w:tc>
          <w:tcPr>
            <w:tcW w:type="dxa" w:w="296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Primary Role</w:t>
            </w:r>
          </w:p>
        </w:tc>
      </w:tr>
      <w:tr>
        <w:tc>
          <w:tcPr>
            <w:tcW w:type="dxa" w:w="1200"/>
            <w:tcBorders>
              <w:top w:val="single" w:color="CCCCCC" w:sz="1"/>
              <w:left w:val="single" w:color="CCCCCC" w:sz="1"/>
              <w:bottom w:val="single" w:color="CCCCCC" w:sz="1"/>
              <w:right w:val="single" w:color="CCCCCC" w:sz="1"/>
            </w:tcBorders>
            <w:shd w:fill="E26A1F"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Monarch Orange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#E26A1F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--monarch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Primary brand accent, CTAs, active states</w:t>
            </w:r>
          </w:p>
        </w:tc>
      </w:tr>
      <w:tr>
        <w:tc>
          <w:tcPr>
            <w:tcW w:type="dxa" w:w="1200"/>
            <w:tcBorders>
              <w:top w:val="single" w:color="CCCCCC" w:sz="1"/>
              <w:left w:val="single" w:color="CCCCCC" w:sz="1"/>
              <w:bottom w:val="single" w:color="CCCCCC" w:sz="1"/>
              <w:right w:val="single" w:color="CCCCCC" w:sz="1"/>
            </w:tcBorders>
            <w:shd w:fill="1A1410"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#1A1410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--ink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Body text, borders, shadows</w:t>
            </w:r>
          </w:p>
        </w:tc>
      </w:tr>
      <w:tr>
        <w:tc>
          <w:tcPr>
            <w:tcW w:type="dxa" w:w="1200"/>
            <w:tcBorders>
              <w:top w:val="single" w:color="CCCCCC" w:sz="1"/>
              <w:left w:val="single" w:color="CCCCCC" w:sz="1"/>
              <w:bottom w:val="single" w:color="CCCCCC" w:sz="1"/>
              <w:right w:val="single" w:color="CCCCCC" w:sz="1"/>
            </w:tcBorders>
            <w:shd w:fill="FDF8F2"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Cream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#FDF8F2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--cream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Page background</w:t>
            </w:r>
          </w:p>
        </w:tc>
      </w:tr>
      <w:tr>
        <w:tc>
          <w:tcPr>
            <w:tcW w:type="dxa" w:w="1200"/>
            <w:tcBorders>
              <w:top w:val="single" w:color="CCCCCC" w:sz="1"/>
              <w:left w:val="single" w:color="CCCCCC" w:sz="1"/>
              <w:bottom w:val="single" w:color="CCCCCC" w:sz="1"/>
              <w:right w:val="single" w:color="CCCCCC" w:sz="1"/>
            </w:tcBorders>
            <w:shd w:fill="F5EDE0"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Cream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#F5EDE0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--cream2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Secondary bg, tab bar, hover states</w:t>
            </w:r>
          </w:p>
        </w:tc>
      </w:tr>
      <w:tr>
        <w:tc>
          <w:tcPr>
            <w:tcW w:type="dxa" w:w="1200"/>
            <w:tcBorders>
              <w:top w:val="single" w:color="CCCCCC" w:sz="1"/>
              <w:left w:val="single" w:color="CCCCCC" w:sz="1"/>
              <w:bottom w:val="single" w:color="CCCCCC" w:sz="1"/>
              <w:right w:val="single" w:color="CCCCCC" w:sz="1"/>
            </w:tcBorders>
            <w:shd w:fill="2BB8D4"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Cyan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#2BB8D4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--cyan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Get Connected tab accent</w:t>
            </w:r>
          </w:p>
        </w:tc>
      </w:tr>
      <w:tr>
        <w:tc>
          <w:tcPr>
            <w:tcW w:type="dxa" w:w="1200"/>
            <w:tcBorders>
              <w:top w:val="single" w:color="CCCCCC" w:sz="1"/>
              <w:left w:val="single" w:color="CCCCCC" w:sz="1"/>
              <w:bottom w:val="single" w:color="CCCCCC" w:sz="1"/>
              <w:right w:val="single" w:color="CCCCCC" w:sz="1"/>
            </w:tcBorders>
            <w:shd w:fill="F0A82E"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Marigold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#F0A82E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--marigold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Secondary accent, ParentSquare button</w:t>
            </w:r>
          </w:p>
        </w:tc>
      </w:tr>
      <w:tr>
        <w:tc>
          <w:tcPr>
            <w:tcW w:type="dxa" w:w="1200"/>
            <w:tcBorders>
              <w:top w:val="single" w:color="CCCCCC" w:sz="1"/>
              <w:left w:val="single" w:color="CCCCCC" w:sz="1"/>
              <w:bottom w:val="single" w:color="CCCCCC" w:sz="1"/>
              <w:right w:val="single" w:color="CCCCCC" w:sz="1"/>
            </w:tcBorders>
            <w:shd w:fill="D83A6D"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Magenta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#D83A6D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--magenta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Community Care tab accent</w:t>
            </w:r>
          </w:p>
        </w:tc>
      </w:tr>
      <w:tr>
        <w:tc>
          <w:tcPr>
            <w:tcW w:type="dxa" w:w="1200"/>
            <w:tcBorders>
              <w:top w:val="single" w:color="CCCCCC" w:sz="1"/>
              <w:left w:val="single" w:color="CCCCCC" w:sz="1"/>
              <w:bottom w:val="single" w:color="CCCCCC" w:sz="1"/>
              <w:right w:val="single" w:color="CCCCCC" w:sz="1"/>
            </w:tcBorders>
            <w:shd w:fill="D8392E"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Poppy 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#D8392E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--poppy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Label text, alert, kicker dots</w:t>
            </w:r>
          </w:p>
        </w:tc>
      </w:tr>
      <w:tr>
        <w:tc>
          <w:tcPr>
            <w:tcW w:type="dxa" w:w="1200"/>
            <w:tcBorders>
              <w:top w:val="single" w:color="CCCCCC" w:sz="1"/>
              <w:left w:val="single" w:color="CCCCCC" w:sz="1"/>
              <w:bottom w:val="single" w:color="CCCCCC" w:sz="1"/>
              <w:right w:val="single" w:color="CCCCCC" w:sz="1"/>
            </w:tcBorders>
            <w:shd w:fill="4D8C5C"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Jade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#4D8C5C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--jade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Resources tab accent</w:t>
            </w:r>
          </w:p>
        </w:tc>
      </w:tr>
      <w:tr>
        <w:tc>
          <w:tcPr>
            <w:tcW w:type="dxa" w:w="1200"/>
            <w:tcBorders>
              <w:top w:val="single" w:color="CCCCCC" w:sz="1"/>
              <w:left w:val="single" w:color="CCCCCC" w:sz="1"/>
              <w:bottom w:val="single" w:color="CCCCCC" w:sz="1"/>
              <w:right w:val="single" w:color="CCCCCC" w:sz="1"/>
            </w:tcBorders>
            <w:shd w:fill="7C3F88" w:val="clear"/>
          </w:tcPr>
          <w:p>
            <w:r>
              <w:rPr>
                <w:sz w:val="24"/>
                <w:szCs w:val="24"/>
              </w:rP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Plum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#7C3F88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--plum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410"/>
                <w:sz w:val="20"/>
                <w:szCs w:val="20"/>
              </w:rPr>
              <w:t xml:space="preserve">Lunch Menu tab accent</w:t>
            </w:r>
          </w:p>
        </w:tc>
      </w:tr>
    </w:tbl>
    <w:p>
      <w:pPr>
        <w:spacing w:after="120" w:before="0"/>
      </w:pPr>
    </w:p>
    <w:p>
      <w:pPr>
        <w:pStyle w:val="Heading2"/>
        <w:spacing w:after="120" w:before="320"/>
      </w:pPr>
      <w:r>
        <w:rPr>
          <w:rFonts w:ascii="Arial" w:cs="Arial" w:eastAsia="Arial" w:hAnsi="Arial"/>
          <w:b/>
          <w:bCs/>
          <w:color w:val="E26A1F"/>
          <w:sz w:val="28"/>
          <w:szCs w:val="28"/>
        </w:rPr>
        <w:t xml:space="preserve">Color Usage Rules</w:t>
      </w:r>
    </w:p>
    <w:p>
      <w:pPr>
        <w:pStyle w:val="Heading3"/>
        <w:spacing w:after="80" w:before="240"/>
      </w:pPr>
      <w:r>
        <w:rPr>
          <w:rFonts w:ascii="Arial" w:cs="Arial" w:eastAsia="Arial" w:hAnsi="Arial"/>
          <w:b/>
          <w:bCs/>
          <w:color w:val="1A1410"/>
          <w:sz w:val="22"/>
          <w:szCs w:val="22"/>
        </w:rPr>
        <w:t xml:space="preserve">Monarch Orange — Primary Accent</w:t>
      </w:r>
    </w:p>
    <w:p>
      <w:pPr>
        <w:pStyle w:val="ListParagraph"/>
        <w:numPr>
          <w:ilvl w:val="0"/>
          <w:numId w:val="2"/>
        </w:numPr>
        <w:spacing w:after="40" w:before="40"/>
      </w:pPr>
      <w:r>
        <w:rPr>
          <w:rFonts w:ascii="Arial" w:cs="Arial" w:eastAsia="Arial" w:hAnsi="Arial"/>
          <w:color w:val="1A1410"/>
          <w:sz w:val="22"/>
          <w:szCs w:val="22"/>
        </w:rPr>
        <w:t xml:space="preserve">Use for primary CTAs (buttons, links that drive action)</w:t>
      </w:r>
    </w:p>
    <w:p>
      <w:pPr>
        <w:pStyle w:val="ListParagraph"/>
        <w:numPr>
          <w:ilvl w:val="0"/>
          <w:numId w:val="2"/>
        </w:numPr>
        <w:spacing w:after="40" w:before="40"/>
      </w:pPr>
      <w:r>
        <w:rPr>
          <w:rFonts w:ascii="Arial" w:cs="Arial" w:eastAsia="Arial" w:hAnsi="Arial"/>
          <w:color w:val="1A1410"/>
          <w:sz w:val="22"/>
          <w:szCs w:val="22"/>
        </w:rPr>
        <w:t xml:space="preserve">Active nav states, hover color for text links</w:t>
      </w:r>
    </w:p>
    <w:p>
      <w:pPr>
        <w:pStyle w:val="ListParagraph"/>
        <w:numPr>
          <w:ilvl w:val="0"/>
          <w:numId w:val="2"/>
        </w:numPr>
        <w:spacing w:after="40" w:before="40"/>
      </w:pPr>
      <w:r>
        <w:rPr>
          <w:rFonts w:ascii="Arial" w:cs="Arial" w:eastAsia="Arial" w:hAnsi="Arial"/>
          <w:color w:val="1A1410"/>
          <w:sz w:val="22"/>
          <w:szCs w:val="22"/>
        </w:rPr>
        <w:t xml:space="preserve">Kicker text, section labels, brush stroke underlines</w:t>
      </w:r>
    </w:p>
    <w:p>
      <w:pPr>
        <w:pStyle w:val="ListParagraph"/>
        <w:numPr>
          <w:ilvl w:val="0"/>
          <w:numId w:val="2"/>
        </w:numPr>
        <w:spacing w:after="40" w:before="40"/>
      </w:pPr>
      <w:r>
        <w:rPr>
          <w:rFonts w:ascii="Arial" w:cs="Arial" w:eastAsia="Arial" w:hAnsi="Arial"/>
          <w:color w:val="1A1410"/>
          <w:sz w:val="22"/>
          <w:szCs w:val="22"/>
        </w:rPr>
        <w:t xml:space="preserve">Never use as a large background behind dark text without checking contrast</w:t>
      </w:r>
    </w:p>
    <w:p>
      <w:pPr>
        <w:pStyle w:val="Heading3"/>
        <w:spacing w:after="80" w:before="240"/>
      </w:pPr>
      <w:r>
        <w:rPr>
          <w:rFonts w:ascii="Arial" w:cs="Arial" w:eastAsia="Arial" w:hAnsi="Arial"/>
          <w:b/>
          <w:bCs/>
          <w:color w:val="1A1410"/>
          <w:sz w:val="22"/>
          <w:szCs w:val="22"/>
        </w:rPr>
        <w:t xml:space="preserve">Ink — Text &amp; Borders</w:t>
      </w:r>
    </w:p>
    <w:p>
      <w:pPr>
        <w:pStyle w:val="ListParagraph"/>
        <w:numPr>
          <w:ilvl w:val="0"/>
          <w:numId w:val="2"/>
        </w:numPr>
        <w:spacing w:after="40" w:before="40"/>
      </w:pPr>
      <w:r>
        <w:rPr>
          <w:rFonts w:ascii="Arial" w:cs="Arial" w:eastAsia="Arial" w:hAnsi="Arial"/>
          <w:color w:val="1A1410"/>
          <w:sz w:val="22"/>
          <w:szCs w:val="22"/>
        </w:rPr>
        <w:t xml:space="preserve">Default for all body copy, headings, borders, and box shadows</w:t>
      </w:r>
    </w:p>
    <w:p>
      <w:pPr>
        <w:pStyle w:val="ListParagraph"/>
        <w:numPr>
          <w:ilvl w:val="0"/>
          <w:numId w:val="2"/>
        </w:numPr>
        <w:spacing w:after="40" w:before="40"/>
      </w:pPr>
      <w:r>
        <w:rPr>
          <w:rFonts w:ascii="Arial" w:cs="Arial" w:eastAsia="Arial" w:hAnsi="Arial"/>
          <w:color w:val="1A1410"/>
          <w:sz w:val="22"/>
          <w:szCs w:val="22"/>
        </w:rPr>
        <w:t xml:space="preserve">Used at full opacity (#1A1410) for primary text</w:t>
      </w:r>
    </w:p>
    <w:p>
      <w:pPr>
        <w:pStyle w:val="ListParagraph"/>
        <w:numPr>
          <w:ilvl w:val="0"/>
          <w:numId w:val="2"/>
        </w:numPr>
        <w:spacing w:after="40" w:before="40"/>
      </w:pPr>
      <w:r>
        <w:rPr>
          <w:rFonts w:ascii="Arial" w:cs="Arial" w:eastAsia="Arial" w:hAnsi="Arial"/>
          <w:color w:val="1A1410"/>
          <w:sz w:val="22"/>
          <w:szCs w:val="22"/>
        </w:rPr>
        <w:t xml:space="preserve">Used at partial opacity (rgba) for subtle dividers, secondary text</w:t>
      </w:r>
    </w:p>
    <w:p>
      <w:pPr>
        <w:pStyle w:val="Heading3"/>
        <w:spacing w:after="80" w:before="240"/>
      </w:pPr>
      <w:r>
        <w:rPr>
          <w:rFonts w:ascii="Arial" w:cs="Arial" w:eastAsia="Arial" w:hAnsi="Arial"/>
          <w:b/>
          <w:bCs/>
          <w:color w:val="1A1410"/>
          <w:sz w:val="22"/>
          <w:szCs w:val="22"/>
        </w:rPr>
        <w:t xml:space="preserve">Cream &amp; Cream 2 — Backgrounds</w:t>
      </w:r>
    </w:p>
    <w:p>
      <w:pPr>
        <w:pStyle w:val="ListParagraph"/>
        <w:numPr>
          <w:ilvl w:val="0"/>
          <w:numId w:val="2"/>
        </w:numPr>
        <w:spacing w:after="40" w:before="40"/>
      </w:pPr>
      <w:r>
        <w:rPr>
          <w:rFonts w:ascii="Arial" w:cs="Arial" w:eastAsia="Arial" w:hAnsi="Arial"/>
          <w:color w:val="1A1410"/>
          <w:sz w:val="22"/>
          <w:szCs w:val="22"/>
        </w:rPr>
        <w:t xml:space="preserve">Cream (#FDF8F2) is the default page background</w:t>
      </w:r>
    </w:p>
    <w:p>
      <w:pPr>
        <w:pStyle w:val="ListParagraph"/>
        <w:numPr>
          <w:ilvl w:val="0"/>
          <w:numId w:val="2"/>
        </w:numPr>
        <w:spacing w:after="40" w:before="40"/>
      </w:pPr>
      <w:r>
        <w:rPr>
          <w:rFonts w:ascii="Arial" w:cs="Arial" w:eastAsia="Arial" w:hAnsi="Arial"/>
          <w:color w:val="1A1410"/>
          <w:sz w:val="22"/>
          <w:szCs w:val="22"/>
        </w:rPr>
        <w:t xml:space="preserve">Cream 2 (#F5EDE0) is used for secondary panels, tab bars, hover states</w:t>
      </w:r>
    </w:p>
    <w:p>
      <w:pPr>
        <w:pStyle w:val="ListParagraph"/>
        <w:numPr>
          <w:ilvl w:val="0"/>
          <w:numId w:val="2"/>
        </w:numPr>
        <w:spacing w:after="40" w:before="40"/>
      </w:pPr>
      <w:r>
        <w:rPr>
          <w:rFonts w:ascii="Arial" w:cs="Arial" w:eastAsia="Arial" w:hAnsi="Arial"/>
          <w:color w:val="1A1410"/>
          <w:sz w:val="22"/>
          <w:szCs w:val="22"/>
        </w:rPr>
        <w:t xml:space="preserve">Never place small light text on cream — contrast is insufficient</w:t>
      </w:r>
    </w:p>
    <w:p>
      <w:pPr>
        <w:pStyle w:val="Heading3"/>
        <w:spacing w:after="80" w:before="240"/>
      </w:pPr>
      <w:r>
        <w:rPr>
          <w:rFonts w:ascii="Arial" w:cs="Arial" w:eastAsia="Arial" w:hAnsi="Arial"/>
          <w:b/>
          <w:bCs/>
          <w:color w:val="1A1410"/>
          <w:sz w:val="22"/>
          <w:szCs w:val="22"/>
        </w:rPr>
        <w:t xml:space="preserve">Community Hub Accent Colors</w:t>
      </w:r>
    </w:p>
    <w:p>
      <w:pPr>
        <w:spacing w:after="80" w:before="80"/>
      </w:pPr>
      <w:r>
        <w:rPr>
          <w:rFonts w:ascii="Arial" w:cs="Arial" w:eastAsia="Arial" w:hAnsi="Arial"/>
          <w:color w:val="1A1410"/>
          <w:sz w:val="22"/>
          <w:szCs w:val="22"/>
        </w:rPr>
        <w:t xml:space="preserve">Each of the five Community Hub tabs has a dedicated accent color. These colors should only appear in the context of their section — they are not general-purpose brand colors.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800"/>
        <w:gridCol w:w="4680"/>
      </w:tblGrid>
      <w:tr>
        <w:tc>
          <w:tcPr>
            <w:tcW w:type="dxa" w:w="48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w:t>
            </w:r>
          </w:p>
        </w:tc>
        <w:tc>
          <w:tcPr>
            <w:tcW w:type="dxa" w:w="24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Tab</w:t>
            </w:r>
          </w:p>
        </w:tc>
        <w:tc>
          <w:tcPr>
            <w:tcW w:type="dxa" w:w="18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Color</w:t>
            </w:r>
          </w:p>
        </w:tc>
        <w:tc>
          <w:tcPr>
            <w:tcW w:type="dxa" w:w="468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Purpose</w:t>
            </w:r>
          </w:p>
        </w:tc>
      </w:tr>
      <w:tr>
        <w:tc>
          <w:tcPr>
            <w:tcW w:type="dxa" w:w="480"/>
            <w:tcBorders>
              <w:top w:val="single" w:color="CCCCCC" w:sz="1"/>
              <w:left w:val="single" w:color="CCCCCC" w:sz="1"/>
              <w:bottom w:val="single" w:color="CCCCCC" w:sz="1"/>
              <w:right w:val="single" w:color="CCCCCC" w:sz="1"/>
            </w:tcBorders>
            <w:shd w:fill="2BB8D4" w:val="clear"/>
            <w:tcMar>
              <w:top w:type="dxa" w:w="80"/>
              <w:left w:type="dxa" w:w="120"/>
              <w:bottom w:type="dxa" w:w="80"/>
              <w:right w:type="dxa" w:w="120"/>
            </w:tcMar>
          </w:tcPr>
          <w:p>
            <w:r>
              <w:rPr>
                <w:rFonts w:ascii="Arial" w:cs="Arial" w:eastAsia="Arial" w:hAnsi="Arial"/>
                <w:b/>
                <w:bCs/>
                <w:color w:val="FFFFFF"/>
                <w:sz w:val="20"/>
                <w:szCs w:val="20"/>
              </w:rPr>
              <w:t xml:space="preserve">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Get Connected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Cyan / #2BB8D4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Social connection, community events, outreach</w:t>
            </w:r>
          </w:p>
        </w:tc>
      </w:tr>
      <w:tr>
        <w:tc>
          <w:tcPr>
            <w:tcW w:type="dxa" w:w="480"/>
            <w:tcBorders>
              <w:top w:val="single" w:color="CCCCCC" w:sz="1"/>
              <w:left w:val="single" w:color="CCCCCC" w:sz="1"/>
              <w:bottom w:val="single" w:color="CCCCCC" w:sz="1"/>
              <w:right w:val="single" w:color="CCCCCC" w:sz="1"/>
            </w:tcBorders>
            <w:shd w:fill="D83A6D" w:val="clear"/>
            <w:tcMar>
              <w:top w:type="dxa" w:w="80"/>
              <w:left w:type="dxa" w:w="120"/>
              <w:bottom w:type="dxa" w:w="80"/>
              <w:right w:type="dxa" w:w="120"/>
            </w:tcMar>
          </w:tcPr>
          <w:p>
            <w:r>
              <w:rPr>
                <w:rFonts w:ascii="Arial" w:cs="Arial" w:eastAsia="Arial" w:hAnsi="Arial"/>
                <w:b/>
                <w:bCs/>
                <w:color w:val="FFFFFF"/>
                <w:sz w:val="20"/>
                <w:szCs w:val="20"/>
              </w:rPr>
              <w:t xml:space="preserve">ii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Community Care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Magenta / #D83A6D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Mutual aid, equity fund, support services</w:t>
            </w:r>
          </w:p>
        </w:tc>
      </w:tr>
      <w:tr>
        <w:tc>
          <w:tcPr>
            <w:tcW w:type="dxa" w:w="480"/>
            <w:tcBorders>
              <w:top w:val="single" w:color="CCCCCC" w:sz="1"/>
              <w:left w:val="single" w:color="CCCCCC" w:sz="1"/>
              <w:bottom w:val="single" w:color="CCCCCC" w:sz="1"/>
              <w:right w:val="single" w:color="CCCCCC" w:sz="1"/>
            </w:tcBorders>
            <w:shd w:fill="4D8C5C" w:val="clear"/>
            <w:tcMar>
              <w:top w:type="dxa" w:w="80"/>
              <w:left w:type="dxa" w:w="120"/>
              <w:bottom w:type="dxa" w:w="80"/>
              <w:right w:type="dxa" w:w="120"/>
            </w:tcMar>
          </w:tcPr>
          <w:p>
            <w:r>
              <w:rPr>
                <w:rFonts w:ascii="Arial" w:cs="Arial" w:eastAsia="Arial" w:hAnsi="Arial"/>
                <w:b/>
                <w:bCs/>
                <w:color w:val="FFFFFF"/>
                <w:sz w:val="20"/>
                <w:szCs w:val="20"/>
              </w:rPr>
              <w:t xml:space="preserve">iii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Resources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Jade / #4D8C5C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Curated family resources, guides, links</w:t>
            </w:r>
          </w:p>
        </w:tc>
      </w:tr>
      <w:tr>
        <w:tc>
          <w:tcPr>
            <w:tcW w:type="dxa" w:w="480"/>
            <w:tcBorders>
              <w:top w:val="single" w:color="CCCCCC" w:sz="1"/>
              <w:left w:val="single" w:color="CCCCCC" w:sz="1"/>
              <w:bottom w:val="single" w:color="CCCCCC" w:sz="1"/>
              <w:right w:val="single" w:color="CCCCCC" w:sz="1"/>
            </w:tcBorders>
            <w:shd w:fill="E26A1F" w:val="clear"/>
            <w:tcMar>
              <w:top w:type="dxa" w:w="80"/>
              <w:left w:type="dxa" w:w="120"/>
              <w:bottom w:type="dxa" w:w="80"/>
              <w:right w:type="dxa" w:w="120"/>
            </w:tcMar>
          </w:tcPr>
          <w:p>
            <w:r>
              <w:rPr>
                <w:rFonts w:ascii="Arial" w:cs="Arial" w:eastAsia="Arial" w:hAnsi="Arial"/>
                <w:b/>
                <w:bCs/>
                <w:color w:val="FFFFFF"/>
                <w:sz w:val="20"/>
                <w:szCs w:val="20"/>
              </w:rPr>
              <w:t xml:space="preserve">iv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Volunteer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Monarch / #E26A1F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Volunteer opportunities, sign-ups</w:t>
            </w:r>
          </w:p>
        </w:tc>
      </w:tr>
      <w:tr>
        <w:tc>
          <w:tcPr>
            <w:tcW w:type="dxa" w:w="480"/>
            <w:tcBorders>
              <w:top w:val="single" w:color="CCCCCC" w:sz="1"/>
              <w:left w:val="single" w:color="CCCCCC" w:sz="1"/>
              <w:bottom w:val="single" w:color="CCCCCC" w:sz="1"/>
              <w:right w:val="single" w:color="CCCCCC" w:sz="1"/>
            </w:tcBorders>
            <w:shd w:fill="7C3F88" w:val="clear"/>
            <w:tcMar>
              <w:top w:type="dxa" w:w="80"/>
              <w:left w:type="dxa" w:w="120"/>
              <w:bottom w:type="dxa" w:w="80"/>
              <w:right w:type="dxa" w:w="120"/>
            </w:tcMar>
          </w:tcPr>
          <w:p>
            <w:r>
              <w:rPr>
                <w:rFonts w:ascii="Arial" w:cs="Arial" w:eastAsia="Arial" w:hAnsi="Arial"/>
                <w:b/>
                <w:bCs/>
                <w:color w:val="FFFFFF"/>
                <w:sz w:val="20"/>
                <w:szCs w:val="20"/>
              </w:rPr>
              <w:t xml:space="preserv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Lunch Menu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Plum / #7C3F88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Weekly school lunch menu</w:t>
            </w:r>
          </w:p>
        </w:tc>
      </w:tr>
    </w:tbl>
    <w:p>
      <w:pPr>
        <w:spacing w:after="120" w:before="0"/>
      </w:pPr>
    </w:p>
    <w:p>
      <w:pPr>
        <w:pStyle w:val="Heading2"/>
        <w:spacing w:after="120" w:before="320"/>
      </w:pPr>
      <w:r>
        <w:rPr>
          <w:rFonts w:ascii="Arial" w:cs="Arial" w:eastAsia="Arial" w:hAnsi="Arial"/>
          <w:b/>
          <w:bCs/>
          <w:color w:val="E26A1F"/>
          <w:sz w:val="28"/>
          <w:szCs w:val="28"/>
        </w:rPr>
        <w:t xml:space="preserve">Color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1A1410" w:sz="1"/>
              <w:left w:val="single" w:color="1A1410" w:sz="1"/>
              <w:bottom w:val="single" w:color="1A1410" w:sz="1"/>
              <w:right w:val="single" w:color="1A1410" w:sz="1"/>
            </w:tcBorders>
            <w:shd w:fill="4D8C5C" w:val="clear"/>
            <w:tcMar>
              <w:top w:type="dxa" w:w="80"/>
              <w:left w:type="dxa" w:w="140"/>
              <w:bottom w:type="dxa" w:w="80"/>
              <w:right w:type="dxa" w:w="140"/>
            </w:tcMar>
          </w:tcPr>
          <w:p>
            <w:r>
              <w:rPr>
                <w:rFonts w:ascii="Arial" w:cs="Arial" w:eastAsia="Arial" w:hAnsi="Arial"/>
                <w:b/>
                <w:bCs/>
                <w:color w:val="FFFFFF"/>
                <w:sz w:val="20"/>
                <w:szCs w:val="20"/>
              </w:rPr>
              <w:t xml:space="preserve">DO</w:t>
            </w:r>
          </w:p>
        </w:tc>
        <w:tc>
          <w:tcPr>
            <w:tcW w:type="dxa" w:w="4800"/>
            <w:tcBorders>
              <w:top w:val="single" w:color="1A1410" w:sz="1"/>
              <w:left w:val="single" w:color="1A1410" w:sz="1"/>
              <w:bottom w:val="single" w:color="1A1410" w:sz="1"/>
              <w:right w:val="single" w:color="1A1410" w:sz="1"/>
            </w:tcBorders>
            <w:shd w:fill="D8392E" w:val="clear"/>
            <w:tcMar>
              <w:top w:type="dxa" w:w="80"/>
              <w:left w:type="dxa" w:w="140"/>
              <w:bottom w:type="dxa" w:w="80"/>
              <w:right w:type="dxa" w:w="140"/>
            </w:tcMar>
          </w:tcPr>
          <w:p>
            <w:r>
              <w:rPr>
                <w:rFonts w:ascii="Arial" w:cs="Arial" w:eastAsia="Arial" w:hAnsi="Arial"/>
                <w:b/>
                <w:bCs/>
                <w:color w:val="FFFFFF"/>
                <w:sz w:val="20"/>
                <w:szCs w:val="20"/>
              </w:rPr>
              <w:t xml:space="preserve">DON'T</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Monarch Orange for primary CTAs and active states</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multiple accent colors in the same UI element</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Maintain contrast: dark text on light, light text on dark</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Place cream text on white or very light backgrounds</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Hub accent colors only within their section</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Magenta or Plum as general brand colors</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ink borders to create definition between sections</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gradients or drop shadows (off-brand)</w:t>
            </w:r>
          </w:p>
        </w:tc>
      </w:tr>
    </w:tbl>
    <w:p>
      <w:pPr>
        <w:spacing w:after="120" w:before="0"/>
      </w:pPr>
    </w:p>
    <w:p>
      <w:pPr>
        <w:pStyle w:val="Heading1"/>
        <w:pageBreakBefore/>
        <w:spacing w:after="240" w:before="0"/>
      </w:pPr>
      <w:r>
        <w:rPr>
          <w:rFonts w:ascii="Arial" w:cs="Arial" w:eastAsia="Arial" w:hAnsi="Arial"/>
          <w:b/>
          <w:bCs/>
          <w:color w:val="1A1410"/>
          <w:sz w:val="40"/>
          <w:szCs w:val="40"/>
        </w:rPr>
        <w:t xml:space="preserve">4. Typography</w:t>
      </w:r>
    </w:p>
    <w:p>
      <w:pPr>
        <w:pBdr>
          <w:bottom w:val="single" w:color="CCCCCC" w:sz="4" w:space="1"/>
        </w:pBdr>
        <w:spacing w:after="240" w:before="0"/>
      </w:pPr>
    </w:p>
    <w:p>
      <w:pPr>
        <w:pStyle w:val="Heading2"/>
        <w:spacing w:after="120" w:before="320"/>
      </w:pPr>
      <w:r>
        <w:rPr>
          <w:rFonts w:ascii="Arial" w:cs="Arial" w:eastAsia="Arial" w:hAnsi="Arial"/>
          <w:b/>
          <w:bCs/>
          <w:color w:val="E26A1F"/>
          <w:sz w:val="28"/>
          <w:szCs w:val="28"/>
        </w:rPr>
        <w:t xml:space="preserve">Primary Typeface — Outfit</w:t>
      </w:r>
    </w:p>
    <w:p>
      <w:pPr>
        <w:spacing w:after="80" w:before="80"/>
      </w:pPr>
      <w:r>
        <w:rPr>
          <w:rFonts w:ascii="Arial" w:cs="Arial" w:eastAsia="Arial" w:hAnsi="Arial"/>
          <w:color w:val="1A1410"/>
          <w:sz w:val="22"/>
          <w:szCs w:val="22"/>
        </w:rPr>
        <w:t xml:space="preserve">Outfit is our primary typeface, used for all headings, body copy, navigation, labels, and UI elements. It is a clean, geometric sans-serif with a friendly, modern character.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600"/>
      </w:tblGrid>
      <w:tr>
        <w:tc>
          <w:tcPr>
            <w:tcW w:type="dxa" w:w="24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Usage</w:t>
            </w:r>
          </w:p>
        </w:tc>
        <w:tc>
          <w:tcPr>
            <w:tcW w:type="dxa" w:w="18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Weight</w:t>
            </w:r>
          </w:p>
        </w:tc>
        <w:tc>
          <w:tcPr>
            <w:tcW w:type="dxa" w:w="156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Size Range</w:t>
            </w:r>
          </w:p>
        </w:tc>
        <w:tc>
          <w:tcPr>
            <w:tcW w:type="dxa" w:w="36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Hero Headings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900 (Black)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52–88px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Tight tracking (−0.03em), used for main page titles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Page Headings (H1)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900 (Black)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36–52px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Section-level titles, tight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Subheadings (H2–H3)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700–800 (Bold)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22–32px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Section labels and sub-sections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Body Copy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400 (Regular)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15–18px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Line height 1.55–1.7 for readability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Labels / Kickers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800 (ExtraBold)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11–13px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All-caps, letter-spacing 0.18–0.22em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Navigation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700 (Bold)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13px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All-caps, letter-spacing 0.04em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Buttons / CTAs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700–800 (Bold)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12px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All-caps, letter-spacing 0.06em</w:t>
            </w:r>
          </w:p>
        </w:tc>
      </w:tr>
    </w:tbl>
    <w:p>
      <w:pPr>
        <w:spacing w:after="120" w:before="0"/>
      </w:pPr>
    </w:p>
    <w:p>
      <w:pPr>
        <w:pStyle w:val="Heading2"/>
        <w:spacing w:after="120" w:before="320"/>
      </w:pPr>
      <w:r>
        <w:rPr>
          <w:rFonts w:ascii="Arial" w:cs="Arial" w:eastAsia="Arial" w:hAnsi="Arial"/>
          <w:b/>
          <w:bCs/>
          <w:color w:val="E26A1F"/>
          <w:sz w:val="28"/>
          <w:szCs w:val="28"/>
        </w:rPr>
        <w:t xml:space="preserve">Accent Typeface — ZCOOL XiaoWei / Noto Serif TC</w:t>
      </w:r>
    </w:p>
    <w:p>
      <w:pPr>
        <w:spacing w:after="80" w:before="80"/>
      </w:pPr>
      <w:r>
        <w:rPr>
          <w:rFonts w:ascii="Arial" w:cs="Arial" w:eastAsia="Arial" w:hAnsi="Arial"/>
          <w:color w:val="1A1410"/>
          <w:sz w:val="22"/>
          <w:szCs w:val="22"/>
        </w:rPr>
        <w:t xml:space="preserve">For Chinese-language content, we use ZCOOL XiaoWei as the display typeface and Noto Serif TC as the body and fallback. These are applied via the .f-zh utility class.</w:t>
      </w:r>
    </w:p>
    <w:p>
      <w:pPr>
        <w:pStyle w:val="ListParagraph"/>
        <w:numPr>
          <w:ilvl w:val="0"/>
          <w:numId w:val="2"/>
        </w:numPr>
        <w:spacing w:after="40" w:before="40"/>
      </w:pPr>
      <w:r>
        <w:rPr>
          <w:rFonts w:ascii="Arial" w:cs="Arial" w:eastAsia="Arial" w:hAnsi="Arial"/>
          <w:color w:val="1A1410"/>
          <w:sz w:val="22"/>
          <w:szCs w:val="22"/>
        </w:rPr>
        <w:t xml:space="preserve">Use for all Cantonese/Simplified Chinese content</w:t>
      </w:r>
    </w:p>
    <w:p>
      <w:pPr>
        <w:pStyle w:val="ListParagraph"/>
        <w:numPr>
          <w:ilvl w:val="0"/>
          <w:numId w:val="2"/>
        </w:numPr>
        <w:spacing w:after="40" w:before="40"/>
      </w:pPr>
      <w:r>
        <w:rPr>
          <w:rFonts w:ascii="Arial" w:cs="Arial" w:eastAsia="Arial" w:hAnsi="Arial"/>
          <w:color w:val="1A1410"/>
          <w:sz w:val="22"/>
          <w:szCs w:val="22"/>
        </w:rPr>
        <w:t xml:space="preserve">Do not apply to English or Spanish text</w:t>
      </w:r>
    </w:p>
    <w:p>
      <w:pPr>
        <w:pStyle w:val="ListParagraph"/>
        <w:numPr>
          <w:ilvl w:val="0"/>
          <w:numId w:val="2"/>
        </w:numPr>
        <w:spacing w:after="40" w:before="40"/>
      </w:pPr>
      <w:r>
        <w:rPr>
          <w:rFonts w:ascii="Arial" w:cs="Arial" w:eastAsia="Arial" w:hAnsi="Arial"/>
          <w:color w:val="1A1410"/>
          <w:sz w:val="22"/>
          <w:szCs w:val="22"/>
        </w:rPr>
        <w:t xml:space="preserve">Load via Google Fonts with the Outfit family for performance</w:t>
      </w:r>
    </w:p>
    <w:p>
      <w:pPr>
        <w:spacing w:after="120" w:before="0"/>
      </w:pPr>
    </w:p>
    <w:p>
      <w:pPr>
        <w:pStyle w:val="Heading2"/>
        <w:spacing w:after="120" w:before="320"/>
      </w:pPr>
      <w:r>
        <w:rPr>
          <w:rFonts w:ascii="Arial" w:cs="Arial" w:eastAsia="Arial" w:hAnsi="Arial"/>
          <w:b/>
          <w:bCs/>
          <w:color w:val="E26A1F"/>
          <w:sz w:val="28"/>
          <w:szCs w:val="28"/>
        </w:rPr>
        <w:t xml:space="preserve">Typography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1A1410" w:sz="1"/>
              <w:left w:val="single" w:color="1A1410" w:sz="1"/>
              <w:bottom w:val="single" w:color="1A1410" w:sz="1"/>
              <w:right w:val="single" w:color="1A1410" w:sz="1"/>
            </w:tcBorders>
            <w:shd w:fill="4D8C5C" w:val="clear"/>
            <w:tcMar>
              <w:top w:type="dxa" w:w="80"/>
              <w:left w:type="dxa" w:w="140"/>
              <w:bottom w:type="dxa" w:w="80"/>
              <w:right w:type="dxa" w:w="140"/>
            </w:tcMar>
          </w:tcPr>
          <w:p>
            <w:r>
              <w:rPr>
                <w:rFonts w:ascii="Arial" w:cs="Arial" w:eastAsia="Arial" w:hAnsi="Arial"/>
                <w:b/>
                <w:bCs/>
                <w:color w:val="FFFFFF"/>
                <w:sz w:val="20"/>
                <w:szCs w:val="20"/>
              </w:rPr>
              <w:t xml:space="preserve">DO</w:t>
            </w:r>
          </w:p>
        </w:tc>
        <w:tc>
          <w:tcPr>
            <w:tcW w:type="dxa" w:w="4800"/>
            <w:tcBorders>
              <w:top w:val="single" w:color="1A1410" w:sz="1"/>
              <w:left w:val="single" w:color="1A1410" w:sz="1"/>
              <w:bottom w:val="single" w:color="1A1410" w:sz="1"/>
              <w:right w:val="single" w:color="1A1410" w:sz="1"/>
            </w:tcBorders>
            <w:shd w:fill="D8392E" w:val="clear"/>
            <w:tcMar>
              <w:top w:type="dxa" w:w="80"/>
              <w:left w:type="dxa" w:w="140"/>
              <w:bottom w:type="dxa" w:w="80"/>
              <w:right w:type="dxa" w:w="140"/>
            </w:tcMar>
          </w:tcPr>
          <w:p>
            <w:r>
              <w:rPr>
                <w:rFonts w:ascii="Arial" w:cs="Arial" w:eastAsia="Arial" w:hAnsi="Arial"/>
                <w:b/>
                <w:bCs/>
                <w:color w:val="FFFFFF"/>
                <w:sz w:val="20"/>
                <w:szCs w:val="20"/>
              </w:rPr>
              <w:t xml:space="preserve">DON'T</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Outfit for all English and Spanish text</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system fonts or other sans-serifs for primary UI</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tight negative tracking (−0.02 to −0.03em) on large headings</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positive letter-spacing on large display type</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wide positive tracking (0.18–0.22em) on small all-caps labels</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all-caps without letter-spacing (hard to read)</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Maintain a clear type hierarchy (hero → heading → body)</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more than 3 type sizes in a single section</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ZCOOL XiaoWei / Noto Serif TC for Chinese content</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Outfit for Chinese characters</w:t>
            </w:r>
          </w:p>
        </w:tc>
      </w:tr>
    </w:tbl>
    <w:p>
      <w:pPr>
        <w:spacing w:after="120" w:before="0"/>
      </w:pPr>
    </w:p>
    <w:p>
      <w:pPr>
        <w:pStyle w:val="Heading1"/>
        <w:pageBreakBefore/>
        <w:spacing w:after="240" w:before="0"/>
      </w:pPr>
      <w:r>
        <w:rPr>
          <w:rFonts w:ascii="Arial" w:cs="Arial" w:eastAsia="Arial" w:hAnsi="Arial"/>
          <w:b/>
          <w:bCs/>
          <w:color w:val="1A1410"/>
          <w:sz w:val="40"/>
          <w:szCs w:val="40"/>
        </w:rPr>
        <w:t xml:space="preserve">5. Design Elements</w:t>
      </w:r>
    </w:p>
    <w:p>
      <w:pPr>
        <w:pBdr>
          <w:bottom w:val="single" w:color="CCCCCC" w:sz="4" w:space="1"/>
        </w:pBdr>
        <w:spacing w:after="240" w:before="0"/>
      </w:pPr>
    </w:p>
    <w:p>
      <w:pPr>
        <w:spacing w:after="80" w:before="80"/>
      </w:pPr>
      <w:r>
        <w:rPr>
          <w:rFonts w:ascii="Arial" w:cs="Arial" w:eastAsia="Arial" w:hAnsi="Arial"/>
          <w:color w:val="1A1410"/>
          <w:sz w:val="22"/>
          <w:szCs w:val="22"/>
        </w:rPr>
        <w:t xml:space="preserve">Monroe's visual language is warm, handcrafted, and energetic. Several recurring design elements create a cohesive look across all pages.</w:t>
      </w:r>
    </w:p>
    <w:p>
      <w:pPr>
        <w:spacing w:after="120" w:before="0"/>
      </w:pPr>
    </w:p>
    <w:p>
      <w:pPr>
        <w:pStyle w:val="Heading2"/>
        <w:spacing w:after="120" w:before="320"/>
      </w:pPr>
      <w:r>
        <w:rPr>
          <w:rFonts w:ascii="Arial" w:cs="Arial" w:eastAsia="Arial" w:hAnsi="Arial"/>
          <w:b/>
          <w:bCs/>
          <w:color w:val="E26A1F"/>
          <w:sz w:val="28"/>
          <w:szCs w:val="28"/>
        </w:rPr>
        <w:t xml:space="preserve">Flat Box Shadows</w:t>
      </w:r>
    </w:p>
    <w:p>
      <w:pPr>
        <w:spacing w:after="80" w:before="80"/>
      </w:pPr>
      <w:r>
        <w:rPr>
          <w:rFonts w:ascii="Arial" w:cs="Arial" w:eastAsia="Arial" w:hAnsi="Arial"/>
          <w:color w:val="1A1410"/>
          <w:sz w:val="22"/>
          <w:szCs w:val="22"/>
        </w:rPr>
        <w:t xml:space="preserve">Buttons and key UI elements use flat, offset solid shadows — no blur, no gradient. This creates a bold, tactile, print-like quality.</w:t>
      </w:r>
    </w:p>
    <w:p>
      <w:pPr>
        <w:pStyle w:val="ListParagraph"/>
        <w:numPr>
          <w:ilvl w:val="0"/>
          <w:numId w:val="2"/>
        </w:numPr>
        <w:spacing w:after="40" w:before="40"/>
      </w:pPr>
      <w:r>
        <w:rPr>
          <w:rFonts w:ascii="Arial" w:cs="Arial" w:eastAsia="Arial" w:hAnsi="Arial"/>
          <w:color w:val="1A1410"/>
          <w:sz w:val="22"/>
          <w:szCs w:val="22"/>
        </w:rPr>
        <w:t xml:space="preserve">Standard shadow: 3–4px offset, 0px blur, Ink color (#1A1410)</w:t>
      </w:r>
    </w:p>
    <w:p>
      <w:pPr>
        <w:pStyle w:val="ListParagraph"/>
        <w:numPr>
          <w:ilvl w:val="0"/>
          <w:numId w:val="2"/>
        </w:numPr>
        <w:spacing w:after="40" w:before="40"/>
      </w:pPr>
      <w:r>
        <w:rPr>
          <w:rFonts w:ascii="Arial" w:cs="Arial" w:eastAsia="Arial" w:hAnsi="Arial"/>
          <w:color w:val="1A1410"/>
          <w:sz w:val="22"/>
          <w:szCs w:val="22"/>
        </w:rPr>
        <w:t xml:space="preserve">On hover: translate the element 2px down/right, reduce shadow to 1–2px</w:t>
      </w:r>
    </w:p>
    <w:p>
      <w:pPr>
        <w:pStyle w:val="ListParagraph"/>
        <w:numPr>
          <w:ilvl w:val="0"/>
          <w:numId w:val="2"/>
        </w:numPr>
        <w:spacing w:after="40" w:before="40"/>
      </w:pPr>
      <w:r>
        <w:rPr>
          <w:rFonts w:ascii="Arial" w:cs="Arial" w:eastAsia="Arial" w:hAnsi="Arial"/>
          <w:color w:val="1A1410"/>
          <w:sz w:val="22"/>
          <w:szCs w:val="22"/>
        </w:rPr>
        <w:t xml:space="preserve">Never use CSS drop-shadow blur or soft shadows</w:t>
      </w:r>
    </w:p>
    <w:p>
      <w:pPr>
        <w:spacing w:after="120" w:before="0"/>
      </w:pPr>
    </w:p>
    <w:p>
      <w:pPr>
        <w:pStyle w:val="Heading2"/>
        <w:spacing w:after="120" w:before="320"/>
      </w:pPr>
      <w:r>
        <w:rPr>
          <w:rFonts w:ascii="Arial" w:cs="Arial" w:eastAsia="Arial" w:hAnsi="Arial"/>
          <w:b/>
          <w:bCs/>
          <w:color w:val="E26A1F"/>
          <w:sz w:val="28"/>
          <w:szCs w:val="28"/>
        </w:rPr>
        <w:t xml:space="preserve">Brush Stroke Underlines</w:t>
      </w:r>
    </w:p>
    <w:p>
      <w:pPr>
        <w:spacing w:after="80" w:before="80"/>
      </w:pPr>
      <w:r>
        <w:rPr>
          <w:rFonts w:ascii="Arial" w:cs="Arial" w:eastAsia="Arial" w:hAnsi="Arial"/>
          <w:color w:val="1A1410"/>
          <w:sz w:val="22"/>
          <w:szCs w:val="22"/>
        </w:rPr>
        <w:t xml:space="preserve">Key words in hero headings are underlined with an SVG brush stroke using feTurbulence and feDisplacementMap filters. This creates a hand-painted, organic feel.</w:t>
      </w:r>
    </w:p>
    <w:p>
      <w:pPr>
        <w:pStyle w:val="ListParagraph"/>
        <w:numPr>
          <w:ilvl w:val="0"/>
          <w:numId w:val="2"/>
        </w:numPr>
        <w:spacing w:after="40" w:before="40"/>
      </w:pPr>
      <w:r>
        <w:rPr>
          <w:rFonts w:ascii="Arial" w:cs="Arial" w:eastAsia="Arial" w:hAnsi="Arial"/>
          <w:color w:val="1A1410"/>
          <w:sz w:val="22"/>
          <w:szCs w:val="22"/>
        </w:rPr>
        <w:t xml:space="preserve">Color: Monarch Orange (#E26A1F), full opacity</w:t>
      </w:r>
    </w:p>
    <w:p>
      <w:pPr>
        <w:pStyle w:val="ListParagraph"/>
        <w:numPr>
          <w:ilvl w:val="0"/>
          <w:numId w:val="2"/>
        </w:numPr>
        <w:spacing w:after="40" w:before="40"/>
      </w:pPr>
      <w:r>
        <w:rPr>
          <w:rFonts w:ascii="Arial" w:cs="Arial" w:eastAsia="Arial" w:hAnsi="Arial"/>
          <w:color w:val="1A1410"/>
          <w:sz w:val="22"/>
          <w:szCs w:val="22"/>
        </w:rPr>
        <w:t xml:space="preserve">Applied to the most emotionally resonant word or phrase in the hero</w:t>
      </w:r>
    </w:p>
    <w:p>
      <w:pPr>
        <w:pStyle w:val="ListParagraph"/>
        <w:numPr>
          <w:ilvl w:val="0"/>
          <w:numId w:val="2"/>
        </w:numPr>
        <w:spacing w:after="40" w:before="40"/>
      </w:pPr>
      <w:r>
        <w:rPr>
          <w:rFonts w:ascii="Arial" w:cs="Arial" w:eastAsia="Arial" w:hAnsi="Arial"/>
          <w:color w:val="1A1410"/>
          <w:sz w:val="22"/>
          <w:szCs w:val="22"/>
        </w:rPr>
        <w:t xml:space="preserve">Unique seeds for each page — no two brush strokes are identical</w:t>
      </w:r>
    </w:p>
    <w:p>
      <w:pPr>
        <w:pStyle w:val="ListParagraph"/>
        <w:numPr>
          <w:ilvl w:val="0"/>
          <w:numId w:val="2"/>
        </w:numPr>
        <w:spacing w:after="40" w:before="40"/>
      </w:pPr>
      <w:r>
        <w:rPr>
          <w:rFonts w:ascii="Arial" w:cs="Arial" w:eastAsia="Arial" w:hAnsi="Arial"/>
          <w:color w:val="1A1410"/>
          <w:sz w:val="22"/>
          <w:szCs w:val="22"/>
        </w:rPr>
        <w:t xml:space="preserve">Must be responsive: SVG scales with text via width: 100%</w:t>
      </w:r>
    </w:p>
    <w:p>
      <w:pPr>
        <w:spacing w:after="120" w:before="0"/>
      </w:pPr>
    </w:p>
    <w:p>
      <w:pPr>
        <w:pStyle w:val="Heading2"/>
        <w:spacing w:after="120" w:before="320"/>
      </w:pPr>
      <w:r>
        <w:rPr>
          <w:rFonts w:ascii="Arial" w:cs="Arial" w:eastAsia="Arial" w:hAnsi="Arial"/>
          <w:b/>
          <w:bCs/>
          <w:color w:val="E26A1F"/>
          <w:sz w:val="28"/>
          <w:szCs w:val="28"/>
        </w:rPr>
        <w:t xml:space="preserve">Rainbow Stripe</w:t>
      </w:r>
    </w:p>
    <w:p>
      <w:pPr>
        <w:spacing w:after="80" w:before="80"/>
      </w:pPr>
      <w:r>
        <w:rPr>
          <w:rFonts w:ascii="Arial" w:cs="Arial" w:eastAsia="Arial" w:hAnsi="Arial"/>
          <w:color w:val="1A1410"/>
          <w:sz w:val="22"/>
          <w:szCs w:val="22"/>
        </w:rPr>
        <w:t xml:space="preserve">A horizontal stripe of all brand colors appears as a decorative accent — typically at the top of key sections or as a footer divider. Each color segment is equal width.</w:t>
      </w:r>
    </w:p>
    <w:p>
      <w:pPr>
        <w:spacing w:after="80" w:before="80"/>
      </w:pPr>
      <w:r>
        <w:rPr>
          <w:rFonts w:ascii="Arial" w:cs="Arial" w:eastAsia="Arial" w:hAnsi="Arial"/>
          <w:color w:val="1A1410"/>
          <w:sz w:val="22"/>
          <w:szCs w:val="22"/>
        </w:rPr>
        <w:t xml:space="preserve">Color order: Poppy · Monarch · Marigold · Jade · Cyan · Plum · Magenta (repeating)</w:t>
      </w:r>
    </w:p>
    <w:p>
      <w:pPr>
        <w:pStyle w:val="ListParagraph"/>
        <w:numPr>
          <w:ilvl w:val="0"/>
          <w:numId w:val="2"/>
        </w:numPr>
        <w:spacing w:after="40" w:before="40"/>
      </w:pPr>
      <w:r>
        <w:rPr>
          <w:rFonts w:ascii="Arial" w:cs="Arial" w:eastAsia="Arial" w:hAnsi="Arial"/>
          <w:color w:val="1A1410"/>
          <w:sz w:val="22"/>
          <w:szCs w:val="22"/>
        </w:rPr>
        <w:t xml:space="preserve">Standard height: 6px on most pages; thinner variants (3px) in compact contexts</w:t>
      </w:r>
    </w:p>
    <w:p>
      <w:pPr>
        <w:pStyle w:val="ListParagraph"/>
        <w:numPr>
          <w:ilvl w:val="0"/>
          <w:numId w:val="2"/>
        </w:numPr>
        <w:spacing w:after="40" w:before="40"/>
      </w:pPr>
      <w:r>
        <w:rPr>
          <w:rFonts w:ascii="Arial" w:cs="Arial" w:eastAsia="Arial" w:hAnsi="Arial"/>
          <w:color w:val="1A1410"/>
          <w:sz w:val="22"/>
          <w:szCs w:val="22"/>
        </w:rPr>
        <w:t xml:space="preserve">Used sparingly — one or two instances per page</w:t>
      </w:r>
    </w:p>
    <w:p>
      <w:pPr>
        <w:spacing w:after="120" w:before="0"/>
      </w:pPr>
    </w:p>
    <w:p>
      <w:pPr>
        <w:pStyle w:val="Heading2"/>
        <w:spacing w:after="120" w:before="320"/>
      </w:pPr>
      <w:r>
        <w:rPr>
          <w:rFonts w:ascii="Arial" w:cs="Arial" w:eastAsia="Arial" w:hAnsi="Arial"/>
          <w:b/>
          <w:bCs/>
          <w:color w:val="E26A1F"/>
          <w:sz w:val="28"/>
          <w:szCs w:val="28"/>
        </w:rPr>
        <w:t xml:space="preserve">Grain Overlay</w:t>
      </w:r>
    </w:p>
    <w:p>
      <w:pPr>
        <w:spacing w:after="80" w:before="80"/>
      </w:pPr>
      <w:r>
        <w:rPr>
          <w:rFonts w:ascii="Arial" w:cs="Arial" w:eastAsia="Arial" w:hAnsi="Arial"/>
          <w:color w:val="1A1410"/>
          <w:sz w:val="22"/>
          <w:szCs w:val="22"/>
        </w:rPr>
        <w:t xml:space="preserve">A subtle noise texture (grain.js) is applied as a fixed overlay across the entire site at mix-blend-mode: multiply. This adds warmth and a slightly analog quality to the otherwise digital design.</w:t>
      </w:r>
    </w:p>
    <w:p>
      <w:pPr>
        <w:pStyle w:val="ListParagraph"/>
        <w:numPr>
          <w:ilvl w:val="0"/>
          <w:numId w:val="2"/>
        </w:numPr>
        <w:spacing w:after="40" w:before="40"/>
      </w:pPr>
      <w:r>
        <w:rPr>
          <w:rFonts w:ascii="Arial" w:cs="Arial" w:eastAsia="Arial" w:hAnsi="Arial"/>
          <w:color w:val="1A1410"/>
          <w:sz w:val="22"/>
          <w:szCs w:val="22"/>
        </w:rPr>
        <w:t xml:space="preserve">Opacity: 1 (controlled by the SVG filter, not CSS opacity)</w:t>
      </w:r>
    </w:p>
    <w:p>
      <w:pPr>
        <w:pStyle w:val="ListParagraph"/>
        <w:numPr>
          <w:ilvl w:val="0"/>
          <w:numId w:val="2"/>
        </w:numPr>
        <w:spacing w:after="40" w:before="40"/>
      </w:pPr>
      <w:r>
        <w:rPr>
          <w:rFonts w:ascii="Arial" w:cs="Arial" w:eastAsia="Arial" w:hAnsi="Arial"/>
          <w:color w:val="1A1410"/>
          <w:sz w:val="22"/>
          <w:szCs w:val="22"/>
        </w:rPr>
        <w:t xml:space="preserve">Do not increase or decrease the grain — it's calibrated for the cream background</w:t>
      </w:r>
    </w:p>
    <w:p>
      <w:pPr>
        <w:spacing w:after="120" w:before="0"/>
      </w:pPr>
    </w:p>
    <w:p>
      <w:pPr>
        <w:pStyle w:val="Heading2"/>
        <w:spacing w:after="120" w:before="320"/>
      </w:pPr>
      <w:r>
        <w:rPr>
          <w:rFonts w:ascii="Arial" w:cs="Arial" w:eastAsia="Arial" w:hAnsi="Arial"/>
          <w:b/>
          <w:bCs/>
          <w:color w:val="E26A1F"/>
          <w:sz w:val="28"/>
          <w:szCs w:val="28"/>
        </w:rPr>
        <w:t xml:space="preserve">Ink Borders</w:t>
      </w:r>
    </w:p>
    <w:p>
      <w:pPr>
        <w:spacing w:after="80" w:before="80"/>
      </w:pPr>
      <w:r>
        <w:rPr>
          <w:rFonts w:ascii="Arial" w:cs="Arial" w:eastAsia="Arial" w:hAnsi="Arial"/>
          <w:color w:val="1A1410"/>
          <w:sz w:val="22"/>
          <w:szCs w:val="22"/>
        </w:rPr>
        <w:t xml:space="preserve">Section dividers, card outlines, and UI boundaries use 1.5px solid Ink borders. These create clean, legible structure without shadows.</w:t>
      </w:r>
    </w:p>
    <w:p>
      <w:pPr>
        <w:pStyle w:val="ListParagraph"/>
        <w:numPr>
          <w:ilvl w:val="0"/>
          <w:numId w:val="2"/>
        </w:numPr>
        <w:spacing w:after="40" w:before="40"/>
      </w:pPr>
      <w:r>
        <w:rPr>
          <w:rFonts w:ascii="Arial" w:cs="Arial" w:eastAsia="Arial" w:hAnsi="Arial"/>
          <w:color w:val="1A1410"/>
          <w:sz w:val="22"/>
          <w:szCs w:val="22"/>
        </w:rPr>
        <w:t xml:space="preserve">Standard: 1.5px solid #1A1410 (full ink)</w:t>
      </w:r>
    </w:p>
    <w:p>
      <w:pPr>
        <w:pStyle w:val="ListParagraph"/>
        <w:numPr>
          <w:ilvl w:val="0"/>
          <w:numId w:val="2"/>
        </w:numPr>
        <w:spacing w:after="40" w:before="40"/>
      </w:pPr>
      <w:r>
        <w:rPr>
          <w:rFonts w:ascii="Arial" w:cs="Arial" w:eastAsia="Arial" w:hAnsi="Arial"/>
          <w:color w:val="1A1410"/>
          <w:sz w:val="22"/>
          <w:szCs w:val="22"/>
        </w:rPr>
        <w:t xml:space="preserve">Subtle dividers: use rgba(26,20,16, 0.12–0.2)</w:t>
      </w:r>
    </w:p>
    <w:p>
      <w:pPr>
        <w:pStyle w:val="ListParagraph"/>
        <w:numPr>
          <w:ilvl w:val="0"/>
          <w:numId w:val="2"/>
        </w:numPr>
        <w:spacing w:after="40" w:before="40"/>
      </w:pPr>
      <w:r>
        <w:rPr>
          <w:rFonts w:ascii="Arial" w:cs="Arial" w:eastAsia="Arial" w:hAnsi="Arial"/>
          <w:color w:val="1A1410"/>
          <w:sz w:val="22"/>
          <w:szCs w:val="22"/>
        </w:rPr>
        <w:t xml:space="preserve">Dashed borders: used for internal footer dividers</w:t>
      </w:r>
    </w:p>
    <w:p>
      <w:pPr>
        <w:spacing w:after="120" w:before="0"/>
      </w:pPr>
    </w:p>
    <w:p>
      <w:pPr>
        <w:pStyle w:val="Heading2"/>
        <w:spacing w:after="120" w:before="320"/>
      </w:pPr>
      <w:r>
        <w:rPr>
          <w:rFonts w:ascii="Arial" w:cs="Arial" w:eastAsia="Arial" w:hAnsi="Arial"/>
          <w:b/>
          <w:bCs/>
          <w:color w:val="E26A1F"/>
          <w:sz w:val="28"/>
          <w:szCs w:val="28"/>
        </w:rPr>
        <w:t xml:space="preserve">Decorative Motifs</w:t>
      </w:r>
    </w:p>
    <w:p>
      <w:pPr>
        <w:spacing w:after="80" w:before="80"/>
      </w:pPr>
      <w:r>
        <w:rPr>
          <w:rFonts w:ascii="Arial" w:cs="Arial" w:eastAsia="Arial" w:hAnsi="Arial"/>
          <w:color w:val="1A1410"/>
          <w:sz w:val="22"/>
          <w:szCs w:val="22"/>
        </w:rPr>
        <w:t xml:space="preserve">Monroe uses culturally resonant visual motifs — butterflies, Chinese lattice patterns, and papel picado-inspired shapes. These appear as light background textures or small accent illustrations.</w:t>
      </w:r>
    </w:p>
    <w:p>
      <w:pPr>
        <w:pStyle w:val="ListParagraph"/>
        <w:numPr>
          <w:ilvl w:val="0"/>
          <w:numId w:val="2"/>
        </w:numPr>
        <w:spacing w:after="40" w:before="40"/>
      </w:pPr>
      <w:r>
        <w:rPr>
          <w:rFonts w:ascii="Arial" w:cs="Arial" w:eastAsia="Arial" w:hAnsi="Arial"/>
          <w:color w:val="1A1410"/>
          <w:sz w:val="22"/>
          <w:szCs w:val="22"/>
        </w:rPr>
        <w:t xml:space="preserve">Butterflies: brand illustrations in black silhouette, can be tinted with CSS filter to brand colors</w:t>
      </w:r>
    </w:p>
    <w:p>
      <w:pPr>
        <w:pStyle w:val="ListParagraph"/>
        <w:numPr>
          <w:ilvl w:val="0"/>
          <w:numId w:val="2"/>
        </w:numPr>
        <w:spacing w:after="40" w:before="40"/>
      </w:pPr>
      <w:r>
        <w:rPr>
          <w:rFonts w:ascii="Arial" w:cs="Arial" w:eastAsia="Arial" w:hAnsi="Arial"/>
          <w:color w:val="1A1410"/>
          <w:sz w:val="22"/>
          <w:szCs w:val="22"/>
        </w:rPr>
        <w:t xml:space="preserve">Chinese lattice: used as a subtle background texture at low opacity (0.04)</w:t>
      </w:r>
    </w:p>
    <w:p>
      <w:pPr>
        <w:pStyle w:val="ListParagraph"/>
        <w:numPr>
          <w:ilvl w:val="0"/>
          <w:numId w:val="2"/>
        </w:numPr>
        <w:spacing w:after="40" w:before="40"/>
      </w:pPr>
      <w:r>
        <w:rPr>
          <w:rFonts w:ascii="Arial" w:cs="Arial" w:eastAsia="Arial" w:hAnsi="Arial"/>
          <w:color w:val="1A1410"/>
          <w:sz w:val="22"/>
          <w:szCs w:val="22"/>
        </w:rPr>
        <w:t xml:space="preserve">Half-circles: geometric decorative accents at section edges</w:t>
      </w:r>
    </w:p>
    <w:p>
      <w:pPr>
        <w:pStyle w:val="ListParagraph"/>
        <w:numPr>
          <w:ilvl w:val="0"/>
          <w:numId w:val="2"/>
        </w:numPr>
        <w:spacing w:after="40" w:before="40"/>
      </w:pPr>
      <w:r>
        <w:rPr>
          <w:rFonts w:ascii="Arial" w:cs="Arial" w:eastAsia="Arial" w:hAnsi="Arial"/>
          <w:color w:val="1A1410"/>
          <w:sz w:val="22"/>
          <w:szCs w:val="22"/>
        </w:rPr>
        <w:t xml:space="preserve">Always treat motifs as secondary — never let them compete with content</w:t>
      </w:r>
    </w:p>
    <w:p>
      <w:pPr>
        <w:spacing w:after="120" w:before="0"/>
      </w:pPr>
    </w:p>
    <w:p>
      <w:pPr>
        <w:pStyle w:val="Heading2"/>
        <w:spacing w:after="120" w:before="320"/>
      </w:pPr>
      <w:r>
        <w:rPr>
          <w:rFonts w:ascii="Arial" w:cs="Arial" w:eastAsia="Arial" w:hAnsi="Arial"/>
          <w:b/>
          <w:bCs/>
          <w:color w:val="E26A1F"/>
          <w:sz w:val="28"/>
          <w:szCs w:val="28"/>
        </w:rPr>
        <w:t xml:space="preserve">Buttons</w:t>
      </w:r>
    </w:p>
    <w:p>
      <w:pPr>
        <w:spacing w:after="80" w:before="80"/>
      </w:pPr>
      <w:r>
        <w:rPr>
          <w:rFonts w:ascii="Arial" w:cs="Arial" w:eastAsia="Arial" w:hAnsi="Arial"/>
          <w:color w:val="1A1410"/>
          <w:sz w:val="22"/>
          <w:szCs w:val="22"/>
        </w:rPr>
        <w:t xml:space="preserve">Two primary button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Button</w:t>
            </w:r>
          </w:p>
        </w:tc>
        <w:tc>
          <w:tcPr>
            <w:tcW w:type="dxa" w:w="24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Background</w:t>
            </w:r>
          </w:p>
        </w:tc>
        <w:tc>
          <w:tcPr>
            <w:tcW w:type="dxa" w:w="248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Use For</w:t>
            </w:r>
          </w:p>
        </w:tc>
        <w:tc>
          <w:tcPr>
            <w:tcW w:type="dxa" w:w="248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Hover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Primary (Give)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Monarch Orange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Main CTA, donation, high-priority actions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Translate 2px, shadow collapses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Secondary (Tour)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Cream / transparent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Secondary actions, navigation support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Background darkens to Ink, text goes Cream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ParentSquare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Marigold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External platform link, utility bar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Background shifts to Monarch, text goes Cream</w:t>
            </w:r>
          </w:p>
        </w:tc>
      </w:tr>
    </w:tbl>
    <w:p>
      <w:pPr>
        <w:spacing w:after="120" w:before="0"/>
      </w:pPr>
    </w:p>
    <w:p>
      <w:pPr>
        <w:pStyle w:val="Heading1"/>
        <w:pageBreakBefore/>
        <w:spacing w:after="240" w:before="0"/>
      </w:pPr>
      <w:r>
        <w:rPr>
          <w:rFonts w:ascii="Arial" w:cs="Arial" w:eastAsia="Arial" w:hAnsi="Arial"/>
          <w:b/>
          <w:bCs/>
          <w:color w:val="1A1410"/>
          <w:sz w:val="40"/>
          <w:szCs w:val="40"/>
        </w:rPr>
        <w:t xml:space="preserve">6. Community Hub Identity</w:t>
      </w:r>
    </w:p>
    <w:p>
      <w:pPr>
        <w:pBdr>
          <w:bottom w:val="single" w:color="CCCCCC" w:sz="4" w:space="1"/>
        </w:pBdr>
        <w:spacing w:after="240" w:before="0"/>
      </w:pPr>
    </w:p>
    <w:p>
      <w:pPr>
        <w:spacing w:after="80" w:before="80"/>
      </w:pPr>
      <w:r>
        <w:rPr>
          <w:rFonts w:ascii="Arial" w:cs="Arial" w:eastAsia="Arial" w:hAnsi="Arial"/>
          <w:color w:val="1A1410"/>
          <w:sz w:val="22"/>
          <w:szCs w:val="22"/>
        </w:rPr>
        <w:t xml:space="preserve">The Community Hub is Monroe's most distinctive feature — a multilingual, community-centered resource portal. It has its own visual sub-identity within the Monroe brand.</w:t>
      </w:r>
    </w:p>
    <w:p>
      <w:pPr>
        <w:spacing w:after="120" w:before="0"/>
      </w:pPr>
    </w:p>
    <w:p>
      <w:pPr>
        <w:pStyle w:val="Heading2"/>
        <w:spacing w:after="120" w:before="320"/>
      </w:pPr>
      <w:r>
        <w:rPr>
          <w:rFonts w:ascii="Arial" w:cs="Arial" w:eastAsia="Arial" w:hAnsi="Arial"/>
          <w:b/>
          <w:bCs/>
          <w:color w:val="E26A1F"/>
          <w:sz w:val="28"/>
          <w:szCs w:val="28"/>
        </w:rPr>
        <w:t xml:space="preserve">Hub Tagline</w:t>
      </w:r>
    </w:p>
    <w:p>
      <w:pPr>
        <w:spacing w:after="80" w:before="160"/>
        <w:jc w:val="center"/>
      </w:pPr>
      <w:r>
        <w:rPr>
          <w:rFonts w:ascii="Arial" w:cs="Arial" w:eastAsia="Arial" w:hAnsi="Arial"/>
          <w:b/>
          <w:bCs/>
          <w:i/>
          <w:iCs/>
          <w:color w:val="E26A1F"/>
          <w:sz w:val="36"/>
          <w:szCs w:val="36"/>
        </w:rPr>
        <w:t xml:space="preserve">"We take care of each other."</w:t>
      </w:r>
    </w:p>
    <w:p>
      <w:pPr>
        <w:spacing w:after="240" w:before="0"/>
        <w:jc w:val="center"/>
      </w:pPr>
      <w:r>
        <w:rPr>
          <w:rFonts w:ascii="Arial" w:cs="Arial" w:eastAsia="Arial" w:hAnsi="Arial"/>
          <w:color w:val="666666"/>
          <w:sz w:val="22"/>
          <w:szCs w:val="22"/>
        </w:rPr>
        <w:t xml:space="preserve">Need something? We've got you.  Want to help? We'll find a match.</w:t>
      </w:r>
    </w:p>
    <w:p>
      <w:pPr>
        <w:pStyle w:val="Heading2"/>
        <w:spacing w:after="120" w:before="320"/>
      </w:pPr>
      <w:r>
        <w:rPr>
          <w:rFonts w:ascii="Arial" w:cs="Arial" w:eastAsia="Arial" w:hAnsi="Arial"/>
          <w:b/>
          <w:bCs/>
          <w:color w:val="E26A1F"/>
          <w:sz w:val="28"/>
          <w:szCs w:val="28"/>
        </w:rPr>
        <w:t xml:space="preserve">Hub Values</w:t>
      </w:r>
    </w:p>
    <w:p>
      <w:pPr>
        <w:pStyle w:val="ListParagraph"/>
        <w:numPr>
          <w:ilvl w:val="0"/>
          <w:numId w:val="2"/>
        </w:numPr>
        <w:spacing w:after="40" w:before="40"/>
      </w:pPr>
      <w:r>
        <w:rPr>
          <w:rFonts w:ascii="Arial" w:cs="Arial" w:eastAsia="Arial" w:hAnsi="Arial"/>
          <w:color w:val="1A1410"/>
          <w:sz w:val="22"/>
          <w:szCs w:val="22"/>
        </w:rPr>
        <w:t xml:space="preserve">Free — all services and resources are available at no cost</w:t>
      </w:r>
    </w:p>
    <w:p>
      <w:pPr>
        <w:pStyle w:val="ListParagraph"/>
        <w:numPr>
          <w:ilvl w:val="0"/>
          <w:numId w:val="2"/>
        </w:numPr>
        <w:spacing w:after="40" w:before="40"/>
      </w:pPr>
      <w:r>
        <w:rPr>
          <w:rFonts w:ascii="Arial" w:cs="Arial" w:eastAsia="Arial" w:hAnsi="Arial"/>
          <w:color w:val="1A1410"/>
          <w:sz w:val="22"/>
          <w:szCs w:val="22"/>
        </w:rPr>
        <w:t xml:space="preserve">Confidential — information shared stays within the community</w:t>
      </w:r>
    </w:p>
    <w:p>
      <w:pPr>
        <w:pStyle w:val="ListParagraph"/>
        <w:numPr>
          <w:ilvl w:val="0"/>
          <w:numId w:val="2"/>
        </w:numPr>
        <w:spacing w:after="40" w:before="40"/>
      </w:pPr>
      <w:r>
        <w:rPr>
          <w:rFonts w:ascii="Arial" w:cs="Arial" w:eastAsia="Arial" w:hAnsi="Arial"/>
          <w:color w:val="1A1410"/>
          <w:sz w:val="22"/>
          <w:szCs w:val="22"/>
        </w:rPr>
        <w:t xml:space="preserve">Multilingual — fully available in English, Spanish, and Cantonese</w:t>
      </w:r>
    </w:p>
    <w:p>
      <w:pPr>
        <w:pStyle w:val="ListParagraph"/>
        <w:numPr>
          <w:ilvl w:val="0"/>
          <w:numId w:val="2"/>
        </w:numPr>
        <w:spacing w:after="40" w:before="40"/>
      </w:pPr>
      <w:r>
        <w:rPr>
          <w:rFonts w:ascii="Arial" w:cs="Arial" w:eastAsia="Arial" w:hAnsi="Arial"/>
          <w:color w:val="1A1410"/>
          <w:sz w:val="22"/>
          <w:szCs w:val="22"/>
        </w:rPr>
        <w:t xml:space="preserve">Non-judgmental — every family's situation is valid</w:t>
      </w:r>
    </w:p>
    <w:p>
      <w:pPr>
        <w:pStyle w:val="ListParagraph"/>
        <w:numPr>
          <w:ilvl w:val="0"/>
          <w:numId w:val="2"/>
        </w:numPr>
        <w:spacing w:after="40" w:before="40"/>
      </w:pPr>
      <w:r>
        <w:rPr>
          <w:rFonts w:ascii="Arial" w:cs="Arial" w:eastAsia="Arial" w:hAnsi="Arial"/>
          <w:color w:val="1A1410"/>
          <w:sz w:val="22"/>
          <w:szCs w:val="22"/>
        </w:rPr>
        <w:t xml:space="preserve">Community-built — driven by what Monroe families actually need</w:t>
      </w:r>
    </w:p>
    <w:p>
      <w:pPr>
        <w:spacing w:after="120" w:before="0"/>
      </w:pPr>
    </w:p>
    <w:p>
      <w:pPr>
        <w:pStyle w:val="Heading2"/>
        <w:spacing w:after="120" w:before="320"/>
      </w:pPr>
      <w:r>
        <w:rPr>
          <w:rFonts w:ascii="Arial" w:cs="Arial" w:eastAsia="Arial" w:hAnsi="Arial"/>
          <w:b/>
          <w:bCs/>
          <w:color w:val="E26A1F"/>
          <w:sz w:val="28"/>
          <w:szCs w:val="28"/>
        </w:rPr>
        <w:t xml:space="preserve">Five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800"/>
        <w:gridCol w:w="4680"/>
      </w:tblGrid>
      <w:tr>
        <w:tc>
          <w:tcPr>
            <w:tcW w:type="dxa" w:w="48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w:t>
            </w:r>
          </w:p>
        </w:tc>
        <w:tc>
          <w:tcPr>
            <w:tcW w:type="dxa" w:w="24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Tab</w:t>
            </w:r>
          </w:p>
        </w:tc>
        <w:tc>
          <w:tcPr>
            <w:tcW w:type="dxa" w:w="18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Color</w:t>
            </w:r>
          </w:p>
        </w:tc>
        <w:tc>
          <w:tcPr>
            <w:tcW w:type="dxa" w:w="468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Purpose</w:t>
            </w:r>
          </w:p>
        </w:tc>
      </w:tr>
      <w:tr>
        <w:tc>
          <w:tcPr>
            <w:tcW w:type="dxa" w:w="480"/>
            <w:tcBorders>
              <w:top w:val="single" w:color="CCCCCC" w:sz="1"/>
              <w:left w:val="single" w:color="CCCCCC" w:sz="1"/>
              <w:bottom w:val="single" w:color="CCCCCC" w:sz="1"/>
              <w:right w:val="single" w:color="CCCCCC" w:sz="1"/>
            </w:tcBorders>
            <w:shd w:fill="2BB8D4" w:val="clear"/>
            <w:tcMar>
              <w:top w:type="dxa" w:w="80"/>
              <w:left w:type="dxa" w:w="120"/>
              <w:bottom w:type="dxa" w:w="80"/>
              <w:right w:type="dxa" w:w="120"/>
            </w:tcMar>
          </w:tcPr>
          <w:p>
            <w:r>
              <w:rPr>
                <w:rFonts w:ascii="Arial" w:cs="Arial" w:eastAsia="Arial" w:hAnsi="Arial"/>
                <w:b/>
                <w:bCs/>
                <w:color w:val="FFFFFF"/>
                <w:sz w:val="20"/>
                <w:szCs w:val="20"/>
              </w:rPr>
              <w:t xml:space="preserve">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Get Connected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Cyan / #2BB8D4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Social connection, community events, outreach</w:t>
            </w:r>
          </w:p>
        </w:tc>
      </w:tr>
      <w:tr>
        <w:tc>
          <w:tcPr>
            <w:tcW w:type="dxa" w:w="480"/>
            <w:tcBorders>
              <w:top w:val="single" w:color="CCCCCC" w:sz="1"/>
              <w:left w:val="single" w:color="CCCCCC" w:sz="1"/>
              <w:bottom w:val="single" w:color="CCCCCC" w:sz="1"/>
              <w:right w:val="single" w:color="CCCCCC" w:sz="1"/>
            </w:tcBorders>
            <w:shd w:fill="D83A6D" w:val="clear"/>
            <w:tcMar>
              <w:top w:type="dxa" w:w="80"/>
              <w:left w:type="dxa" w:w="120"/>
              <w:bottom w:type="dxa" w:w="80"/>
              <w:right w:type="dxa" w:w="120"/>
            </w:tcMar>
          </w:tcPr>
          <w:p>
            <w:r>
              <w:rPr>
                <w:rFonts w:ascii="Arial" w:cs="Arial" w:eastAsia="Arial" w:hAnsi="Arial"/>
                <w:b/>
                <w:bCs/>
                <w:color w:val="FFFFFF"/>
                <w:sz w:val="20"/>
                <w:szCs w:val="20"/>
              </w:rPr>
              <w:t xml:space="preserve">ii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Community Care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Magenta / #D83A6D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Mutual aid, equity fund, support services</w:t>
            </w:r>
          </w:p>
        </w:tc>
      </w:tr>
      <w:tr>
        <w:tc>
          <w:tcPr>
            <w:tcW w:type="dxa" w:w="480"/>
            <w:tcBorders>
              <w:top w:val="single" w:color="CCCCCC" w:sz="1"/>
              <w:left w:val="single" w:color="CCCCCC" w:sz="1"/>
              <w:bottom w:val="single" w:color="CCCCCC" w:sz="1"/>
              <w:right w:val="single" w:color="CCCCCC" w:sz="1"/>
            </w:tcBorders>
            <w:shd w:fill="4D8C5C" w:val="clear"/>
            <w:tcMar>
              <w:top w:type="dxa" w:w="80"/>
              <w:left w:type="dxa" w:w="120"/>
              <w:bottom w:type="dxa" w:w="80"/>
              <w:right w:type="dxa" w:w="120"/>
            </w:tcMar>
          </w:tcPr>
          <w:p>
            <w:r>
              <w:rPr>
                <w:rFonts w:ascii="Arial" w:cs="Arial" w:eastAsia="Arial" w:hAnsi="Arial"/>
                <w:b/>
                <w:bCs/>
                <w:color w:val="FFFFFF"/>
                <w:sz w:val="20"/>
                <w:szCs w:val="20"/>
              </w:rPr>
              <w:t xml:space="preserve">iii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Resources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Jade / #4D8C5C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Curated family resources, guides, links</w:t>
            </w:r>
          </w:p>
        </w:tc>
      </w:tr>
      <w:tr>
        <w:tc>
          <w:tcPr>
            <w:tcW w:type="dxa" w:w="480"/>
            <w:tcBorders>
              <w:top w:val="single" w:color="CCCCCC" w:sz="1"/>
              <w:left w:val="single" w:color="CCCCCC" w:sz="1"/>
              <w:bottom w:val="single" w:color="CCCCCC" w:sz="1"/>
              <w:right w:val="single" w:color="CCCCCC" w:sz="1"/>
            </w:tcBorders>
            <w:shd w:fill="E26A1F" w:val="clear"/>
            <w:tcMar>
              <w:top w:type="dxa" w:w="80"/>
              <w:left w:type="dxa" w:w="120"/>
              <w:bottom w:type="dxa" w:w="80"/>
              <w:right w:type="dxa" w:w="120"/>
            </w:tcMar>
          </w:tcPr>
          <w:p>
            <w:r>
              <w:rPr>
                <w:rFonts w:ascii="Arial" w:cs="Arial" w:eastAsia="Arial" w:hAnsi="Arial"/>
                <w:b/>
                <w:bCs/>
                <w:color w:val="FFFFFF"/>
                <w:sz w:val="20"/>
                <w:szCs w:val="20"/>
              </w:rPr>
              <w:t xml:space="preserve">iv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Volunteer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Monarch / #E26A1F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Volunteer opportunities, sign-ups</w:t>
            </w:r>
          </w:p>
        </w:tc>
      </w:tr>
      <w:tr>
        <w:tc>
          <w:tcPr>
            <w:tcW w:type="dxa" w:w="480"/>
            <w:tcBorders>
              <w:top w:val="single" w:color="CCCCCC" w:sz="1"/>
              <w:left w:val="single" w:color="CCCCCC" w:sz="1"/>
              <w:bottom w:val="single" w:color="CCCCCC" w:sz="1"/>
              <w:right w:val="single" w:color="CCCCCC" w:sz="1"/>
            </w:tcBorders>
            <w:shd w:fill="7C3F88" w:val="clear"/>
            <w:tcMar>
              <w:top w:type="dxa" w:w="80"/>
              <w:left w:type="dxa" w:w="120"/>
              <w:bottom w:type="dxa" w:w="80"/>
              <w:right w:type="dxa" w:w="120"/>
            </w:tcMar>
          </w:tcPr>
          <w:p>
            <w:r>
              <w:rPr>
                <w:rFonts w:ascii="Arial" w:cs="Arial" w:eastAsia="Arial" w:hAnsi="Arial"/>
                <w:b/>
                <w:bCs/>
                <w:color w:val="FFFFFF"/>
                <w:sz w:val="20"/>
                <w:szCs w:val="20"/>
              </w:rPr>
              <w:t xml:space="preserv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410"/>
                <w:sz w:val="20"/>
                <w:szCs w:val="20"/>
              </w:rPr>
              <w:t xml:space="preserve">Lunch Menu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Plum / #7C3F88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Weekly school lunch menu</w:t>
            </w:r>
          </w:p>
        </w:tc>
      </w:tr>
    </w:tbl>
    <w:p>
      <w:pPr>
        <w:spacing w:after="120" w:before="0"/>
      </w:pPr>
    </w:p>
    <w:p>
      <w:pPr>
        <w:pStyle w:val="Heading2"/>
        <w:spacing w:after="120" w:before="320"/>
      </w:pPr>
      <w:r>
        <w:rPr>
          <w:rFonts w:ascii="Arial" w:cs="Arial" w:eastAsia="Arial" w:hAnsi="Arial"/>
          <w:b/>
          <w:bCs/>
          <w:color w:val="E26A1F"/>
          <w:sz w:val="28"/>
          <w:szCs w:val="28"/>
        </w:rPr>
        <w:t xml:space="preserve">Hub Voice</w:t>
      </w:r>
    </w:p>
    <w:p>
      <w:pPr>
        <w:spacing w:after="80" w:before="80"/>
      </w:pPr>
      <w:r>
        <w:rPr>
          <w:rFonts w:ascii="Arial" w:cs="Arial" w:eastAsia="Arial" w:hAnsi="Arial"/>
          <w:color w:val="1A1410"/>
          <w:sz w:val="22"/>
          <w:szCs w:val="22"/>
        </w:rPr>
        <w:t xml:space="preserve">The Hub speaks more softly than the main site — less energetic, more held. The tone is that of a caring neighbor who knows the community well.</w:t>
      </w:r>
    </w:p>
    <w:p>
      <w:pPr>
        <w:pStyle w:val="ListParagraph"/>
        <w:numPr>
          <w:ilvl w:val="0"/>
          <w:numId w:val="2"/>
        </w:numPr>
        <w:spacing w:after="40" w:before="40"/>
      </w:pPr>
      <w:r>
        <w:rPr>
          <w:rFonts w:ascii="Arial" w:cs="Arial" w:eastAsia="Arial" w:hAnsi="Arial"/>
          <w:color w:val="1A1410"/>
          <w:sz w:val="22"/>
          <w:szCs w:val="22"/>
        </w:rPr>
        <w:t xml:space="preserve">"Need something? We've got you." — not "Apply for assistance below."</w:t>
      </w:r>
    </w:p>
    <w:p>
      <w:pPr>
        <w:pStyle w:val="ListParagraph"/>
        <w:numPr>
          <w:ilvl w:val="0"/>
          <w:numId w:val="2"/>
        </w:numPr>
        <w:spacing w:after="40" w:before="40"/>
      </w:pPr>
      <w:r>
        <w:rPr>
          <w:rFonts w:ascii="Arial" w:cs="Arial" w:eastAsia="Arial" w:hAnsi="Arial"/>
          <w:color w:val="1A1410"/>
          <w:sz w:val="22"/>
          <w:szCs w:val="22"/>
        </w:rPr>
        <w:t xml:space="preserve">"Want to help? We'll find a match." — not "Volunteer opportunities are available."</w:t>
      </w:r>
    </w:p>
    <w:p>
      <w:pPr>
        <w:pStyle w:val="ListParagraph"/>
        <w:numPr>
          <w:ilvl w:val="0"/>
          <w:numId w:val="2"/>
        </w:numPr>
        <w:spacing w:after="40" w:before="40"/>
      </w:pPr>
      <w:r>
        <w:rPr>
          <w:rFonts w:ascii="Arial" w:cs="Arial" w:eastAsia="Arial" w:hAnsi="Arial"/>
          <w:color w:val="1A1410"/>
          <w:sz w:val="22"/>
          <w:szCs w:val="22"/>
        </w:rPr>
        <w:t xml:space="preserve">Language is trauma-informed and non-stigmatizing</w:t>
      </w:r>
    </w:p>
    <w:p>
      <w:pPr>
        <w:pStyle w:val="ListParagraph"/>
        <w:numPr>
          <w:ilvl w:val="0"/>
          <w:numId w:val="2"/>
        </w:numPr>
        <w:spacing w:after="40" w:before="40"/>
      </w:pPr>
      <w:r>
        <w:rPr>
          <w:rFonts w:ascii="Arial" w:cs="Arial" w:eastAsia="Arial" w:hAnsi="Arial"/>
          <w:color w:val="1A1410"/>
          <w:sz w:val="22"/>
          <w:szCs w:val="22"/>
        </w:rPr>
        <w:t xml:space="preserve">Instructions are clear and step-by-step — families in stress need low cognitive load</w:t>
      </w:r>
    </w:p>
    <w:p>
      <w:pPr>
        <w:spacing w:after="120" w:before="0"/>
      </w:pPr>
    </w:p>
    <w:p>
      <w:pPr>
        <w:pStyle w:val="Heading1"/>
        <w:pageBreakBefore/>
        <w:spacing w:after="240" w:before="0"/>
      </w:pPr>
      <w:r>
        <w:rPr>
          <w:rFonts w:ascii="Arial" w:cs="Arial" w:eastAsia="Arial" w:hAnsi="Arial"/>
          <w:b/>
          <w:bCs/>
          <w:color w:val="1A1410"/>
          <w:sz w:val="40"/>
          <w:szCs w:val="40"/>
        </w:rPr>
        <w:t xml:space="preserve">7. Multilingual Standards</w:t>
      </w:r>
    </w:p>
    <w:p>
      <w:pPr>
        <w:pBdr>
          <w:bottom w:val="single" w:color="CCCCCC" w:sz="4" w:space="1"/>
        </w:pBdr>
        <w:spacing w:after="240" w:before="0"/>
      </w:pPr>
    </w:p>
    <w:p>
      <w:pPr>
        <w:spacing w:after="80" w:before="80"/>
      </w:pPr>
      <w:r>
        <w:rPr>
          <w:rFonts w:ascii="Arial" w:cs="Arial" w:eastAsia="Arial" w:hAnsi="Arial"/>
          <w:color w:val="1A1410"/>
          <w:sz w:val="22"/>
          <w:szCs w:val="22"/>
        </w:rPr>
        <w:t xml:space="preserve">Monroe is a multilingual school and brand. Language access is a right, not a courtesy. These standards ensure we honor that across all communications.</w:t>
      </w:r>
    </w:p>
    <w:p>
      <w:pPr>
        <w:spacing w:after="120" w:before="0"/>
      </w:pPr>
    </w:p>
    <w:p>
      <w:pPr>
        <w:pStyle w:val="Heading2"/>
        <w:spacing w:after="120" w:before="320"/>
      </w:pPr>
      <w:r>
        <w:rPr>
          <w:rFonts w:ascii="Arial" w:cs="Arial" w:eastAsia="Arial" w:hAnsi="Arial"/>
          <w:b/>
          <w:bCs/>
          <w:color w:val="E26A1F"/>
          <w:sz w:val="28"/>
          <w:szCs w:val="28"/>
        </w:rPr>
        <w:t xml:space="preserve">Languages</w:t>
      </w:r>
    </w:p>
    <w:p>
      <w:pPr>
        <w:pStyle w:val="ListParagraph"/>
        <w:numPr>
          <w:ilvl w:val="0"/>
          <w:numId w:val="2"/>
        </w:numPr>
        <w:spacing w:after="40" w:before="40"/>
      </w:pPr>
      <w:r>
        <w:rPr>
          <w:rFonts w:ascii="Arial" w:cs="Arial" w:eastAsia="Arial" w:hAnsi="Arial"/>
          <w:color w:val="1A1410"/>
          <w:sz w:val="22"/>
          <w:szCs w:val="22"/>
        </w:rPr>
        <w:t xml:space="preserve">English (primary)</w:t>
      </w:r>
    </w:p>
    <w:p>
      <w:pPr>
        <w:pStyle w:val="ListParagraph"/>
        <w:numPr>
          <w:ilvl w:val="0"/>
          <w:numId w:val="2"/>
        </w:numPr>
        <w:spacing w:after="40" w:before="40"/>
      </w:pPr>
      <w:r>
        <w:rPr>
          <w:rFonts w:ascii="Arial" w:cs="Arial" w:eastAsia="Arial" w:hAnsi="Arial"/>
          <w:color w:val="1A1410"/>
          <w:sz w:val="22"/>
          <w:szCs w:val="22"/>
        </w:rPr>
        <w:t xml:space="preserve">Spanish (es) — second language for a significant portion of Monroe families</w:t>
      </w:r>
    </w:p>
    <w:p>
      <w:pPr>
        <w:pStyle w:val="ListParagraph"/>
        <w:numPr>
          <w:ilvl w:val="0"/>
          <w:numId w:val="2"/>
        </w:numPr>
        <w:spacing w:after="40" w:before="40"/>
      </w:pPr>
      <w:r>
        <w:rPr>
          <w:rFonts w:ascii="Arial" w:cs="Arial" w:eastAsia="Arial" w:hAnsi="Arial"/>
          <w:color w:val="1A1410"/>
          <w:sz w:val="22"/>
          <w:szCs w:val="22"/>
        </w:rPr>
        <w:t xml:space="preserve">Cantonese/Traditional Chinese (zh) — third language, displayed in ZCOOL XiaoWei / Noto Serif TC</w:t>
      </w:r>
    </w:p>
    <w:p>
      <w:pPr>
        <w:spacing w:after="120" w:before="0"/>
      </w:pPr>
    </w:p>
    <w:p>
      <w:pPr>
        <w:pStyle w:val="Heading2"/>
        <w:spacing w:after="120" w:before="320"/>
      </w:pPr>
      <w:r>
        <w:rPr>
          <w:rFonts w:ascii="Arial" w:cs="Arial" w:eastAsia="Arial" w:hAnsi="Arial"/>
          <w:b/>
          <w:bCs/>
          <w:color w:val="E26A1F"/>
          <w:sz w:val="28"/>
          <w:szCs w:val="28"/>
        </w:rPr>
        <w:t xml:space="preserve">Standards</w:t>
      </w:r>
    </w:p>
    <w:p>
      <w:pPr>
        <w:pStyle w:val="ListParagraph"/>
        <w:numPr>
          <w:ilvl w:val="0"/>
          <w:numId w:val="2"/>
        </w:numPr>
        <w:spacing w:after="40" w:before="40"/>
      </w:pPr>
      <w:r>
        <w:rPr>
          <w:rFonts w:ascii="Arial" w:cs="Arial" w:eastAsia="Arial" w:hAnsi="Arial"/>
          <w:color w:val="1A1410"/>
          <w:sz w:val="22"/>
          <w:szCs w:val="22"/>
        </w:rPr>
        <w:t xml:space="preserve">All primary web pages must have content available in all three languages via Google Translate integration</w:t>
      </w:r>
    </w:p>
    <w:p>
      <w:pPr>
        <w:pStyle w:val="ListParagraph"/>
        <w:numPr>
          <w:ilvl w:val="0"/>
          <w:numId w:val="2"/>
        </w:numPr>
        <w:spacing w:after="40" w:before="40"/>
      </w:pPr>
      <w:r>
        <w:rPr>
          <w:rFonts w:ascii="Arial" w:cs="Arial" w:eastAsia="Arial" w:hAnsi="Arial"/>
          <w:color w:val="1A1410"/>
          <w:sz w:val="22"/>
          <w:szCs w:val="22"/>
        </w:rPr>
        <w:t xml:space="preserve">High-stakes content (enrollment, Hub resources, emergency notices) must be human-translated, not machine-translated</w:t>
      </w:r>
    </w:p>
    <w:p>
      <w:pPr>
        <w:pStyle w:val="ListParagraph"/>
        <w:numPr>
          <w:ilvl w:val="0"/>
          <w:numId w:val="2"/>
        </w:numPr>
        <w:spacing w:after="40" w:before="40"/>
      </w:pPr>
      <w:r>
        <w:rPr>
          <w:rFonts w:ascii="Arial" w:cs="Arial" w:eastAsia="Arial" w:hAnsi="Arial"/>
          <w:color w:val="1A1410"/>
          <w:sz w:val="22"/>
          <w:szCs w:val="22"/>
        </w:rPr>
        <w:t xml:space="preserve">Language switcher is always visible in the utility bar at the top of every page</w:t>
      </w:r>
    </w:p>
    <w:p>
      <w:pPr>
        <w:pStyle w:val="ListParagraph"/>
        <w:numPr>
          <w:ilvl w:val="0"/>
          <w:numId w:val="2"/>
        </w:numPr>
        <w:spacing w:after="40" w:before="40"/>
      </w:pPr>
      <w:r>
        <w:rPr>
          <w:rFonts w:ascii="Arial" w:cs="Arial" w:eastAsia="Arial" w:hAnsi="Arial"/>
          <w:color w:val="1A1410"/>
          <w:sz w:val="22"/>
          <w:szCs w:val="22"/>
        </w:rPr>
        <w:t xml:space="preserve">Language labels use each language's own script: English · Español · 中文</w:t>
      </w:r>
    </w:p>
    <w:p>
      <w:pPr>
        <w:pStyle w:val="ListParagraph"/>
        <w:numPr>
          <w:ilvl w:val="0"/>
          <w:numId w:val="2"/>
        </w:numPr>
        <w:spacing w:after="40" w:before="40"/>
      </w:pPr>
      <w:r>
        <w:rPr>
          <w:rFonts w:ascii="Arial" w:cs="Arial" w:eastAsia="Arial" w:hAnsi="Arial"/>
          <w:color w:val="1A1410"/>
          <w:sz w:val="22"/>
          <w:szCs w:val="22"/>
        </w:rPr>
        <w:t xml:space="preserve">Chinese label uses ZCOOL XiaoWei font and Magenta color in the utility bar</w:t>
      </w:r>
    </w:p>
    <w:p>
      <w:pPr>
        <w:pStyle w:val="ListParagraph"/>
        <w:numPr>
          <w:ilvl w:val="0"/>
          <w:numId w:val="2"/>
        </w:numPr>
        <w:spacing w:after="40" w:before="40"/>
      </w:pPr>
      <w:r>
        <w:rPr>
          <w:rFonts w:ascii="Arial" w:cs="Arial" w:eastAsia="Arial" w:hAnsi="Arial"/>
          <w:color w:val="1A1410"/>
          <w:sz w:val="22"/>
          <w:szCs w:val="22"/>
        </w:rPr>
        <w:t xml:space="preserve">Spanish label uses Marigold color in the utility bar</w:t>
      </w:r>
    </w:p>
    <w:p>
      <w:pPr>
        <w:pStyle w:val="ListParagraph"/>
        <w:numPr>
          <w:ilvl w:val="0"/>
          <w:numId w:val="2"/>
        </w:numPr>
        <w:spacing w:after="40" w:before="40"/>
      </w:pPr>
      <w:r>
        <w:rPr>
          <w:rFonts w:ascii="Arial" w:cs="Arial" w:eastAsia="Arial" w:hAnsi="Arial"/>
          <w:color w:val="1A1410"/>
          <w:sz w:val="22"/>
          <w:szCs w:val="22"/>
        </w:rPr>
        <w:t xml:space="preserve">Translation suppresses Google Translate banner (handled via CSS)</w:t>
      </w:r>
    </w:p>
    <w:p>
      <w:pPr>
        <w:spacing w:after="120" w:before="0"/>
      </w:pPr>
    </w:p>
    <w:p>
      <w:pPr>
        <w:pStyle w:val="Heading2"/>
        <w:spacing w:after="120" w:before="320"/>
      </w:pPr>
      <w:r>
        <w:rPr>
          <w:rFonts w:ascii="Arial" w:cs="Arial" w:eastAsia="Arial" w:hAnsi="Arial"/>
          <w:b/>
          <w:bCs/>
          <w:color w:val="E26A1F"/>
          <w:sz w:val="28"/>
          <w:szCs w:val="28"/>
        </w:rPr>
        <w:t xml:space="preserve">Multilingual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1A1410" w:sz="1"/>
              <w:left w:val="single" w:color="1A1410" w:sz="1"/>
              <w:bottom w:val="single" w:color="1A1410" w:sz="1"/>
              <w:right w:val="single" w:color="1A1410" w:sz="1"/>
            </w:tcBorders>
            <w:shd w:fill="4D8C5C" w:val="clear"/>
            <w:tcMar>
              <w:top w:type="dxa" w:w="80"/>
              <w:left w:type="dxa" w:w="140"/>
              <w:bottom w:type="dxa" w:w="80"/>
              <w:right w:type="dxa" w:w="140"/>
            </w:tcMar>
          </w:tcPr>
          <w:p>
            <w:r>
              <w:rPr>
                <w:rFonts w:ascii="Arial" w:cs="Arial" w:eastAsia="Arial" w:hAnsi="Arial"/>
                <w:b/>
                <w:bCs/>
                <w:color w:val="FFFFFF"/>
                <w:sz w:val="20"/>
                <w:szCs w:val="20"/>
              </w:rPr>
              <w:t xml:space="preserve">DO</w:t>
            </w:r>
          </w:p>
        </w:tc>
        <w:tc>
          <w:tcPr>
            <w:tcW w:type="dxa" w:w="4800"/>
            <w:tcBorders>
              <w:top w:val="single" w:color="1A1410" w:sz="1"/>
              <w:left w:val="single" w:color="1A1410" w:sz="1"/>
              <w:bottom w:val="single" w:color="1A1410" w:sz="1"/>
              <w:right w:val="single" w:color="1A1410" w:sz="1"/>
            </w:tcBorders>
            <w:shd w:fill="D8392E" w:val="clear"/>
            <w:tcMar>
              <w:top w:type="dxa" w:w="80"/>
              <w:left w:type="dxa" w:w="140"/>
              <w:bottom w:type="dxa" w:w="80"/>
              <w:right w:type="dxa" w:w="140"/>
            </w:tcMar>
          </w:tcPr>
          <w:p>
            <w:r>
              <w:rPr>
                <w:rFonts w:ascii="Arial" w:cs="Arial" w:eastAsia="Arial" w:hAnsi="Arial"/>
                <w:b/>
                <w:bCs/>
                <w:color w:val="FFFFFF"/>
                <w:sz w:val="20"/>
                <w:szCs w:val="20"/>
              </w:rPr>
              <w:t xml:space="preserve">DON'T</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Translate all primary content before publishing</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Launch new content in English only and add translations later</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human translation for Hub resources and enrollment</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Rely on machine translation for high-stakes content</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Display language labels in their own scripts</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Write "Chinese" instead of "中文"</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Design layouts that work in all three languages (text expansion)</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Design tight layouts that break when Spanish or Chinese text is longer</w:t>
            </w:r>
          </w:p>
        </w:tc>
      </w:tr>
    </w:tbl>
    <w:p>
      <w:pPr>
        <w:spacing w:after="120" w:before="0"/>
      </w:pPr>
    </w:p>
    <w:p>
      <w:pPr>
        <w:pStyle w:val="Heading1"/>
        <w:pageBreakBefore/>
        <w:spacing w:after="240" w:before="0"/>
      </w:pPr>
      <w:r>
        <w:rPr>
          <w:rFonts w:ascii="Arial" w:cs="Arial" w:eastAsia="Arial" w:hAnsi="Arial"/>
          <w:b/>
          <w:bCs/>
          <w:color w:val="1A1410"/>
          <w:sz w:val="40"/>
          <w:szCs w:val="40"/>
        </w:rPr>
        <w:t xml:space="preserve">8. Web Implementation</w:t>
      </w:r>
    </w:p>
    <w:p>
      <w:pPr>
        <w:pBdr>
          <w:bottom w:val="single" w:color="CCCCCC" w:sz="4" w:space="1"/>
        </w:pBdr>
        <w:spacing w:after="240" w:before="0"/>
      </w:pPr>
    </w:p>
    <w:p>
      <w:pPr>
        <w:spacing w:after="80" w:before="80"/>
      </w:pPr>
      <w:r>
        <w:rPr>
          <w:rFonts w:ascii="Arial" w:cs="Arial" w:eastAsia="Arial" w:hAnsi="Arial"/>
          <w:color w:val="1A1410"/>
          <w:sz w:val="22"/>
          <w:szCs w:val="22"/>
        </w:rPr>
        <w:t xml:space="preserve">Monroe's website is a static HTML site. These standards ensure visual and technical consistency across all pages.</w:t>
      </w:r>
    </w:p>
    <w:p>
      <w:pPr>
        <w:spacing w:after="120" w:before="0"/>
      </w:pPr>
    </w:p>
    <w:p>
      <w:pPr>
        <w:pStyle w:val="Heading2"/>
        <w:spacing w:after="120" w:before="320"/>
      </w:pPr>
      <w:r>
        <w:rPr>
          <w:rFonts w:ascii="Arial" w:cs="Arial" w:eastAsia="Arial" w:hAnsi="Arial"/>
          <w:b/>
          <w:bCs/>
          <w:color w:val="E26A1F"/>
          <w:sz w:val="28"/>
          <w:szCs w:val="28"/>
        </w:rPr>
        <w:t xml:space="preserve">Page Structure</w:t>
      </w:r>
    </w:p>
    <w:p>
      <w:pPr>
        <w:pStyle w:val="ListParagraph"/>
        <w:numPr>
          <w:ilvl w:val="0"/>
          <w:numId w:val="2"/>
        </w:numPr>
        <w:spacing w:after="40" w:before="40"/>
      </w:pPr>
      <w:r>
        <w:rPr>
          <w:rFonts w:ascii="Arial" w:cs="Arial" w:eastAsia="Arial" w:hAnsi="Arial"/>
          <w:color w:val="1A1410"/>
          <w:sz w:val="22"/>
          <w:szCs w:val="22"/>
        </w:rPr>
        <w:t xml:space="preserve">Every page includes: Utility Bar → Masthead/Nav → Page Content → Footer</w:t>
      </w:r>
    </w:p>
    <w:p>
      <w:pPr>
        <w:pStyle w:val="ListParagraph"/>
        <w:numPr>
          <w:ilvl w:val="0"/>
          <w:numId w:val="2"/>
        </w:numPr>
        <w:spacing w:after="40" w:before="40"/>
      </w:pPr>
      <w:r>
        <w:rPr>
          <w:rFonts w:ascii="Arial" w:cs="Arial" w:eastAsia="Arial" w:hAnsi="Arial"/>
          <w:color w:val="1A1410"/>
          <w:sz w:val="22"/>
          <w:szCs w:val="22"/>
        </w:rPr>
        <w:t xml:space="preserve">Utility bar: address, phone, ParentSquare button, language switcher</w:t>
      </w:r>
    </w:p>
    <w:p>
      <w:pPr>
        <w:pStyle w:val="ListParagraph"/>
        <w:numPr>
          <w:ilvl w:val="0"/>
          <w:numId w:val="2"/>
        </w:numPr>
        <w:spacing w:after="40" w:before="40"/>
      </w:pPr>
      <w:r>
        <w:rPr>
          <w:rFonts w:ascii="Arial" w:cs="Arial" w:eastAsia="Arial" w:hAnsi="Arial"/>
          <w:color w:val="1A1410"/>
          <w:sz w:val="22"/>
          <w:szCs w:val="22"/>
        </w:rPr>
        <w:t xml:space="preserve">Masthead: logo (200px wide), centered navigation, Tour + Give buttons</w:t>
      </w:r>
    </w:p>
    <w:p>
      <w:pPr>
        <w:pStyle w:val="ListParagraph"/>
        <w:numPr>
          <w:ilvl w:val="0"/>
          <w:numId w:val="2"/>
        </w:numPr>
        <w:spacing w:after="40" w:before="40"/>
      </w:pPr>
      <w:r>
        <w:rPr>
          <w:rFonts w:ascii="Arial" w:cs="Arial" w:eastAsia="Arial" w:hAnsi="Arial"/>
          <w:color w:val="1A1410"/>
          <w:sz w:val="22"/>
          <w:szCs w:val="22"/>
        </w:rPr>
        <w:t xml:space="preserve">Footer: logo, address, link columns, legal/copyright bar</w:t>
      </w:r>
    </w:p>
    <w:p>
      <w:pPr>
        <w:pStyle w:val="ListParagraph"/>
        <w:numPr>
          <w:ilvl w:val="0"/>
          <w:numId w:val="2"/>
        </w:numPr>
        <w:spacing w:after="40" w:before="40"/>
      </w:pPr>
      <w:r>
        <w:rPr>
          <w:rFonts w:ascii="Arial" w:cs="Arial" w:eastAsia="Arial" w:hAnsi="Arial"/>
          <w:color w:val="1A1410"/>
          <w:sz w:val="22"/>
          <w:szCs w:val="22"/>
        </w:rPr>
        <w:t xml:space="preserve">Mobile nav: hamburger button → full-screen overlay with all links</w:t>
      </w:r>
    </w:p>
    <w:p>
      <w:pPr>
        <w:spacing w:after="120" w:before="0"/>
      </w:pPr>
    </w:p>
    <w:p>
      <w:pPr>
        <w:pStyle w:val="Heading2"/>
        <w:spacing w:after="120" w:before="320"/>
      </w:pPr>
      <w:r>
        <w:rPr>
          <w:rFonts w:ascii="Arial" w:cs="Arial" w:eastAsia="Arial" w:hAnsi="Arial"/>
          <w:b/>
          <w:bCs/>
          <w:color w:val="E26A1F"/>
          <w:sz w:val="28"/>
          <w:szCs w:val="28"/>
        </w:rPr>
        <w:t xml:space="preserve">CSS Custom Properties</w:t>
      </w:r>
    </w:p>
    <w:p>
      <w:pPr>
        <w:spacing w:after="80" w:before="80"/>
      </w:pPr>
      <w:r>
        <w:rPr>
          <w:rFonts w:ascii="Arial" w:cs="Arial" w:eastAsia="Arial" w:hAnsi="Arial"/>
          <w:color w:val="1A1410"/>
          <w:sz w:val="22"/>
          <w:szCs w:val="22"/>
        </w:rPr>
        <w:t xml:space="preserve">All colors are defined as CSS custom properties in :root and referenced throughout. Never hardcode hex values in page-specific styles — always use the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Variable</w:t>
            </w:r>
          </w:p>
        </w:tc>
        <w:tc>
          <w:tcPr>
            <w:tcW w:type="dxa" w:w="216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Value</w:t>
            </w:r>
          </w:p>
        </w:tc>
        <w:tc>
          <w:tcPr>
            <w:tcW w:type="dxa" w:w="4800"/>
            <w:tcBorders>
              <w:top w:val="single" w:color="1A1410" w:sz="1"/>
              <w:left w:val="single" w:color="1A1410" w:sz="1"/>
              <w:bottom w:val="single" w:color="1A1410" w:sz="1"/>
              <w:right w:val="single" w:color="1A1410" w:sz="1"/>
            </w:tcBorders>
            <w:shd w:fill="1A1410" w:val="clear"/>
            <w:tcMar>
              <w:top w:type="dxa" w:w="80"/>
              <w:left w:type="dxa" w:w="120"/>
              <w:bottom w:type="dxa" w:w="80"/>
              <w:right w:type="dxa" w:w="120"/>
            </w:tcMar>
          </w:tcPr>
          <w:p>
            <w:r>
              <w:rPr>
                <w:rFonts w:ascii="Arial" w:cs="Arial" w:eastAsia="Arial" w:hAnsi="Arial"/>
                <w:b/>
                <w:bCs/>
                <w:color w:val="FDF8F2"/>
                <w:sz w:val="18"/>
                <w:szCs w:val="18"/>
              </w:rPr>
              <w:t xml:space="preserve">Usage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--cream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#FDF8F2</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Page background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--cream2</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#F5EDE0</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Secondary bg, tab bars, hover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--ink</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#1A1410</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Text, borders, shadows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--monarch</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#E26A1F</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Primary accent, CTAs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--cyan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#2BB8D4</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Get Connected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--marigold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#F0A82E</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Secondary accent, ParentSquare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--magenta</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#D83A6D</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Community Care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--poppy</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#D8392E</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Labels, alerts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--jade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#4D8C5C</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Resources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E26A1F"/>
                <w:sz w:val="18"/>
                <w:szCs w:val="18"/>
              </w:rPr>
              <w:t xml:space="preserve">--plum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A1410"/>
                <w:sz w:val="18"/>
                <w:szCs w:val="18"/>
              </w:rPr>
              <w:t xml:space="preserve">#7C3F88</w:t>
            </w:r>
          </w:p>
        </w:tc>
        <w:tc>
          <w:tcPr>
            <w:tcW w:type="dxa" w:w="4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410"/>
                <w:sz w:val="18"/>
                <w:szCs w:val="18"/>
              </w:rPr>
              <w:t xml:space="preserve">Lunch Menu</w:t>
            </w:r>
          </w:p>
        </w:tc>
      </w:tr>
    </w:tbl>
    <w:p>
      <w:pPr>
        <w:spacing w:after="120" w:before="0"/>
      </w:pPr>
    </w:p>
    <w:p>
      <w:pPr>
        <w:pStyle w:val="Heading2"/>
        <w:spacing w:after="120" w:before="320"/>
      </w:pPr>
      <w:r>
        <w:rPr>
          <w:rFonts w:ascii="Arial" w:cs="Arial" w:eastAsia="Arial" w:hAnsi="Arial"/>
          <w:b/>
          <w:bCs/>
          <w:color w:val="E26A1F"/>
          <w:sz w:val="28"/>
          <w:szCs w:val="28"/>
        </w:rPr>
        <w:t xml:space="preserve">Fonts (Google Fonts)</w:t>
      </w:r>
    </w:p>
    <w:p>
      <w:pPr>
        <w:spacing w:after="80" w:before="80"/>
      </w:pPr>
      <w:r>
        <w:rPr>
          <w:rFonts w:ascii="Arial" w:cs="Arial" w:eastAsia="Arial" w:hAnsi="Arial"/>
          <w:color w:val="1A1410"/>
          <w:sz w:val="22"/>
          <w:szCs w:val="22"/>
        </w:rPr>
        <w:t xml:space="preserve">Load via Google Fonts CDN with display=swap for performance:</w:t>
      </w:r>
    </w:p>
    <w:p>
      <w:pPr>
        <w:pStyle w:val="ListParagraph"/>
        <w:numPr>
          <w:ilvl w:val="0"/>
          <w:numId w:val="2"/>
        </w:numPr>
        <w:spacing w:after="40" w:before="40"/>
      </w:pPr>
      <w:r>
        <w:rPr>
          <w:rFonts w:ascii="Arial" w:cs="Arial" w:eastAsia="Arial" w:hAnsi="Arial"/>
          <w:color w:val="1A1410"/>
          <w:sz w:val="22"/>
          <w:szCs w:val="22"/>
        </w:rPr>
        <w:t xml:space="preserve">Outfit: weights 300, 400, 500, 600, 700, 800, 900</w:t>
      </w:r>
    </w:p>
    <w:p>
      <w:pPr>
        <w:pStyle w:val="ListParagraph"/>
        <w:numPr>
          <w:ilvl w:val="0"/>
          <w:numId w:val="2"/>
        </w:numPr>
        <w:spacing w:after="40" w:before="40"/>
      </w:pPr>
      <w:r>
        <w:rPr>
          <w:rFonts w:ascii="Arial" w:cs="Arial" w:eastAsia="Arial" w:hAnsi="Arial"/>
          <w:color w:val="1A1410"/>
          <w:sz w:val="22"/>
          <w:szCs w:val="22"/>
        </w:rPr>
        <w:t xml:space="preserve">ZCOOL XiaoWei: display only</w:t>
      </w:r>
    </w:p>
    <w:p>
      <w:pPr>
        <w:pStyle w:val="ListParagraph"/>
        <w:numPr>
          <w:ilvl w:val="0"/>
          <w:numId w:val="2"/>
        </w:numPr>
        <w:spacing w:after="40" w:before="40"/>
      </w:pPr>
      <w:r>
        <w:rPr>
          <w:rFonts w:ascii="Arial" w:cs="Arial" w:eastAsia="Arial" w:hAnsi="Arial"/>
          <w:color w:val="1A1410"/>
          <w:sz w:val="22"/>
          <w:szCs w:val="22"/>
        </w:rPr>
        <w:t xml:space="preserve">Noto Serif TC: weights 400, 500, 600, 700, 900</w:t>
      </w:r>
    </w:p>
    <w:p>
      <w:pPr>
        <w:pStyle w:val="ListParagraph"/>
        <w:numPr>
          <w:ilvl w:val="0"/>
          <w:numId w:val="2"/>
        </w:numPr>
        <w:spacing w:after="40" w:before="40"/>
      </w:pPr>
      <w:r>
        <w:rPr>
          <w:rFonts w:ascii="Arial" w:cs="Arial" w:eastAsia="Arial" w:hAnsi="Arial"/>
          <w:color w:val="1A1410"/>
          <w:sz w:val="22"/>
          <w:szCs w:val="22"/>
        </w:rPr>
        <w:t xml:space="preserve">Always preconnect to fonts.googleapis.com and fonts.gstatic.com</w:t>
      </w:r>
    </w:p>
    <w:p>
      <w:pPr>
        <w:spacing w:after="120" w:before="0"/>
      </w:pPr>
    </w:p>
    <w:p>
      <w:pPr>
        <w:pStyle w:val="Heading2"/>
        <w:spacing w:after="120" w:before="320"/>
      </w:pPr>
      <w:r>
        <w:rPr>
          <w:rFonts w:ascii="Arial" w:cs="Arial" w:eastAsia="Arial" w:hAnsi="Arial"/>
          <w:b/>
          <w:bCs/>
          <w:color w:val="E26A1F"/>
          <w:sz w:val="28"/>
          <w:szCs w:val="28"/>
        </w:rPr>
        <w:t xml:space="preserve">Navigation</w:t>
      </w:r>
    </w:p>
    <w:p>
      <w:pPr>
        <w:pStyle w:val="ListParagraph"/>
        <w:numPr>
          <w:ilvl w:val="0"/>
          <w:numId w:val="2"/>
        </w:numPr>
        <w:spacing w:after="40" w:before="40"/>
      </w:pPr>
      <w:r>
        <w:rPr>
          <w:rFonts w:ascii="Arial" w:cs="Arial" w:eastAsia="Arial" w:hAnsi="Arial"/>
          <w:color w:val="1A1410"/>
          <w:sz w:val="22"/>
          <w:szCs w:val="22"/>
        </w:rPr>
        <w:t xml:space="preserve">Active page: bottom border in Cyan on the nav link</w:t>
      </w:r>
    </w:p>
    <w:p>
      <w:pPr>
        <w:pStyle w:val="ListParagraph"/>
        <w:numPr>
          <w:ilvl w:val="0"/>
          <w:numId w:val="2"/>
        </w:numPr>
        <w:spacing w:after="40" w:before="40"/>
      </w:pPr>
      <w:r>
        <w:rPr>
          <w:rFonts w:ascii="Arial" w:cs="Arial" w:eastAsia="Arial" w:hAnsi="Arial"/>
          <w:color w:val="1A1410"/>
          <w:sz w:val="22"/>
          <w:szCs w:val="22"/>
        </w:rPr>
        <w:t xml:space="preserve">Hover: color shifts to Monarch Orange (no underline)</w:t>
      </w:r>
    </w:p>
    <w:p>
      <w:pPr>
        <w:pStyle w:val="ListParagraph"/>
        <w:numPr>
          <w:ilvl w:val="0"/>
          <w:numId w:val="2"/>
        </w:numPr>
        <w:spacing w:after="40" w:before="40"/>
      </w:pPr>
      <w:r>
        <w:rPr>
          <w:rFonts w:ascii="Arial" w:cs="Arial" w:eastAsia="Arial" w:hAnsi="Arial"/>
          <w:color w:val="1A1410"/>
          <w:sz w:val="22"/>
          <w:szCs w:val="22"/>
        </w:rPr>
        <w:t xml:space="preserve">Dropdowns: 260px min-width, 1.5px solid Ink border, 5px flat box-shadow</w:t>
      </w:r>
    </w:p>
    <w:p>
      <w:pPr>
        <w:pStyle w:val="ListParagraph"/>
        <w:numPr>
          <w:ilvl w:val="0"/>
          <w:numId w:val="2"/>
        </w:numPr>
        <w:spacing w:after="40" w:before="40"/>
      </w:pPr>
      <w:r>
        <w:rPr>
          <w:rFonts w:ascii="Arial" w:cs="Arial" w:eastAsia="Arial" w:hAnsi="Arial"/>
          <w:color w:val="1A1410"/>
          <w:sz w:val="22"/>
          <w:szCs w:val="22"/>
        </w:rPr>
        <w:t xml:space="preserve">Home is always the first nav item</w:t>
      </w:r>
    </w:p>
    <w:p>
      <w:pPr>
        <w:pStyle w:val="ListParagraph"/>
        <w:numPr>
          <w:ilvl w:val="0"/>
          <w:numId w:val="2"/>
        </w:numPr>
        <w:spacing w:after="40" w:before="40"/>
      </w:pPr>
      <w:r>
        <w:rPr>
          <w:rFonts w:ascii="Arial" w:cs="Arial" w:eastAsia="Arial" w:hAnsi="Arial"/>
          <w:color w:val="1A1410"/>
          <w:sz w:val="22"/>
          <w:szCs w:val="22"/>
        </w:rPr>
        <w:t xml:space="preserve">Give button appears in the masthead actions area, not in the nav</w:t>
      </w:r>
    </w:p>
    <w:p>
      <w:pPr>
        <w:spacing w:after="120" w:before="0"/>
      </w:pPr>
    </w:p>
    <w:p>
      <w:pPr>
        <w:pStyle w:val="Heading2"/>
        <w:spacing w:after="120" w:before="320"/>
      </w:pPr>
      <w:r>
        <w:rPr>
          <w:rFonts w:ascii="Arial" w:cs="Arial" w:eastAsia="Arial" w:hAnsi="Arial"/>
          <w:b/>
          <w:bCs/>
          <w:color w:val="E26A1F"/>
          <w:sz w:val="28"/>
          <w:szCs w:val="28"/>
        </w:rPr>
        <w:t xml:space="preserve">Accessibility</w:t>
      </w:r>
    </w:p>
    <w:p>
      <w:pPr>
        <w:pStyle w:val="ListParagraph"/>
        <w:numPr>
          <w:ilvl w:val="0"/>
          <w:numId w:val="2"/>
        </w:numPr>
        <w:spacing w:after="40" w:before="40"/>
      </w:pPr>
      <w:r>
        <w:rPr>
          <w:rFonts w:ascii="Arial" w:cs="Arial" w:eastAsia="Arial" w:hAnsi="Arial"/>
          <w:color w:val="1A1410"/>
          <w:sz w:val="22"/>
          <w:szCs w:val="22"/>
        </w:rPr>
        <w:t xml:space="preserve">All images must have alt text or aria-hidden="true" for decorative images</w:t>
      </w:r>
    </w:p>
    <w:p>
      <w:pPr>
        <w:pStyle w:val="ListParagraph"/>
        <w:numPr>
          <w:ilvl w:val="0"/>
          <w:numId w:val="2"/>
        </w:numPr>
        <w:spacing w:after="40" w:before="40"/>
      </w:pPr>
      <w:r>
        <w:rPr>
          <w:rFonts w:ascii="Arial" w:cs="Arial" w:eastAsia="Arial" w:hAnsi="Arial"/>
          <w:color w:val="1A1410"/>
          <w:sz w:val="22"/>
          <w:szCs w:val="22"/>
        </w:rPr>
        <w:t xml:space="preserve">Color is never the sole means of conveying information</w:t>
      </w:r>
    </w:p>
    <w:p>
      <w:pPr>
        <w:pStyle w:val="ListParagraph"/>
        <w:numPr>
          <w:ilvl w:val="0"/>
          <w:numId w:val="2"/>
        </w:numPr>
        <w:spacing w:after="40" w:before="40"/>
      </w:pPr>
      <w:r>
        <w:rPr>
          <w:rFonts w:ascii="Arial" w:cs="Arial" w:eastAsia="Arial" w:hAnsi="Arial"/>
          <w:color w:val="1A1410"/>
          <w:sz w:val="22"/>
          <w:szCs w:val="22"/>
        </w:rPr>
        <w:t xml:space="preserve">Interactive elements have visible focus states</w:t>
      </w:r>
    </w:p>
    <w:p>
      <w:pPr>
        <w:pStyle w:val="ListParagraph"/>
        <w:numPr>
          <w:ilvl w:val="0"/>
          <w:numId w:val="2"/>
        </w:numPr>
        <w:spacing w:after="40" w:before="40"/>
      </w:pPr>
      <w:r>
        <w:rPr>
          <w:rFonts w:ascii="Arial" w:cs="Arial" w:eastAsia="Arial" w:hAnsi="Arial"/>
          <w:color w:val="1A1410"/>
          <w:sz w:val="22"/>
          <w:szCs w:val="22"/>
        </w:rPr>
        <w:t xml:space="preserve">Minimum text contrast ratio: 4.5:1 for body, 3:1 for large text</w:t>
      </w:r>
    </w:p>
    <w:p>
      <w:pPr>
        <w:pStyle w:val="ListParagraph"/>
        <w:numPr>
          <w:ilvl w:val="0"/>
          <w:numId w:val="2"/>
        </w:numPr>
        <w:spacing w:after="40" w:before="40"/>
      </w:pPr>
      <w:r>
        <w:rPr>
          <w:rFonts w:ascii="Arial" w:cs="Arial" w:eastAsia="Arial" w:hAnsi="Arial"/>
          <w:color w:val="1A1410"/>
          <w:sz w:val="22"/>
          <w:szCs w:val="22"/>
        </w:rPr>
        <w:t xml:space="preserve">Mobile nav overlay is fully keyboard navigable</w:t>
      </w:r>
    </w:p>
    <w:p>
      <w:pPr>
        <w:spacing w:after="120" w:before="0"/>
      </w:pPr>
    </w:p>
    <w:p>
      <w:pPr>
        <w:pStyle w:val="Heading2"/>
        <w:spacing w:after="120" w:before="320"/>
      </w:pPr>
      <w:r>
        <w:rPr>
          <w:rFonts w:ascii="Arial" w:cs="Arial" w:eastAsia="Arial" w:hAnsi="Arial"/>
          <w:b/>
          <w:bCs/>
          <w:color w:val="E26A1F"/>
          <w:sz w:val="28"/>
          <w:szCs w:val="28"/>
        </w:rPr>
        <w:t xml:space="preserve">Performance</w:t>
      </w:r>
    </w:p>
    <w:p>
      <w:pPr>
        <w:pStyle w:val="ListParagraph"/>
        <w:numPr>
          <w:ilvl w:val="0"/>
          <w:numId w:val="2"/>
        </w:numPr>
        <w:spacing w:after="40" w:before="40"/>
      </w:pPr>
      <w:r>
        <w:rPr>
          <w:rFonts w:ascii="Arial" w:cs="Arial" w:eastAsia="Arial" w:hAnsi="Arial"/>
          <w:color w:val="1A1410"/>
          <w:sz w:val="22"/>
          <w:szCs w:val="22"/>
        </w:rPr>
        <w:t xml:space="preserve">Non-hero images use loading="lazy"</w:t>
      </w:r>
    </w:p>
    <w:p>
      <w:pPr>
        <w:pStyle w:val="ListParagraph"/>
        <w:numPr>
          <w:ilvl w:val="0"/>
          <w:numId w:val="2"/>
        </w:numPr>
        <w:spacing w:after="40" w:before="40"/>
      </w:pPr>
      <w:r>
        <w:rPr>
          <w:rFonts w:ascii="Arial" w:cs="Arial" w:eastAsia="Arial" w:hAnsi="Arial"/>
          <w:color w:val="1A1410"/>
          <w:sz w:val="22"/>
          <w:szCs w:val="22"/>
        </w:rPr>
        <w:t xml:space="preserve">Google Translate script loads async</w:t>
      </w:r>
    </w:p>
    <w:p>
      <w:pPr>
        <w:pStyle w:val="ListParagraph"/>
        <w:numPr>
          <w:ilvl w:val="0"/>
          <w:numId w:val="2"/>
        </w:numPr>
        <w:spacing w:after="40" w:before="40"/>
      </w:pPr>
      <w:r>
        <w:rPr>
          <w:rFonts w:ascii="Arial" w:cs="Arial" w:eastAsia="Arial" w:hAnsi="Arial"/>
          <w:color w:val="1A1410"/>
          <w:sz w:val="22"/>
          <w:szCs w:val="22"/>
        </w:rPr>
        <w:t xml:space="preserve">Images should be compressed and appropriately sized before upload</w:t>
      </w:r>
    </w:p>
    <w:p>
      <w:pPr>
        <w:pStyle w:val="ListParagraph"/>
        <w:numPr>
          <w:ilvl w:val="0"/>
          <w:numId w:val="2"/>
        </w:numPr>
        <w:spacing w:after="40" w:before="40"/>
      </w:pPr>
      <w:r>
        <w:rPr>
          <w:rFonts w:ascii="Arial" w:cs="Arial" w:eastAsia="Arial" w:hAnsi="Arial"/>
          <w:color w:val="1A1410"/>
          <w:sz w:val="22"/>
          <w:szCs w:val="22"/>
        </w:rPr>
        <w:t xml:space="preserve">Grain overlay uses a fixed-position SVG (grain.js) — do not duplicate</w:t>
      </w:r>
    </w:p>
    <w:p>
      <w:pPr>
        <w:spacing w:after="120" w:before="0"/>
      </w:pPr>
    </w:p>
    <w:p>
      <w:pPr>
        <w:pStyle w:val="Heading1"/>
        <w:pageBreakBefore/>
        <w:spacing w:after="240" w:before="0"/>
      </w:pPr>
      <w:r>
        <w:rPr>
          <w:rFonts w:ascii="Arial" w:cs="Arial" w:eastAsia="Arial" w:hAnsi="Arial"/>
          <w:b/>
          <w:bCs/>
          <w:color w:val="1A1410"/>
          <w:sz w:val="40"/>
          <w:szCs w:val="40"/>
        </w:rPr>
        <w:t xml:space="preserve">9. Imagery Guidelines</w:t>
      </w:r>
    </w:p>
    <w:p>
      <w:pPr>
        <w:pBdr>
          <w:bottom w:val="single" w:color="CCCCCC" w:sz="4" w:space="1"/>
        </w:pBdr>
        <w:spacing w:after="240" w:before="0"/>
      </w:pPr>
    </w:p>
    <w:p>
      <w:pPr>
        <w:pStyle w:val="Heading2"/>
        <w:spacing w:after="120" w:before="320"/>
      </w:pPr>
      <w:r>
        <w:rPr>
          <w:rFonts w:ascii="Arial" w:cs="Arial" w:eastAsia="Arial" w:hAnsi="Arial"/>
          <w:b/>
          <w:bCs/>
          <w:color w:val="E26A1F"/>
          <w:sz w:val="28"/>
          <w:szCs w:val="28"/>
        </w:rPr>
        <w:t xml:space="preserve">Photography</w:t>
      </w:r>
    </w:p>
    <w:p>
      <w:pPr>
        <w:pStyle w:val="ListParagraph"/>
        <w:numPr>
          <w:ilvl w:val="0"/>
          <w:numId w:val="2"/>
        </w:numPr>
        <w:spacing w:after="40" w:before="40"/>
      </w:pPr>
      <w:r>
        <w:rPr>
          <w:rFonts w:ascii="Arial" w:cs="Arial" w:eastAsia="Arial" w:hAnsi="Arial"/>
          <w:color w:val="1A1410"/>
          <w:sz w:val="22"/>
          <w:szCs w:val="22"/>
        </w:rPr>
        <w:t xml:space="preserve">Authentic community photography preferred over stock images</w:t>
      </w:r>
    </w:p>
    <w:p>
      <w:pPr>
        <w:pStyle w:val="ListParagraph"/>
        <w:numPr>
          <w:ilvl w:val="0"/>
          <w:numId w:val="2"/>
        </w:numPr>
        <w:spacing w:after="40" w:before="40"/>
      </w:pPr>
      <w:r>
        <w:rPr>
          <w:rFonts w:ascii="Arial" w:cs="Arial" w:eastAsia="Arial" w:hAnsi="Arial"/>
          <w:color w:val="1A1410"/>
          <w:sz w:val="22"/>
          <w:szCs w:val="22"/>
        </w:rPr>
        <w:t xml:space="preserve">Images should reflect the full diversity of Monroe families</w:t>
      </w:r>
    </w:p>
    <w:p>
      <w:pPr>
        <w:pStyle w:val="ListParagraph"/>
        <w:numPr>
          <w:ilvl w:val="0"/>
          <w:numId w:val="2"/>
        </w:numPr>
        <w:spacing w:after="40" w:before="40"/>
      </w:pPr>
      <w:r>
        <w:rPr>
          <w:rFonts w:ascii="Arial" w:cs="Arial" w:eastAsia="Arial" w:hAnsi="Arial"/>
          <w:color w:val="1A1410"/>
          <w:sz w:val="22"/>
          <w:szCs w:val="22"/>
        </w:rPr>
        <w:t xml:space="preserve">Warm, natural lighting — avoid cold or overly clinical looks</w:t>
      </w:r>
    </w:p>
    <w:p>
      <w:pPr>
        <w:pStyle w:val="ListParagraph"/>
        <w:numPr>
          <w:ilvl w:val="0"/>
          <w:numId w:val="2"/>
        </w:numPr>
        <w:spacing w:after="40" w:before="40"/>
      </w:pPr>
      <w:r>
        <w:rPr>
          <w:rFonts w:ascii="Arial" w:cs="Arial" w:eastAsia="Arial" w:hAnsi="Arial"/>
          <w:color w:val="1A1410"/>
          <w:sz w:val="22"/>
          <w:szCs w:val="22"/>
        </w:rPr>
        <w:t xml:space="preserve">Candid moments over posed — community energy over performance</w:t>
      </w:r>
    </w:p>
    <w:p>
      <w:pPr>
        <w:pStyle w:val="ListParagraph"/>
        <w:numPr>
          <w:ilvl w:val="0"/>
          <w:numId w:val="2"/>
        </w:numPr>
        <w:spacing w:after="40" w:before="40"/>
      </w:pPr>
      <w:r>
        <w:rPr>
          <w:rFonts w:ascii="Arial" w:cs="Arial" w:eastAsia="Arial" w:hAnsi="Arial"/>
          <w:color w:val="1A1410"/>
          <w:sz w:val="22"/>
          <w:szCs w:val="22"/>
        </w:rPr>
        <w:t xml:space="preserve">When student images are used, ensure proper media release consent</w:t>
      </w:r>
    </w:p>
    <w:p>
      <w:pPr>
        <w:spacing w:after="120" w:before="0"/>
      </w:pPr>
    </w:p>
    <w:p>
      <w:pPr>
        <w:pStyle w:val="Heading2"/>
        <w:spacing w:after="120" w:before="320"/>
      </w:pPr>
      <w:r>
        <w:rPr>
          <w:rFonts w:ascii="Arial" w:cs="Arial" w:eastAsia="Arial" w:hAnsi="Arial"/>
          <w:b/>
          <w:bCs/>
          <w:color w:val="E26A1F"/>
          <w:sz w:val="28"/>
          <w:szCs w:val="28"/>
        </w:rPr>
        <w:t xml:space="preserve">Illustrations &amp; Icons</w:t>
      </w:r>
    </w:p>
    <w:p>
      <w:pPr>
        <w:pStyle w:val="ListParagraph"/>
        <w:numPr>
          <w:ilvl w:val="0"/>
          <w:numId w:val="2"/>
        </w:numPr>
        <w:spacing w:after="40" w:before="40"/>
      </w:pPr>
      <w:r>
        <w:rPr>
          <w:rFonts w:ascii="Arial" w:cs="Arial" w:eastAsia="Arial" w:hAnsi="Arial"/>
          <w:color w:val="1A1410"/>
          <w:sz w:val="22"/>
          <w:szCs w:val="22"/>
        </w:rPr>
        <w:t xml:space="preserve">Butterfly motifs: black silhouette, can be tinted to brand colors via CSS filter</w:t>
      </w:r>
    </w:p>
    <w:p>
      <w:pPr>
        <w:pStyle w:val="ListParagraph"/>
        <w:numPr>
          <w:ilvl w:val="0"/>
          <w:numId w:val="2"/>
        </w:numPr>
        <w:spacing w:after="40" w:before="40"/>
      </w:pPr>
      <w:r>
        <w:rPr>
          <w:rFonts w:ascii="Arial" w:cs="Arial" w:eastAsia="Arial" w:hAnsi="Arial"/>
          <w:color w:val="1A1410"/>
          <w:sz w:val="22"/>
          <w:szCs w:val="22"/>
        </w:rPr>
        <w:t xml:space="preserve">Cultural patterns (Chinese lattice) used as subtle texture only</w:t>
      </w:r>
    </w:p>
    <w:p>
      <w:pPr>
        <w:pStyle w:val="ListParagraph"/>
        <w:numPr>
          <w:ilvl w:val="0"/>
          <w:numId w:val="2"/>
        </w:numPr>
        <w:spacing w:after="40" w:before="40"/>
      </w:pPr>
      <w:r>
        <w:rPr>
          <w:rFonts w:ascii="Arial" w:cs="Arial" w:eastAsia="Arial" w:hAnsi="Arial"/>
          <w:color w:val="1A1410"/>
          <w:sz w:val="22"/>
          <w:szCs w:val="22"/>
        </w:rPr>
        <w:t xml:space="preserve">Icons: thin-stroke, consistent weight — avoid filled or cartoonish styles</w:t>
      </w:r>
    </w:p>
    <w:p>
      <w:pPr>
        <w:pStyle w:val="ListParagraph"/>
        <w:numPr>
          <w:ilvl w:val="0"/>
          <w:numId w:val="2"/>
        </w:numPr>
        <w:spacing w:after="40" w:before="40"/>
      </w:pPr>
      <w:r>
        <w:rPr>
          <w:rFonts w:ascii="Arial" w:cs="Arial" w:eastAsia="Arial" w:hAnsi="Arial"/>
          <w:color w:val="1A1410"/>
          <w:sz w:val="22"/>
          <w:szCs w:val="22"/>
        </w:rPr>
        <w:t xml:space="preserve">All decorative images must include aria-hidden="true"</w:t>
      </w:r>
    </w:p>
    <w:p>
      <w:pPr>
        <w:spacing w:after="120" w:before="0"/>
      </w:pPr>
    </w:p>
    <w:p>
      <w:pPr>
        <w:pStyle w:val="Heading2"/>
        <w:spacing w:after="120" w:before="320"/>
      </w:pPr>
      <w:r>
        <w:rPr>
          <w:rFonts w:ascii="Arial" w:cs="Arial" w:eastAsia="Arial" w:hAnsi="Arial"/>
          <w:b/>
          <w:bCs/>
          <w:color w:val="E26A1F"/>
          <w:sz w:val="28"/>
          <w:szCs w:val="28"/>
        </w:rPr>
        <w:t xml:space="preserve">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1A1410" w:sz="1"/>
              <w:left w:val="single" w:color="1A1410" w:sz="1"/>
              <w:bottom w:val="single" w:color="1A1410" w:sz="1"/>
              <w:right w:val="single" w:color="1A1410" w:sz="1"/>
            </w:tcBorders>
            <w:shd w:fill="4D8C5C" w:val="clear"/>
            <w:tcMar>
              <w:top w:type="dxa" w:w="80"/>
              <w:left w:type="dxa" w:w="140"/>
              <w:bottom w:type="dxa" w:w="80"/>
              <w:right w:type="dxa" w:w="140"/>
            </w:tcMar>
          </w:tcPr>
          <w:p>
            <w:r>
              <w:rPr>
                <w:rFonts w:ascii="Arial" w:cs="Arial" w:eastAsia="Arial" w:hAnsi="Arial"/>
                <w:b/>
                <w:bCs/>
                <w:color w:val="FFFFFF"/>
                <w:sz w:val="20"/>
                <w:szCs w:val="20"/>
              </w:rPr>
              <w:t xml:space="preserve">DO</w:t>
            </w:r>
          </w:p>
        </w:tc>
        <w:tc>
          <w:tcPr>
            <w:tcW w:type="dxa" w:w="4800"/>
            <w:tcBorders>
              <w:top w:val="single" w:color="1A1410" w:sz="1"/>
              <w:left w:val="single" w:color="1A1410" w:sz="1"/>
              <w:bottom w:val="single" w:color="1A1410" w:sz="1"/>
              <w:right w:val="single" w:color="1A1410" w:sz="1"/>
            </w:tcBorders>
            <w:shd w:fill="D8392E" w:val="clear"/>
            <w:tcMar>
              <w:top w:type="dxa" w:w="80"/>
              <w:left w:type="dxa" w:w="140"/>
              <w:bottom w:type="dxa" w:w="80"/>
              <w:right w:type="dxa" w:w="140"/>
            </w:tcMar>
          </w:tcPr>
          <w:p>
            <w:r>
              <w:rPr>
                <w:rFonts w:ascii="Arial" w:cs="Arial" w:eastAsia="Arial" w:hAnsi="Arial"/>
                <w:b/>
                <w:bCs/>
                <w:color w:val="FFFFFF"/>
                <w:sz w:val="20"/>
                <w:szCs w:val="20"/>
              </w:rPr>
              <w:t xml:space="preserve">DON'T</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authentic photos of Monroe students and families</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generic stock photography of children</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Show diversity across race, family structure, ability</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Default to imagery that centers white, nuclear families</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Use images that are warm and community-centered</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Use clinical, institutional, or test-focused imagery</w:t>
            </w:r>
          </w:p>
        </w:tc>
      </w:tr>
      <w:tr>
        <w:tc>
          <w:tcPr>
            <w:tcW w:type="dxa" w:w="4560"/>
            <w:tcBorders>
              <w:top w:val="single" w:color="4D8C5C" w:sz="1"/>
              <w:left w:val="single" w:color="4D8C5C" w:sz="1"/>
              <w:bottom w:val="single" w:color="4D8C5C" w:sz="1"/>
              <w:right w:val="single" w:color="4D8C5C" w:sz="1"/>
            </w:tcBorders>
            <w:shd w:fill="F0FAF3" w:val="clear"/>
            <w:tcMar>
              <w:top w:type="dxa" w:w="100"/>
              <w:left w:type="dxa" w:w="140"/>
              <w:bottom w:type="dxa" w:w="100"/>
              <w:right w:type="dxa" w:w="140"/>
            </w:tcMar>
          </w:tcPr>
          <w:p>
            <w:r>
              <w:rPr>
                <w:rFonts w:ascii="Arial" w:cs="Arial" w:eastAsia="Arial" w:hAnsi="Arial"/>
                <w:b/>
                <w:bCs/>
                <w:color w:val="4D8C5C"/>
                <w:sz w:val="20"/>
                <w:szCs w:val="20"/>
              </w:rPr>
              <w:t xml:space="preserve">✓  </w:t>
            </w:r>
            <w:r>
              <w:rPr>
                <w:rFonts w:ascii="Arial" w:cs="Arial" w:eastAsia="Arial" w:hAnsi="Arial"/>
                <w:color w:val="1A1410"/>
                <w:sz w:val="20"/>
                <w:szCs w:val="20"/>
              </w:rPr>
              <w:t xml:space="preserve">Scale decorative motifs to complement content</w:t>
            </w:r>
          </w:p>
        </w:tc>
        <w:tc>
          <w:tcPr>
            <w:tcW w:type="dxa" w:w="4800"/>
            <w:tcBorders>
              <w:top w:val="single" w:color="D8392E" w:sz="1"/>
              <w:left w:val="single" w:color="D8392E" w:sz="1"/>
              <w:bottom w:val="single" w:color="D8392E" w:sz="1"/>
              <w:right w:val="single" w:color="D8392E" w:sz="1"/>
            </w:tcBorders>
            <w:shd w:fill="FFF0EF" w:val="clear"/>
            <w:tcMar>
              <w:top w:type="dxa" w:w="100"/>
              <w:left w:type="dxa" w:w="140"/>
              <w:bottom w:type="dxa" w:w="100"/>
              <w:right w:type="dxa" w:w="140"/>
            </w:tcMar>
          </w:tcPr>
          <w:p>
            <w:r>
              <w:rPr>
                <w:rFonts w:ascii="Arial" w:cs="Arial" w:eastAsia="Arial" w:hAnsi="Arial"/>
                <w:b/>
                <w:bCs/>
                <w:color w:val="D8392E"/>
                <w:sz w:val="20"/>
                <w:szCs w:val="20"/>
              </w:rPr>
              <w:t xml:space="preserve">✗  </w:t>
            </w:r>
            <w:r>
              <w:rPr>
                <w:rFonts w:ascii="Arial" w:cs="Arial" w:eastAsia="Arial" w:hAnsi="Arial"/>
                <w:color w:val="1A1410"/>
                <w:sz w:val="20"/>
                <w:szCs w:val="20"/>
              </w:rPr>
              <w:t xml:space="preserve">Let decorative elements overpower or distract from content</w:t>
            </w:r>
          </w:p>
        </w:tc>
      </w:tr>
    </w:tbl>
    <w:p>
      <w:pPr>
        <w:spacing w:after="120" w:before="0"/>
      </w:pPr>
    </w:p>
    <w:p>
      <w:pPr>
        <w:pStyle w:val="Heading1"/>
        <w:pageBreakBefore/>
        <w:spacing w:after="240" w:before="0"/>
      </w:pPr>
      <w:r>
        <w:rPr>
          <w:rFonts w:ascii="Arial" w:cs="Arial" w:eastAsia="Arial" w:hAnsi="Arial"/>
          <w:b/>
          <w:bCs/>
          <w:color w:val="1A1410"/>
          <w:sz w:val="40"/>
          <w:szCs w:val="40"/>
        </w:rPr>
        <w:t xml:space="preserve">10. Quick Reference Card</w:t>
      </w:r>
    </w:p>
    <w:p>
      <w:pPr>
        <w:pBdr>
          <w:bottom w:val="single" w:color="CCCCCC" w:sz="4"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School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Monroe Elementary School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Tagline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"We take care of each other."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Address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260 Madrid Street, San Francisco, CA 94112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Phone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(415) 469-4736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District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San Francisco Unified School District (SFUSD)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Languages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English · Español · 中文</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Primary Font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Outfit (Google Fonts), weights 300–900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Chinese Font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ZCOOL XiaoWei / Noto Serif 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Brand Orange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#E26A1F (--monarch)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Dark/Ink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#1A1410 (--ink)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Background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#FDF8F2 (--cream)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Primary CTA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Monarch Orange button, flat 3–4px ink shadow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Hover pattern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Translate 2px, shadow collapses; or color → Monarch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Border style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1.5px solid #1A1410 (or rgba at reduced opacity)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410"/>
                <w:sz w:val="20"/>
                <w:szCs w:val="20"/>
              </w:rPr>
              <w:t xml:space="preserve">Shadow style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410"/>
                <w:sz w:val="20"/>
                <w:szCs w:val="20"/>
              </w:rPr>
              <w:t xml:space="preserve">Flat offset, no blur — 3–5px X/Y, ink color</w:t>
            </w:r>
          </w:p>
        </w:tc>
      </w:tr>
    </w:tbl>
    <w:p>
      <w:pPr>
        <w:spacing w:after="120" w:before="0"/>
      </w:pPr>
    </w:p>
    <w:p>
      <w:pPr>
        <w:spacing w:after="120" w:before="0"/>
      </w:pPr>
    </w:p>
    <w:p>
      <w:pPr>
        <w:jc w:val="center"/>
      </w:pPr>
      <w:r>
        <w:rPr>
          <w:rFonts w:ascii="Arial" w:cs="Arial" w:eastAsia="Arial" w:hAnsi="Arial"/>
          <w:color w:val="999999"/>
          <w:sz w:val="18"/>
          <w:szCs w:val="18"/>
        </w:rPr>
        <w:t xml:space="preserve">Monroe Elementary · Brand Guidelines ·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888888"/>
        <w:sz w:val="18"/>
        <w:szCs w:val="18"/>
      </w:rPr>
      <w:t xml:space="preserve">Monroe Elementary — Brand Guidelines</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1410"/>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E26A1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4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2026-05-22T03:56:40.658Z</dcterms:created>
  <dcterms:modified xsi:type="dcterms:W3CDTF">2026-05-22T03:56:40.658Z</dcterms:modified>
</cp:coreProperties>
</file>

<file path=docProps/custom.xml><?xml version="1.0" encoding="utf-8"?>
<Properties xmlns="http://schemas.openxmlformats.org/officeDocument/2006/custom-properties" xmlns:vt="http://schemas.openxmlformats.org/officeDocument/2006/docPropsVTypes"/>
</file>