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C2430"/>
          <w:sz w:val="52"/>
        </w:rPr>
        <w:t>Walmart Sales Intelligence</w:t>
      </w:r>
    </w:p>
    <w:p>
      <w:pPr>
        <w:spacing w:after="200"/>
        <w:pBdr>
          <w:bottom w:val="single" w:sz="6" w:color="D5DBE1"/>
        </w:pBdr>
      </w:pPr>
      <w:r>
        <w:rPr>
          <w:b w:val="0"/>
          <w:i w:val="0"/>
          <w:color w:val="626E7B"/>
          <w:sz w:val="24"/>
        </w:rPr>
        <w:t>Eight statistical experiments and a business-impact layer over 421,570 store-department-week sales records</w:t>
      </w:r>
    </w:p>
    <w:p>
      <w:pPr>
        <w:spacing w:after="60"/>
      </w:pPr>
      <w:r>
        <w:rPr>
          <w:b/>
        </w:rPr>
        <w:t xml:space="preserve">Live dashboard  </w:t>
      </w:r>
      <w:hyperlink r:id="rId9">
        <w:r>
          <w:rPr>
            <w:color w:val="2F6D9E"/>
            <w:u w:val="single"/>
          </w:rPr>
          <w:t>https://jeet-1236.github.io/walmart-sales-intelligence/</w:t>
        </w:r>
      </w:hyperlink>
    </w:p>
    <w:p>
      <w:pPr>
        <w:spacing w:after="60"/>
      </w:pPr>
      <w:r>
        <w:rPr>
          <w:b/>
        </w:rPr>
        <w:t xml:space="preserve">Source and code  </w:t>
      </w:r>
      <w:hyperlink r:id="rId10">
        <w:r>
          <w:rPr>
            <w:color w:val="2F6D9E"/>
            <w:u w:val="single"/>
          </w:rPr>
          <w:t>https://github.com/jeet-1236/walmart-sales-intelligence</w:t>
        </w:r>
      </w:hyperlink>
    </w:p>
    <w:p>
      <w:pPr>
        <w:spacing w:after="280"/>
      </w:pPr>
      <w:r>
        <w:rPr>
          <w:b w:val="0"/>
          <w:i w:val="0"/>
          <w:color w:val="626E7B"/>
          <w:sz w:val="19"/>
        </w:rPr>
        <w:t>Both are public. The dashboard opens in any browser with no sign-in and nothing to install; the repository holds the analysis pipeline, the computed tables and this document.</w:t>
      </w:r>
    </w:p>
    <w:tbl>
      <w:tblPr>
        <w:tblStyle w:val="TableGrid"/>
        <w:tblW w:type="auto" w:w="0"/>
        <w:jc w:val="center"/>
        <w:tblLayout w:type="fixed"/>
        <w:tblLook w:firstColumn="1" w:firstRow="1" w:lastColumn="0" w:lastRow="0" w:noHBand="0" w:noVBand="1" w:val="04A0"/>
      </w:tblPr>
      <w:tblGrid>
        <w:gridCol w:w="4824"/>
        <w:gridCol w:w="4824"/>
      </w:tblGrid>
      <w:tr>
        <w:tc>
          <w:tcPr>
            <w:tcW w:type="dxa" w:w="2588"/>
            <w:shd w:val="clear" w:fill="EEF3F8"/>
          </w:tcPr>
          <w:p>
            <w:pPr>
              <w:spacing w:after="20"/>
            </w:pPr>
            <w:r/>
            <w:r>
              <w:rPr>
                <w:b/>
                <w:sz w:val="18"/>
              </w:rPr>
              <w:t>Dataset</w:t>
            </w:r>
          </w:p>
        </w:tc>
        <w:tc>
          <w:tcPr>
            <w:tcW w:type="dxa" w:w="7060"/>
            <w:shd w:val="clear" w:fill="EEF3F8"/>
          </w:tcPr>
          <w:p>
            <w:pPr>
              <w:spacing w:after="20"/>
            </w:pPr>
            <w:r/>
            <w:r>
              <w:rPr>
                <w:b/>
                <w:sz w:val="18"/>
              </w:rPr>
              <w:t>Walmart Store Sales Forecasting (train, stores, features)</w:t>
            </w:r>
          </w:p>
        </w:tc>
      </w:tr>
      <w:tr>
        <w:tc>
          <w:tcPr>
            <w:tcW w:type="dxa" w:w="2588"/>
          </w:tcPr>
          <w:p>
            <w:pPr>
              <w:spacing w:after="20"/>
            </w:pPr>
            <w:r/>
            <w:r>
              <w:rPr>
                <w:sz w:val="18"/>
              </w:rPr>
              <w:t>Grain</w:t>
            </w:r>
          </w:p>
        </w:tc>
        <w:tc>
          <w:tcPr>
            <w:tcW w:type="dxa" w:w="7060"/>
          </w:tcPr>
          <w:p>
            <w:pPr>
              <w:spacing w:after="20"/>
            </w:pPr>
            <w:r/>
            <w:r>
              <w:rPr>
                <w:sz w:val="18"/>
              </w:rPr>
              <w:t>one row per store, department and week</w:t>
            </w:r>
          </w:p>
        </w:tc>
      </w:tr>
      <w:tr>
        <w:tc>
          <w:tcPr>
            <w:tcW w:type="dxa" w:w="2588"/>
          </w:tcPr>
          <w:p>
            <w:pPr>
              <w:spacing w:after="20"/>
            </w:pPr>
            <w:r/>
            <w:r>
              <w:rPr>
                <w:sz w:val="18"/>
              </w:rPr>
              <w:t>Records</w:t>
            </w:r>
          </w:p>
        </w:tc>
        <w:tc>
          <w:tcPr>
            <w:tcW w:type="dxa" w:w="7060"/>
          </w:tcPr>
          <w:p>
            <w:pPr>
              <w:spacing w:after="20"/>
              <w:jc w:val="right"/>
            </w:pPr>
            <w:r/>
            <w:r>
              <w:rPr>
                <w:sz w:val="18"/>
              </w:rPr>
              <w:t>421,570</w:t>
            </w:r>
          </w:p>
        </w:tc>
      </w:tr>
      <w:tr>
        <w:tc>
          <w:tcPr>
            <w:tcW w:type="dxa" w:w="2588"/>
          </w:tcPr>
          <w:p>
            <w:pPr>
              <w:spacing w:after="20"/>
            </w:pPr>
            <w:r/>
            <w:r>
              <w:rPr>
                <w:sz w:val="18"/>
              </w:rPr>
              <w:t>Stores / departments</w:t>
            </w:r>
          </w:p>
        </w:tc>
        <w:tc>
          <w:tcPr>
            <w:tcW w:type="dxa" w:w="7060"/>
          </w:tcPr>
          <w:p>
            <w:pPr>
              <w:spacing w:after="20"/>
              <w:jc w:val="right"/>
            </w:pPr>
            <w:r/>
            <w:r>
              <w:rPr>
                <w:sz w:val="18"/>
              </w:rPr>
              <w:t>45 stores, 81 departments</w:t>
            </w:r>
          </w:p>
        </w:tc>
      </w:tr>
      <w:tr>
        <w:tc>
          <w:tcPr>
            <w:tcW w:type="dxa" w:w="2588"/>
          </w:tcPr>
          <w:p>
            <w:pPr>
              <w:spacing w:after="20"/>
            </w:pPr>
            <w:r/>
            <w:r>
              <w:rPr>
                <w:sz w:val="18"/>
              </w:rPr>
              <w:t>Period</w:t>
            </w:r>
          </w:p>
        </w:tc>
        <w:tc>
          <w:tcPr>
            <w:tcW w:type="dxa" w:w="7060"/>
          </w:tcPr>
          <w:p>
            <w:pPr>
              <w:spacing w:after="20"/>
              <w:jc w:val="right"/>
            </w:pPr>
            <w:r/>
            <w:r>
              <w:rPr>
                <w:sz w:val="18"/>
              </w:rPr>
              <w:t>5 February 2010 to 26 October 2012 (143 weeks)</w:t>
            </w:r>
          </w:p>
        </w:tc>
      </w:tr>
      <w:tr>
        <w:tc>
          <w:tcPr>
            <w:tcW w:type="dxa" w:w="2588"/>
          </w:tcPr>
          <w:p>
            <w:pPr>
              <w:spacing w:after="20"/>
            </w:pPr>
            <w:r/>
            <w:r>
              <w:rPr>
                <w:sz w:val="18"/>
              </w:rPr>
              <w:t>Total revenue</w:t>
            </w:r>
          </w:p>
        </w:tc>
        <w:tc>
          <w:tcPr>
            <w:tcW w:type="dxa" w:w="7060"/>
          </w:tcPr>
          <w:p>
            <w:pPr>
              <w:spacing w:after="20"/>
              <w:jc w:val="right"/>
            </w:pPr>
            <w:r/>
            <w:r>
              <w:rPr>
                <w:sz w:val="18"/>
              </w:rPr>
              <w:t>$6.74B</w:t>
            </w:r>
          </w:p>
        </w:tc>
      </w:tr>
      <w:tr>
        <w:tc>
          <w:tcPr>
            <w:tcW w:type="dxa" w:w="2588"/>
          </w:tcPr>
          <w:p>
            <w:pPr>
              <w:spacing w:after="20"/>
            </w:pPr>
            <w:r/>
            <w:r>
              <w:rPr>
                <w:sz w:val="18"/>
              </w:rPr>
              <w:t>Tools</w:t>
            </w:r>
          </w:p>
        </w:tc>
        <w:tc>
          <w:tcPr>
            <w:tcW w:type="dxa" w:w="7060"/>
          </w:tcPr>
          <w:p>
            <w:pPr>
              <w:spacing w:after="20"/>
            </w:pPr>
            <w:r/>
            <w:r>
              <w:rPr>
                <w:sz w:val="18"/>
              </w:rPr>
              <w:t>Python (pandas, NumPy, SciPy, scikit-learn), D3, Streamlit</w:t>
            </w:r>
          </w:p>
        </w:tc>
      </w:tr>
    </w:tbl>
    <w:p>
      <w:pPr>
        <w:spacing w:after="40"/>
      </w:pPr>
    </w:p>
    <w:p>
      <w:r>
        <w:br w:type="page"/>
      </w:r>
    </w:p>
    <w:p>
      <w:pPr>
        <w:pStyle w:val="Heading1"/>
      </w:pPr>
      <w:r>
        <w:t>Contents</w:t>
      </w:r>
    </w:p>
    <w:p>
      <w:pPr>
        <w:spacing w:after="60"/>
      </w:pPr>
      <w:r>
        <w:rPr>
          <w:sz w:val="21"/>
        </w:rPr>
        <w:t>1.  Summary</w:t>
      </w:r>
    </w:p>
    <w:p>
      <w:pPr>
        <w:spacing w:after="60"/>
      </w:pPr>
      <w:r>
        <w:rPr>
          <w:sz w:val="21"/>
        </w:rPr>
        <w:t>2.  The dataset and how it was built</w:t>
      </w:r>
    </w:p>
    <w:p>
      <w:pPr>
        <w:spacing w:after="60"/>
      </w:pPr>
      <w:r>
        <w:rPr>
          <w:sz w:val="21"/>
        </w:rPr>
        <w:t>3.  Exploratory data analysis</w:t>
      </w:r>
    </w:p>
    <w:p>
      <w:pPr>
        <w:spacing w:after="60"/>
      </w:pPr>
      <w:r>
        <w:rPr>
          <w:sz w:val="21"/>
        </w:rPr>
        <w:t>4.  The eight experiments</w:t>
      </w:r>
    </w:p>
    <w:p>
      <w:pPr>
        <w:spacing w:after="60"/>
      </w:pPr>
      <w:r>
        <w:rPr>
          <w:sz w:val="21"/>
        </w:rPr>
        <w:t>5.  Business impact</w:t>
      </w:r>
    </w:p>
    <w:p>
      <w:pPr>
        <w:spacing w:after="60"/>
      </w:pPr>
      <w:r>
        <w:rPr>
          <w:sz w:val="21"/>
        </w:rPr>
        <w:t>6.  Limitations</w:t>
      </w:r>
    </w:p>
    <w:p>
      <w:pPr>
        <w:spacing w:after="60"/>
      </w:pPr>
      <w:r>
        <w:rPr>
          <w:sz w:val="21"/>
        </w:rPr>
        <w:t>7.  Reproducing this work</w:t>
      </w:r>
    </w:p>
    <w:p>
      <w:pPr>
        <w:spacing w:after="60"/>
      </w:pPr>
      <w:r>
        <w:rPr>
          <w:sz w:val="21"/>
        </w:rPr>
        <w:t>A.  Appendix: full column profile</w:t>
      </w:r>
    </w:p>
    <w:p>
      <w:pPr>
        <w:pStyle w:val="Heading1"/>
      </w:pPr>
      <w:r>
        <w:t>1.  Summary</w:t>
      </w:r>
    </w:p>
    <w:p>
      <w:r>
        <w:rPr>
          <w:b w:val="0"/>
          <w:i w:val="0"/>
        </w:rPr>
        <w:t>This chain turned over $6.74B across 143 weeks, 45 stores and 81 departments. Almost none of that movement is the economy. It is the calendar and the store itself: a regression on temperature, fuel price, CPI and unemployment explains 0.17% of the variance in weekly sales, while floor space alone carries most of what can be explained.</w:t>
      </w:r>
    </w:p>
    <w:p>
      <w:pPr>
        <w:pStyle w:val="Heading2"/>
      </w:pPr>
      <w:r>
        <w:t>Headline figures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037"/>
            <w:shd w:val="clear" w:fill="EEF3F8"/>
          </w:tcPr>
          <w:p>
            <w:pPr>
              <w:spacing w:after="20"/>
            </w:pPr>
            <w:r/>
            <w:r>
              <w:rPr>
                <w:b/>
                <w:sz w:val="18"/>
              </w:rPr>
              <w:t>Measure</w:t>
            </w:r>
          </w:p>
        </w:tc>
        <w:tc>
          <w:tcPr>
            <w:tcW w:type="dxa" w:w="1965"/>
            <w:shd w:val="clear" w:fill="EEF3F8"/>
          </w:tcPr>
          <w:p>
            <w:pPr>
              <w:spacing w:after="20"/>
            </w:pPr>
            <w:r/>
            <w:r>
              <w:rPr>
                <w:b/>
                <w:sz w:val="18"/>
              </w:rPr>
              <w:t>Value</w:t>
            </w:r>
          </w:p>
        </w:tc>
        <w:tc>
          <w:tcPr>
            <w:tcW w:type="dxa" w:w="4645"/>
            <w:shd w:val="clear" w:fill="EEF3F8"/>
          </w:tcPr>
          <w:p>
            <w:pPr>
              <w:spacing w:after="20"/>
            </w:pPr>
            <w:r/>
            <w:r>
              <w:rPr>
                <w:b/>
                <w:sz w:val="18"/>
              </w:rPr>
              <w:t>Note</w:t>
            </w:r>
          </w:p>
        </w:tc>
      </w:tr>
      <w:tr>
        <w:tc>
          <w:tcPr>
            <w:tcW w:type="dxa" w:w="3037"/>
          </w:tcPr>
          <w:p>
            <w:pPr>
              <w:spacing w:after="20"/>
            </w:pPr>
            <w:r/>
            <w:r>
              <w:rPr>
                <w:sz w:val="18"/>
              </w:rPr>
              <w:t>Total revenue</w:t>
            </w:r>
          </w:p>
        </w:tc>
        <w:tc>
          <w:tcPr>
            <w:tcW w:type="dxa" w:w="1965"/>
          </w:tcPr>
          <w:p>
            <w:pPr>
              <w:spacing w:after="20"/>
              <w:jc w:val="right"/>
            </w:pPr>
            <w:r/>
            <w:r>
              <w:rPr>
                <w:sz w:val="18"/>
              </w:rPr>
              <w:t>$6.74B</w:t>
            </w:r>
          </w:p>
        </w:tc>
        <w:tc>
          <w:tcPr>
            <w:tcW w:type="dxa" w:w="4645"/>
          </w:tcPr>
          <w:p>
            <w:pPr>
              <w:spacing w:after="20"/>
              <w:jc w:val="right"/>
            </w:pPr>
            <w:r/>
            <w:r>
              <w:rPr>
                <w:sz w:val="18"/>
              </w:rPr>
              <w:t>143 weeks, all stores</w:t>
            </w:r>
          </w:p>
        </w:tc>
      </w:tr>
      <w:tr>
        <w:tc>
          <w:tcPr>
            <w:tcW w:type="dxa" w:w="3037"/>
          </w:tcPr>
          <w:p>
            <w:pPr>
              <w:spacing w:after="20"/>
            </w:pPr>
            <w:r/>
            <w:r>
              <w:rPr>
                <w:sz w:val="18"/>
              </w:rPr>
              <w:t>Average week, chain-wide</w:t>
            </w:r>
          </w:p>
        </w:tc>
        <w:tc>
          <w:tcPr>
            <w:tcW w:type="dxa" w:w="1965"/>
          </w:tcPr>
          <w:p>
            <w:pPr>
              <w:spacing w:after="20"/>
              <w:jc w:val="right"/>
            </w:pPr>
            <w:r/>
            <w:r>
              <w:rPr>
                <w:sz w:val="18"/>
              </w:rPr>
              <w:t>$47.1M</w:t>
            </w:r>
          </w:p>
        </w:tc>
        <w:tc>
          <w:tcPr>
            <w:tcW w:type="dxa" w:w="4645"/>
          </w:tcPr>
          <w:p>
            <w:pPr>
              <w:spacing w:after="20"/>
            </w:pPr>
            <w:r/>
            <w:r>
              <w:rPr>
                <w:sz w:val="18"/>
              </w:rPr>
            </w:r>
          </w:p>
        </w:tc>
      </w:tr>
      <w:tr>
        <w:tc>
          <w:tcPr>
            <w:tcW w:type="dxa" w:w="3037"/>
          </w:tcPr>
          <w:p>
            <w:pPr>
              <w:spacing w:after="20"/>
            </w:pPr>
            <w:r/>
            <w:r>
              <w:rPr>
                <w:sz w:val="18"/>
              </w:rPr>
              <w:t>Revenue per square foot</w:t>
            </w:r>
          </w:p>
        </w:tc>
        <w:tc>
          <w:tcPr>
            <w:tcW w:type="dxa" w:w="1965"/>
          </w:tcPr>
          <w:p>
            <w:pPr>
              <w:spacing w:after="20"/>
              <w:jc w:val="right"/>
            </w:pPr>
            <w:r/>
            <w:r>
              <w:rPr>
                <w:sz w:val="18"/>
              </w:rPr>
              <w:t>$1,149</w:t>
            </w:r>
          </w:p>
        </w:tc>
        <w:tc>
          <w:tcPr>
            <w:tcW w:type="dxa" w:w="4645"/>
          </w:tcPr>
          <w:p>
            <w:pPr>
              <w:spacing w:after="20"/>
            </w:pPr>
            <w:r/>
            <w:r>
              <w:rPr>
                <w:sz w:val="18"/>
              </w:rPr>
              <w:t>over the whole window</w:t>
            </w:r>
          </w:p>
        </w:tc>
      </w:tr>
      <w:tr>
        <w:tc>
          <w:tcPr>
            <w:tcW w:type="dxa" w:w="3037"/>
          </w:tcPr>
          <w:p>
            <w:pPr>
              <w:spacing w:after="20"/>
            </w:pPr>
            <w:r/>
            <w:r>
              <w:rPr>
                <w:sz w:val="18"/>
              </w:rPr>
              <w:t>Largest week</w:t>
            </w:r>
          </w:p>
        </w:tc>
        <w:tc>
          <w:tcPr>
            <w:tcW w:type="dxa" w:w="1965"/>
          </w:tcPr>
          <w:p>
            <w:pPr>
              <w:spacing w:after="20"/>
              <w:jc w:val="right"/>
            </w:pPr>
            <w:r/>
            <w:r>
              <w:rPr>
                <w:sz w:val="18"/>
              </w:rPr>
              <w:t>$80.9M</w:t>
            </w:r>
          </w:p>
        </w:tc>
        <w:tc>
          <w:tcPr>
            <w:tcW w:type="dxa" w:w="4645"/>
          </w:tcPr>
          <w:p>
            <w:pPr>
              <w:spacing w:after="20"/>
            </w:pPr>
            <w:r/>
            <w:r>
              <w:rPr>
                <w:sz w:val="18"/>
              </w:rPr>
              <w:t>week ending 24 Dec 2010</w:t>
            </w:r>
          </w:p>
        </w:tc>
      </w:tr>
      <w:tr>
        <w:tc>
          <w:tcPr>
            <w:tcW w:type="dxa" w:w="3037"/>
          </w:tcPr>
          <w:p>
            <w:pPr>
              <w:spacing w:after="20"/>
            </w:pPr>
            <w:r/>
            <w:r>
              <w:rPr>
                <w:sz w:val="18"/>
              </w:rPr>
              <w:t>Quietest week</w:t>
            </w:r>
          </w:p>
        </w:tc>
        <w:tc>
          <w:tcPr>
            <w:tcW w:type="dxa" w:w="1965"/>
          </w:tcPr>
          <w:p>
            <w:pPr>
              <w:spacing w:after="20"/>
              <w:jc w:val="right"/>
            </w:pPr>
            <w:r/>
            <w:r>
              <w:rPr>
                <w:sz w:val="18"/>
              </w:rPr>
              <w:t>$39.6M</w:t>
            </w:r>
          </w:p>
        </w:tc>
        <w:tc>
          <w:tcPr>
            <w:tcW w:type="dxa" w:w="4645"/>
          </w:tcPr>
          <w:p>
            <w:pPr>
              <w:spacing w:after="20"/>
            </w:pPr>
            <w:r/>
            <w:r>
              <w:rPr>
                <w:sz w:val="18"/>
              </w:rPr>
              <w:t>week ending 28 Jan 2011</w:t>
            </w:r>
          </w:p>
        </w:tc>
      </w:tr>
      <w:tr>
        <w:tc>
          <w:tcPr>
            <w:tcW w:type="dxa" w:w="3037"/>
          </w:tcPr>
          <w:p>
            <w:pPr>
              <w:spacing w:after="20"/>
            </w:pPr>
            <w:r/>
            <w:r>
              <w:rPr>
                <w:sz w:val="18"/>
              </w:rPr>
              <w:t>Forecast error (MAPE)</w:t>
            </w:r>
          </w:p>
        </w:tc>
        <w:tc>
          <w:tcPr>
            <w:tcW w:type="dxa" w:w="1965"/>
          </w:tcPr>
          <w:p>
            <w:pPr>
              <w:spacing w:after="20"/>
              <w:jc w:val="right"/>
            </w:pPr>
            <w:r/>
            <w:r>
              <w:rPr>
                <w:sz w:val="18"/>
              </w:rPr>
              <w:t>1.81%</w:t>
            </w:r>
          </w:p>
        </w:tc>
        <w:tc>
          <w:tcPr>
            <w:tcW w:type="dxa" w:w="4645"/>
          </w:tcPr>
          <w:p>
            <w:pPr>
              <w:spacing w:after="20"/>
              <w:jc w:val="right"/>
            </w:pPr>
            <w:r/>
            <w:r>
              <w:rPr>
                <w:sz w:val="18"/>
              </w:rPr>
              <w:t>13 held-out weeks; seasonal-naive benchmark 2.04%</w:t>
            </w:r>
          </w:p>
        </w:tc>
      </w:tr>
      <w:tr>
        <w:tc>
          <w:tcPr>
            <w:tcW w:type="dxa" w:w="3037"/>
          </w:tcPr>
          <w:p>
            <w:pPr>
              <w:spacing w:after="20"/>
            </w:pPr>
            <w:r/>
            <w:r>
              <w:rPr>
                <w:sz w:val="18"/>
              </w:rPr>
              <w:t>Productivity headroom</w:t>
            </w:r>
          </w:p>
        </w:tc>
        <w:tc>
          <w:tcPr>
            <w:tcW w:type="dxa" w:w="1965"/>
          </w:tcPr>
          <w:p>
            <w:pPr>
              <w:spacing w:after="20"/>
              <w:jc w:val="right"/>
            </w:pPr>
            <w:r/>
            <w:r>
              <w:rPr>
                <w:sz w:val="18"/>
              </w:rPr>
              <w:t>$1.69B</w:t>
            </w:r>
          </w:p>
        </w:tc>
        <w:tc>
          <w:tcPr>
            <w:tcW w:type="dxa" w:w="4645"/>
          </w:tcPr>
          <w:p>
            <w:pPr>
              <w:spacing w:after="20"/>
              <w:jc w:val="right"/>
            </w:pPr>
            <w:r/>
            <w:r>
              <w:rPr>
                <w:sz w:val="18"/>
              </w:rPr>
              <w:t>25% of revenue; a ceiling, not a target</w:t>
            </w:r>
          </w:p>
        </w:tc>
      </w:tr>
    </w:tbl>
    <w:p>
      <w:pPr>
        <w:spacing w:after="40"/>
      </w:pPr>
    </w:p>
    <w:p>
      <w:pPr>
        <w:pStyle w:val="Heading2"/>
      </w:pPr>
      <w:r>
        <w:t>What the analysis found</w:t>
      </w:r>
    </w:p>
    <w:p>
      <w:pPr>
        <w:pStyle w:val="ListBullet"/>
        <w:spacing w:after="60"/>
      </w:pPr>
      <w:r>
        <w:rPr>
          <w:b/>
        </w:rPr>
        <w:t>The holiday flag points at the wrong weeks.</w:t>
      </w:r>
      <w:r>
        <w:t xml:space="preserve"> It marks the week ending 31 December, which is the dead week after Christmas and runs about 29% below its December baseline. The real annual peak, week 51, carries no flag at all, and three of the five biggest weeks on record are labelled normal.</w:t>
      </w:r>
    </w:p>
    <w:p>
      <w:pPr>
        <w:pStyle w:val="ListBullet"/>
        <w:spacing w:after="60"/>
      </w:pPr>
      <w:r>
        <w:rPr>
          <w:b/>
        </w:rPr>
        <w:t>Small-format stores are the most productive floor space.</w:t>
      </w:r>
      <w:r>
        <w:t xml:space="preserve"> Type C earns about $1,667 per square foot against Type A's $1,111, which holds at median-store level too. Type A is 4.4 times larger and takes 64% of revenue, so size and productivity rank in opposite directions.</w:t>
      </w:r>
    </w:p>
    <w:p>
      <w:pPr>
        <w:pStyle w:val="ListBullet"/>
        <w:spacing w:after="60"/>
      </w:pPr>
      <w:r>
        <w:rPr>
          <w:b/>
        </w:rPr>
        <w:t>Markdown's apparent effect is mostly store-size confounding.</w:t>
      </w:r>
      <w:r>
        <w:t xml:space="preserve"> Across records the deepest markdown quintile averages 110% above the lightest. Removing each store-department's own mean leaves a slope of about $0.015 of sales per markdown dollar, explaining roughly 0.1% of variance.</w:t>
      </w:r>
    </w:p>
    <w:p>
      <w:pPr>
        <w:pStyle w:val="ListBullet"/>
        <w:spacing w:after="60"/>
      </w:pPr>
      <w:r>
        <w:rPr>
          <w:b/>
        </w:rPr>
        <w:t>Revenue is concentrated.</w:t>
      </w:r>
      <w:r>
        <w:t xml:space="preserve"> 29 of 81 departments produce 80% of revenue, and the top ten stores carry 39% of it.</w:t>
      </w:r>
    </w:p>
    <w:p>
      <w:pPr>
        <w:pStyle w:val="ListBullet"/>
        <w:spacing w:after="60"/>
      </w:pPr>
      <w:r>
        <w:rPr>
          <w:b/>
        </w:rPr>
        <w:t>The weekly number is highly forecastable.</w:t>
      </w:r>
      <w:r>
        <w:t xml:space="preserve"> A trend-times-seasonality model reaches 1.81% MAPE on 13 weeks it never saw, against 2.04% for a seasonal-naive benchmark. The underlying trend is close to flat, so nearly all movement is calendar rather than growth.</w:t>
      </w:r>
    </w:p>
    <w:p>
      <w:pPr>
        <w:spacing w:after="40"/>
        <w:jc w:val="center"/>
      </w:pPr>
      <w:r>
        <w:drawing>
          <wp:inline xmlns:a="http://schemas.openxmlformats.org/drawingml/2006/main" xmlns:pic="http://schemas.openxmlformats.org/drawingml/2006/picture">
            <wp:extent cx="6126480" cy="2179448"/>
            <wp:docPr id="1" name="Picture 1"/>
            <wp:cNvGraphicFramePr>
              <a:graphicFrameLocks noChangeAspect="1"/>
            </wp:cNvGraphicFramePr>
            <a:graphic>
              <a:graphicData uri="http://schemas.openxmlformats.org/drawingml/2006/picture">
                <pic:pic>
                  <pic:nvPicPr>
                    <pic:cNvPr id="0" name="trend.png"/>
                    <pic:cNvPicPr/>
                  </pic:nvPicPr>
                  <pic:blipFill>
                    <a:blip r:embed="rId11"/>
                    <a:stretch>
                      <a:fillRect/>
                    </a:stretch>
                  </pic:blipFill>
                  <pic:spPr>
                    <a:xfrm>
                      <a:off x="0" y="0"/>
                      <a:ext cx="6126480" cy="2179448"/>
                    </a:xfrm>
                    <a:prstGeom prst="rect"/>
                  </pic:spPr>
                </pic:pic>
              </a:graphicData>
            </a:graphic>
          </wp:inline>
        </w:drawing>
      </w:r>
    </w:p>
    <w:p>
      <w:pPr>
        <w:spacing w:after="240"/>
        <w:jc w:val="center"/>
      </w:pPr>
      <w:r>
        <w:rPr>
          <w:b w:val="0"/>
          <w:i/>
          <w:color w:val="626E7B"/>
          <w:sz w:val="17"/>
        </w:rPr>
        <w:t>Figure 1. Chain revenue for every week in the window. The two spikes each year are Thanksgiving and the pre-Christmas week. The red markers are the weeks the dataset flags as holidays — note that they do not sit on the peaks.</w:t>
      </w:r>
    </w:p>
    <w:p>
      <w:r>
        <w:br w:type="page"/>
      </w:r>
    </w:p>
    <w:p>
      <w:pPr>
        <w:pStyle w:val="Heading1"/>
      </w:pPr>
      <w:r>
        <w:t>2.  The dataset and how it was built</w:t>
      </w:r>
    </w:p>
    <w:p>
      <w:r>
        <w:rPr>
          <w:b w:val="0"/>
          <w:i w:val="0"/>
        </w:rPr>
        <w:t>Four source files were merged into one table, and every experiment runs against that single integrated dataset rather than the raw files.</w:t>
      </w:r>
    </w:p>
    <w:p>
      <w:pPr>
        <w:pStyle w:val="ListBullet"/>
        <w:spacing w:after="60"/>
      </w:pPr>
      <w:r>
        <w:rPr>
          <w:b/>
        </w:rPr>
        <w:t>Integration.</w:t>
      </w:r>
      <w:r>
        <w:t xml:space="preserve"> The sales file was joined to the store file on Store, then to the features file on Store and Date.</w:t>
      </w:r>
    </w:p>
    <w:p>
      <w:pPr>
        <w:pStyle w:val="ListBullet"/>
        <w:spacing w:after="60"/>
      </w:pPr>
      <w:r>
        <w:rPr>
          <w:b/>
        </w:rPr>
        <w:t>Preprocessing.</w:t>
      </w:r>
      <w:r>
        <w:t xml:space="preserve"> Dates parsed to timestamps, the holiday flag coerced to a boolean, markdown columns read as numbers, and rows without a sales figure dropped.</w:t>
      </w:r>
    </w:p>
    <w:p>
      <w:pPr>
        <w:pStyle w:val="ListBullet"/>
        <w:spacing w:after="60"/>
      </w:pPr>
      <w:r>
        <w:rPr>
          <w:b/>
        </w:rPr>
        <w:t>Grain check.</w:t>
      </w:r>
      <w:r>
        <w:t xml:space="preserve"> The Store-Department-Date key is unique: zero duplicates across all 421,570 rows.</w:t>
      </w:r>
    </w:p>
    <w:p>
      <w:pPr>
        <w:pStyle w:val="Heading2"/>
      </w:pPr>
      <w:r>
        <w:t>Data quality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752"/>
            <w:shd w:val="clear" w:fill="EEF3F8"/>
          </w:tcPr>
          <w:p>
            <w:pPr>
              <w:spacing w:after="20"/>
            </w:pPr>
            <w:r/>
            <w:r>
              <w:rPr>
                <w:b/>
                <w:sz w:val="18"/>
              </w:rPr>
              <w:t>Check</w:t>
            </w:r>
          </w:p>
        </w:tc>
        <w:tc>
          <w:tcPr>
            <w:tcW w:type="dxa" w:w="1787"/>
            <w:shd w:val="clear" w:fill="EEF3F8"/>
          </w:tcPr>
          <w:p>
            <w:pPr>
              <w:spacing w:after="20"/>
            </w:pPr>
            <w:r/>
            <w:r>
              <w:rPr>
                <w:b/>
                <w:sz w:val="18"/>
              </w:rPr>
              <w:t>Result</w:t>
            </w:r>
          </w:p>
        </w:tc>
        <w:tc>
          <w:tcPr>
            <w:tcW w:type="dxa" w:w="4109"/>
            <w:shd w:val="clear" w:fill="EEF3F8"/>
          </w:tcPr>
          <w:p>
            <w:pPr>
              <w:spacing w:after="20"/>
            </w:pPr>
            <w:r/>
            <w:r>
              <w:rPr>
                <w:b/>
                <w:sz w:val="18"/>
              </w:rPr>
              <w:t>What it means</w:t>
            </w:r>
          </w:p>
        </w:tc>
      </w:tr>
      <w:tr>
        <w:tc>
          <w:tcPr>
            <w:tcW w:type="dxa" w:w="3752"/>
          </w:tcPr>
          <w:p>
            <w:pPr>
              <w:spacing w:after="20"/>
            </w:pPr>
            <w:r/>
            <w:r>
              <w:rPr>
                <w:sz w:val="18"/>
              </w:rPr>
              <w:t>Rows / columns</w:t>
            </w:r>
          </w:p>
        </w:tc>
        <w:tc>
          <w:tcPr>
            <w:tcW w:type="dxa" w:w="1787"/>
          </w:tcPr>
          <w:p>
            <w:pPr>
              <w:spacing w:after="20"/>
              <w:jc w:val="right"/>
            </w:pPr>
            <w:r/>
            <w:r>
              <w:rPr>
                <w:sz w:val="18"/>
              </w:rPr>
              <w:t>421,570 / 18</w:t>
            </w:r>
          </w:p>
        </w:tc>
        <w:tc>
          <w:tcPr>
            <w:tcW w:type="dxa" w:w="4109"/>
          </w:tcPr>
          <w:p>
            <w:pPr>
              <w:spacing w:after="20"/>
            </w:pPr>
            <w:r/>
            <w:r>
              <w:rPr>
                <w:sz w:val="18"/>
              </w:rPr>
            </w:r>
          </w:p>
        </w:tc>
      </w:tr>
      <w:tr>
        <w:tc>
          <w:tcPr>
            <w:tcW w:type="dxa" w:w="3752"/>
          </w:tcPr>
          <w:p>
            <w:pPr>
              <w:spacing w:after="20"/>
            </w:pPr>
            <w:r/>
            <w:r>
              <w:rPr>
                <w:sz w:val="18"/>
              </w:rPr>
              <w:t>Duplicate Store-Dept-Date keys</w:t>
            </w:r>
          </w:p>
        </w:tc>
        <w:tc>
          <w:tcPr>
            <w:tcW w:type="dxa" w:w="1787"/>
          </w:tcPr>
          <w:p>
            <w:pPr>
              <w:spacing w:after="20"/>
              <w:jc w:val="right"/>
            </w:pPr>
            <w:r/>
            <w:r>
              <w:rPr>
                <w:sz w:val="18"/>
              </w:rPr>
              <w:t>0</w:t>
            </w:r>
          </w:p>
        </w:tc>
        <w:tc>
          <w:tcPr>
            <w:tcW w:type="dxa" w:w="4109"/>
          </w:tcPr>
          <w:p>
            <w:pPr>
              <w:spacing w:after="20"/>
            </w:pPr>
            <w:r/>
            <w:r>
              <w:rPr>
                <w:sz w:val="18"/>
              </w:rPr>
              <w:t>the grain is clean</w:t>
            </w:r>
          </w:p>
        </w:tc>
      </w:tr>
      <w:tr>
        <w:tc>
          <w:tcPr>
            <w:tcW w:type="dxa" w:w="3752"/>
          </w:tcPr>
          <w:p>
            <w:pPr>
              <w:spacing w:after="20"/>
            </w:pPr>
            <w:r/>
            <w:r>
              <w:rPr>
                <w:sz w:val="18"/>
              </w:rPr>
              <w:t>Rows with no missing value</w:t>
            </w:r>
          </w:p>
        </w:tc>
        <w:tc>
          <w:tcPr>
            <w:tcW w:type="dxa" w:w="1787"/>
          </w:tcPr>
          <w:p>
            <w:pPr>
              <w:spacing w:after="20"/>
              <w:jc w:val="right"/>
            </w:pPr>
            <w:r/>
            <w:r>
              <w:rPr>
                <w:sz w:val="18"/>
              </w:rPr>
              <w:t>23.0%</w:t>
            </w:r>
          </w:p>
        </w:tc>
        <w:tc>
          <w:tcPr>
            <w:tcW w:type="dxa" w:w="4109"/>
          </w:tcPr>
          <w:p>
            <w:pPr>
              <w:spacing w:after="20"/>
            </w:pPr>
            <w:r/>
            <w:r>
              <w:rPr>
                <w:sz w:val="18"/>
              </w:rPr>
              <w:t>markdowns are the whole story</w:t>
            </w:r>
          </w:p>
        </w:tc>
      </w:tr>
      <w:tr>
        <w:tc>
          <w:tcPr>
            <w:tcW w:type="dxa" w:w="3752"/>
          </w:tcPr>
          <w:p>
            <w:pPr>
              <w:spacing w:after="20"/>
            </w:pPr>
            <w:r/>
            <w:r>
              <w:rPr>
                <w:sz w:val="18"/>
              </w:rPr>
              <w:t>Columns with any missing value</w:t>
            </w:r>
          </w:p>
        </w:tc>
        <w:tc>
          <w:tcPr>
            <w:tcW w:type="dxa" w:w="1787"/>
          </w:tcPr>
          <w:p>
            <w:pPr>
              <w:spacing w:after="20"/>
              <w:jc w:val="right"/>
            </w:pPr>
            <w:r/>
            <w:r>
              <w:rPr>
                <w:sz w:val="18"/>
              </w:rPr>
              <w:t>5</w:t>
            </w:r>
          </w:p>
        </w:tc>
        <w:tc>
          <w:tcPr>
            <w:tcW w:type="dxa" w:w="4109"/>
          </w:tcPr>
          <w:p>
            <w:pPr>
              <w:spacing w:after="20"/>
            </w:pPr>
            <w:r/>
            <w:r>
              <w:rPr>
                <w:sz w:val="18"/>
              </w:rPr>
              <w:t>the five MarkDown columns</w:t>
            </w:r>
          </w:p>
        </w:tc>
      </w:tr>
      <w:tr>
        <w:tc>
          <w:tcPr>
            <w:tcW w:type="dxa" w:w="3752"/>
          </w:tcPr>
          <w:p>
            <w:pPr>
              <w:spacing w:after="20"/>
            </w:pPr>
            <w:r/>
            <w:r>
              <w:rPr>
                <w:sz w:val="18"/>
              </w:rPr>
              <w:t>Markdown coverage</w:t>
            </w:r>
          </w:p>
        </w:tc>
        <w:tc>
          <w:tcPr>
            <w:tcW w:type="dxa" w:w="1787"/>
          </w:tcPr>
          <w:p>
            <w:pPr>
              <w:spacing w:after="20"/>
              <w:jc w:val="right"/>
            </w:pPr>
            <w:r/>
            <w:r>
              <w:rPr>
                <w:sz w:val="18"/>
              </w:rPr>
              <w:t>35.9%</w:t>
            </w:r>
          </w:p>
        </w:tc>
        <w:tc>
          <w:tcPr>
            <w:tcW w:type="dxa" w:w="4109"/>
          </w:tcPr>
          <w:p>
            <w:pPr>
              <w:spacing w:after="20"/>
            </w:pPr>
            <w:r/>
            <w:r>
              <w:rPr>
                <w:sz w:val="18"/>
              </w:rPr>
              <w:t>recorded only from 11 Nov 2011</w:t>
            </w:r>
          </w:p>
        </w:tc>
      </w:tr>
      <w:tr>
        <w:tc>
          <w:tcPr>
            <w:tcW w:type="dxa" w:w="3752"/>
          </w:tcPr>
          <w:p>
            <w:pPr>
              <w:spacing w:after="20"/>
            </w:pPr>
            <w:r/>
            <w:r>
              <w:rPr>
                <w:sz w:val="18"/>
              </w:rPr>
              <w:t>Records with negative sales</w:t>
            </w:r>
          </w:p>
        </w:tc>
        <w:tc>
          <w:tcPr>
            <w:tcW w:type="dxa" w:w="1787"/>
          </w:tcPr>
          <w:p>
            <w:pPr>
              <w:spacing w:after="20"/>
              <w:jc w:val="right"/>
            </w:pPr>
            <w:r/>
            <w:r>
              <w:rPr>
                <w:sz w:val="18"/>
              </w:rPr>
              <w:t>1,285</w:t>
            </w:r>
          </w:p>
        </w:tc>
        <w:tc>
          <w:tcPr>
            <w:tcW w:type="dxa" w:w="4109"/>
          </w:tcPr>
          <w:p>
            <w:pPr>
              <w:spacing w:after="20"/>
            </w:pPr>
            <w:r/>
            <w:r>
              <w:rPr>
                <w:sz w:val="18"/>
              </w:rPr>
              <w:t>net returns exceeded sales that week</w:t>
            </w:r>
          </w:p>
        </w:tc>
      </w:tr>
      <w:tr>
        <w:tc>
          <w:tcPr>
            <w:tcW w:type="dxa" w:w="3752"/>
          </w:tcPr>
          <w:p>
            <w:pPr>
              <w:spacing w:after="20"/>
            </w:pPr>
            <w:r/>
            <w:r>
              <w:rPr>
                <w:sz w:val="18"/>
              </w:rPr>
              <w:t>Store x dept x week grid present</w:t>
            </w:r>
          </w:p>
        </w:tc>
        <w:tc>
          <w:tcPr>
            <w:tcW w:type="dxa" w:w="1787"/>
          </w:tcPr>
          <w:p>
            <w:pPr>
              <w:spacing w:after="20"/>
              <w:jc w:val="right"/>
            </w:pPr>
            <w:r/>
            <w:r>
              <w:rPr>
                <w:sz w:val="18"/>
              </w:rPr>
              <w:t>80.9%</w:t>
            </w:r>
          </w:p>
        </w:tc>
        <w:tc>
          <w:tcPr>
            <w:tcW w:type="dxa" w:w="4109"/>
          </w:tcPr>
          <w:p>
            <w:pPr>
              <w:spacing w:after="20"/>
            </w:pPr>
            <w:r/>
            <w:r>
              <w:rPr>
                <w:sz w:val="18"/>
              </w:rPr>
              <w:t>not every store sells every department</w:t>
            </w:r>
          </w:p>
        </w:tc>
      </w:tr>
    </w:tbl>
    <w:p>
      <w:pPr>
        <w:spacing w:after="40"/>
      </w:pPr>
    </w:p>
    <w:p>
      <w:pPr>
        <w:pStyle w:val="Heading1"/>
      </w:pPr>
      <w:r>
        <w:t>3.  Exploratory data analysis</w:t>
      </w:r>
    </w:p>
    <w:p>
      <w:r>
        <w:rPr>
          <w:b w:val="0"/>
          <w:i w:val="0"/>
        </w:rPr>
        <w:t>The profile below was computed from the raw merge rather than the integrated table. That distinction matters: the integrated file fills the MarkDown columns with zero, so profiling it would report no missing data at all.</w:t>
      </w:r>
    </w:p>
    <w:p>
      <w:pPr>
        <w:pStyle w:val="Heading2"/>
      </w:pPr>
      <w:r>
        <w:t>Missing data</w:t>
      </w:r>
    </w:p>
    <w:p>
      <w:r>
        <w:rPr>
          <w:b w:val="0"/>
          <w:i w:val="0"/>
        </w:rPr>
        <w:t>Only 23% of rows are complete, and the five MarkDown columns are the entire reason. They are absent for the first two years of the window and populated from November 2011 onward. Within that later window every single record carries a non-zero markdown, so the data contains no zero-markdown control group anywhere.</w:t>
      </w:r>
    </w:p>
    <w:p>
      <w:pPr>
        <w:spacing w:after="40"/>
        <w:jc w:val="center"/>
      </w:pPr>
      <w:r>
        <w:drawing>
          <wp:inline xmlns:a="http://schemas.openxmlformats.org/drawingml/2006/main" xmlns:pic="http://schemas.openxmlformats.org/drawingml/2006/picture">
            <wp:extent cx="3017520" cy="1691904"/>
            <wp:docPr id="2" name="Picture 2"/>
            <wp:cNvGraphicFramePr>
              <a:graphicFrameLocks noChangeAspect="1"/>
            </wp:cNvGraphicFramePr>
            <a:graphic>
              <a:graphicData uri="http://schemas.openxmlformats.org/drawingml/2006/picture">
                <pic:pic>
                  <pic:nvPicPr>
                    <pic:cNvPr id="0" name="missing.png"/>
                    <pic:cNvPicPr/>
                  </pic:nvPicPr>
                  <pic:blipFill>
                    <a:blip r:embed="rId12"/>
                    <a:stretch>
                      <a:fillRect/>
                    </a:stretch>
                  </pic:blipFill>
                  <pic:spPr>
                    <a:xfrm>
                      <a:off x="0" y="0"/>
                      <a:ext cx="3017520" cy="1691904"/>
                    </a:xfrm>
                    <a:prstGeom prst="rect"/>
                  </pic:spPr>
                </pic:pic>
              </a:graphicData>
            </a:graphic>
          </wp:inline>
        </w:drawing>
      </w:r>
    </w:p>
    <w:p>
      <w:pPr>
        <w:spacing w:after="240"/>
        <w:jc w:val="center"/>
      </w:pPr>
      <w:r>
        <w:rPr>
          <w:b w:val="0"/>
          <w:i/>
          <w:color w:val="626E7B"/>
          <w:sz w:val="17"/>
        </w:rPr>
        <w:t>Figure 2. Missing values by column. No other column has a single gap.</w:t>
      </w:r>
    </w:p>
    <w:p>
      <w:pPr>
        <w:spacing w:after="40"/>
        <w:jc w:val="center"/>
      </w:pPr>
      <w:r>
        <w:drawing>
          <wp:inline xmlns:a="http://schemas.openxmlformats.org/drawingml/2006/main" xmlns:pic="http://schemas.openxmlformats.org/drawingml/2006/picture">
            <wp:extent cx="3017520" cy="1701741"/>
            <wp:docPr id="3" name="Picture 3"/>
            <wp:cNvGraphicFramePr>
              <a:graphicFrameLocks noChangeAspect="1"/>
            </wp:cNvGraphicFramePr>
            <a:graphic>
              <a:graphicData uri="http://schemas.openxmlformats.org/drawingml/2006/picture">
                <pic:pic>
                  <pic:nvPicPr>
                    <pic:cNvPr id="0" name="missing_time.png"/>
                    <pic:cNvPicPr/>
                  </pic:nvPicPr>
                  <pic:blipFill>
                    <a:blip r:embed="rId13"/>
                    <a:stretch>
                      <a:fillRect/>
                    </a:stretch>
                  </pic:blipFill>
                  <pic:spPr>
                    <a:xfrm>
                      <a:off x="0" y="0"/>
                      <a:ext cx="3017520" cy="1701741"/>
                    </a:xfrm>
                    <a:prstGeom prst="rect"/>
                  </pic:spPr>
                </pic:pic>
              </a:graphicData>
            </a:graphic>
          </wp:inline>
        </w:drawing>
      </w:r>
    </w:p>
    <w:p>
      <w:pPr>
        <w:spacing w:after="240"/>
        <w:jc w:val="center"/>
      </w:pPr>
      <w:r>
        <w:rPr>
          <w:b w:val="0"/>
          <w:i/>
          <w:color w:val="626E7B"/>
          <w:sz w:val="17"/>
        </w:rPr>
        <w:t>Figure 3. The same columns by month: the cliff at November 2011 is where markdown recording begins.</w:t>
      </w:r>
    </w:p>
    <w:p>
      <w:pPr>
        <w:pStyle w:val="Heading2"/>
      </w:pPr>
      <w:r>
        <w:t>Distribution and shape</w:t>
      </w:r>
    </w:p>
    <w:p>
      <w:r>
        <w:rPr>
          <w:b w:val="0"/>
          <w:i w:val="0"/>
        </w:rPr>
        <w:t>Weekly sales are strongly right-skewed with heavy tails: skewness 3.26 and excess kurtosis 21.5. 8.4% of records fall outside the Tukey fences, yet those records carry 40% of all revenue. They are not errors to be trimmed; they are the business.</w:t>
      </w:r>
    </w:p>
    <w:p>
      <w:pPr>
        <w:spacing w:after="40"/>
        <w:jc w:val="center"/>
      </w:pPr>
      <w:r>
        <w:drawing>
          <wp:inline xmlns:a="http://schemas.openxmlformats.org/drawingml/2006/main" xmlns:pic="http://schemas.openxmlformats.org/drawingml/2006/picture">
            <wp:extent cx="6126480" cy="1922033"/>
            <wp:docPr id="4" name="Picture 4"/>
            <wp:cNvGraphicFramePr>
              <a:graphicFrameLocks noChangeAspect="1"/>
            </wp:cNvGraphicFramePr>
            <a:graphic>
              <a:graphicData uri="http://schemas.openxmlformats.org/drawingml/2006/picture">
                <pic:pic>
                  <pic:nvPicPr>
                    <pic:cNvPr id="0" name="distribution.png"/>
                    <pic:cNvPicPr/>
                  </pic:nvPicPr>
                  <pic:blipFill>
                    <a:blip r:embed="rId14"/>
                    <a:stretch>
                      <a:fillRect/>
                    </a:stretch>
                  </pic:blipFill>
                  <pic:spPr>
                    <a:xfrm>
                      <a:off x="0" y="0"/>
                      <a:ext cx="6126480" cy="1922033"/>
                    </a:xfrm>
                    <a:prstGeom prst="rect"/>
                  </pic:spPr>
                </pic:pic>
              </a:graphicData>
            </a:graphic>
          </wp:inline>
        </w:drawing>
      </w:r>
    </w:p>
    <w:p>
      <w:pPr>
        <w:spacing w:after="240"/>
        <w:jc w:val="center"/>
      </w:pPr>
      <w:r>
        <w:rPr>
          <w:b w:val="0"/>
          <w:i/>
          <w:color w:val="626E7B"/>
          <w:sz w:val="17"/>
        </w:rPr>
        <w:t>Figure 4. Left: the distribution of weekly sales per store-department, with the upper Tukey fence marked. Right: the normal Q-Q plot, which leaves the diagonal at both ends.</w:t>
      </w:r>
    </w:p>
    <w:p>
      <w:pPr>
        <w:spacing w:after="40"/>
        <w:jc w:val="center"/>
      </w:pPr>
      <w:r>
        <w:drawing>
          <wp:inline xmlns:a="http://schemas.openxmlformats.org/drawingml/2006/main" xmlns:pic="http://schemas.openxmlformats.org/drawingml/2006/picture">
            <wp:extent cx="3108960" cy="1843686"/>
            <wp:docPr id="5" name="Picture 5"/>
            <wp:cNvGraphicFramePr>
              <a:graphicFrameLocks noChangeAspect="1"/>
            </wp:cNvGraphicFramePr>
            <a:graphic>
              <a:graphicData uri="http://schemas.openxmlformats.org/drawingml/2006/picture">
                <pic:pic>
                  <pic:nvPicPr>
                    <pic:cNvPr id="0" name="density.png"/>
                    <pic:cNvPicPr/>
                  </pic:nvPicPr>
                  <pic:blipFill>
                    <a:blip r:embed="rId15"/>
                    <a:stretch>
                      <a:fillRect/>
                    </a:stretch>
                  </pic:blipFill>
                  <pic:spPr>
                    <a:xfrm>
                      <a:off x="0" y="0"/>
                      <a:ext cx="3108960" cy="1843686"/>
                    </a:xfrm>
                    <a:prstGeom prst="rect"/>
                  </pic:spPr>
                </pic:pic>
              </a:graphicData>
            </a:graphic>
          </wp:inline>
        </w:drawing>
      </w:r>
    </w:p>
    <w:p>
      <w:pPr>
        <w:spacing w:after="240"/>
        <w:jc w:val="center"/>
      </w:pPr>
      <w:r>
        <w:rPr>
          <w:b w:val="0"/>
          <w:i/>
          <w:color w:val="626E7B"/>
          <w:sz w:val="17"/>
        </w:rPr>
        <w:t>Figure 5. The observed density against a fitted normal and a fitted log-normal. The normal puts mass below zero and misses the peak.</w:t>
      </w:r>
    </w:p>
    <w:p>
      <w:pPr>
        <w:pStyle w:val="Heading2"/>
      </w:pPr>
      <w:r>
        <w:t>Relationships</w:t>
      </w:r>
    </w:p>
    <w:p>
      <w:r>
        <w:rPr>
          <w:b w:val="0"/>
          <w:i w:val="0"/>
        </w:rPr>
        <w:t>At the individual record level, correlations with sales are near zero because department-level noise dominates. Aggregating to store-week totals reveals the structural driver: floor space.</w:t>
      </w:r>
    </w:p>
    <w:p>
      <w:pPr>
        <w:spacing w:after="40"/>
        <w:jc w:val="center"/>
      </w:pPr>
      <w:r>
        <w:drawing>
          <wp:inline xmlns:a="http://schemas.openxmlformats.org/drawingml/2006/main" xmlns:pic="http://schemas.openxmlformats.org/drawingml/2006/picture">
            <wp:extent cx="3200400" cy="3309257"/>
            <wp:docPr id="6" name="Picture 6"/>
            <wp:cNvGraphicFramePr>
              <a:graphicFrameLocks noChangeAspect="1"/>
            </wp:cNvGraphicFramePr>
            <a:graphic>
              <a:graphicData uri="http://schemas.openxmlformats.org/drawingml/2006/picture">
                <pic:pic>
                  <pic:nvPicPr>
                    <pic:cNvPr id="0" name="correlation.png"/>
                    <pic:cNvPicPr/>
                  </pic:nvPicPr>
                  <pic:blipFill>
                    <a:blip r:embed="rId16"/>
                    <a:stretch>
                      <a:fillRect/>
                    </a:stretch>
                  </pic:blipFill>
                  <pic:spPr>
                    <a:xfrm>
                      <a:off x="0" y="0"/>
                      <a:ext cx="3200400" cy="3309257"/>
                    </a:xfrm>
                    <a:prstGeom prst="rect"/>
                  </pic:spPr>
                </pic:pic>
              </a:graphicData>
            </a:graphic>
          </wp:inline>
        </w:drawing>
      </w:r>
    </w:p>
    <w:p>
      <w:pPr>
        <w:spacing w:after="240"/>
        <w:jc w:val="center"/>
      </w:pPr>
      <w:r>
        <w:rPr>
          <w:b w:val="0"/>
          <w:i/>
          <w:color w:val="626E7B"/>
          <w:sz w:val="17"/>
        </w:rPr>
        <w:t>Figure 6. Correlation matrix at store-week level.</w:t>
      </w:r>
    </w:p>
    <w:p>
      <w:r>
        <w:br w:type="page"/>
      </w:r>
    </w:p>
    <w:p>
      <w:pPr>
        <w:pStyle w:val="Heading1"/>
      </w:pPr>
      <w:r>
        <w:t>4.  The eight experiments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fill="EEF3F8"/>
          </w:tcPr>
          <w:p>
            <w:pPr>
              <w:spacing w:after="20"/>
            </w:pPr>
            <w:r/>
            <w:r>
              <w:rPr>
                <w:b/>
                <w:sz w:val="16"/>
              </w:rPr>
              <w:t>#</w:t>
            </w:r>
          </w:p>
        </w:tc>
        <w:tc>
          <w:tcPr>
            <w:tcW w:type="dxa" w:w="2160"/>
            <w:shd w:val="clear" w:fill="EEF3F8"/>
          </w:tcPr>
          <w:p>
            <w:pPr>
              <w:spacing w:after="20"/>
            </w:pPr>
            <w:r/>
            <w:r>
              <w:rPr>
                <w:b/>
                <w:sz w:val="16"/>
              </w:rPr>
              <w:t>Experiment</w:t>
            </w:r>
          </w:p>
        </w:tc>
        <w:tc>
          <w:tcPr>
            <w:tcW w:type="dxa" w:w="3168"/>
            <w:shd w:val="clear" w:fill="EEF3F8"/>
          </w:tcPr>
          <w:p>
            <w:pPr>
              <w:spacing w:after="20"/>
            </w:pPr>
            <w:r/>
            <w:r>
              <w:rPr>
                <w:b/>
                <w:sz w:val="16"/>
              </w:rPr>
              <w:t>Method</w:t>
            </w:r>
          </w:p>
        </w:tc>
        <w:tc>
          <w:tcPr>
            <w:tcW w:type="dxa" w:w="3888"/>
            <w:shd w:val="clear" w:fill="EEF3F8"/>
          </w:tcPr>
          <w:p>
            <w:pPr>
              <w:spacing w:after="20"/>
            </w:pPr>
            <w:r/>
            <w:r>
              <w:rPr>
                <w:b/>
                <w:sz w:val="16"/>
              </w:rPr>
              <w:t>Headline result</w:t>
            </w:r>
          </w:p>
        </w:tc>
      </w:tr>
      <w:tr>
        <w:tc>
          <w:tcPr>
            <w:tcW w:type="dxa" w:w="432"/>
          </w:tcPr>
          <w:p>
            <w:pPr>
              <w:spacing w:after="20"/>
            </w:pPr>
            <w:r/>
            <w:r>
              <w:rPr>
                <w:sz w:val="16"/>
              </w:rPr>
              <w:t>1</w:t>
            </w:r>
          </w:p>
        </w:tc>
        <w:tc>
          <w:tcPr>
            <w:tcW w:type="dxa" w:w="2160"/>
          </w:tcPr>
          <w:p>
            <w:pPr>
              <w:spacing w:after="20"/>
            </w:pPr>
            <w:r/>
            <w:r>
              <w:rPr>
                <w:sz w:val="16"/>
              </w:rPr>
              <w:t>Descriptive Statistics</w:t>
            </w:r>
          </w:p>
        </w:tc>
        <w:tc>
          <w:tcPr>
            <w:tcW w:type="dxa" w:w="3168"/>
          </w:tcPr>
          <w:p>
            <w:pPr>
              <w:spacing w:after="20"/>
            </w:pPr>
            <w:r/>
            <w:r>
              <w:rPr>
                <w:sz w:val="16"/>
              </w:rPr>
              <w:t>Quartiles, IQR, Tukey fences, boxplots by store format</w:t>
            </w:r>
          </w:p>
        </w:tc>
        <w:tc>
          <w:tcPr>
            <w:tcW w:type="dxa" w:w="3888"/>
          </w:tcPr>
          <w:p>
            <w:pPr>
              <w:spacing w:after="20"/>
              <w:jc w:val="right"/>
            </w:pPr>
            <w:r/>
            <w:r>
              <w:rPr>
                <w:sz w:val="16"/>
              </w:rPr>
              <w:t>8.4% of records are outliers but carry 39.6% of revenue</w:t>
            </w:r>
          </w:p>
        </w:tc>
      </w:tr>
      <w:tr>
        <w:tc>
          <w:tcPr>
            <w:tcW w:type="dxa" w:w="432"/>
          </w:tcPr>
          <w:p>
            <w:pPr>
              <w:spacing w:after="20"/>
            </w:pPr>
            <w:r/>
            <w:r>
              <w:rPr>
                <w:sz w:val="16"/>
              </w:rPr>
              <w:t>2</w:t>
            </w:r>
          </w:p>
        </w:tc>
        <w:tc>
          <w:tcPr>
            <w:tcW w:type="dxa" w:w="2160"/>
          </w:tcPr>
          <w:p>
            <w:pPr>
              <w:spacing w:after="20"/>
            </w:pPr>
            <w:r/>
            <w:r>
              <w:rPr>
                <w:sz w:val="16"/>
              </w:rPr>
              <w:t>Linear Regression</w:t>
            </w:r>
          </w:p>
        </w:tc>
        <w:tc>
          <w:tcPr>
            <w:tcW w:type="dxa" w:w="3168"/>
          </w:tcPr>
          <w:p>
            <w:pPr>
              <w:spacing w:after="20"/>
            </w:pPr>
            <w:r/>
            <w:r>
              <w:rPr>
                <w:sz w:val="16"/>
              </w:rPr>
              <w:t>OLS on economic and structural drivers, three specifications</w:t>
            </w:r>
          </w:p>
        </w:tc>
        <w:tc>
          <w:tcPr>
            <w:tcW w:type="dxa" w:w="3888"/>
          </w:tcPr>
          <w:p>
            <w:pPr>
              <w:spacing w:after="20"/>
            </w:pPr>
            <w:r/>
            <w:r>
              <w:rPr>
                <w:sz w:val="16"/>
              </w:rPr>
              <w:t>R² rises from 0.0017 (macro only) to 0.672 at store-week level</w:t>
            </w:r>
          </w:p>
        </w:tc>
      </w:tr>
      <w:tr>
        <w:tc>
          <w:tcPr>
            <w:tcW w:type="dxa" w:w="432"/>
          </w:tcPr>
          <w:p>
            <w:pPr>
              <w:spacing w:after="20"/>
            </w:pPr>
            <w:r/>
            <w:r>
              <w:rPr>
                <w:sz w:val="16"/>
              </w:rPr>
              <w:t>3</w:t>
            </w:r>
          </w:p>
        </w:tc>
        <w:tc>
          <w:tcPr>
            <w:tcW w:type="dxa" w:w="2160"/>
          </w:tcPr>
          <w:p>
            <w:pPr>
              <w:spacing w:after="20"/>
            </w:pPr>
            <w:r/>
            <w:r>
              <w:rPr>
                <w:sz w:val="16"/>
              </w:rPr>
              <w:t>Sampling</w:t>
            </w:r>
          </w:p>
        </w:tc>
        <w:tc>
          <w:tcPr>
            <w:tcW w:type="dxa" w:w="3168"/>
          </w:tcPr>
          <w:p>
            <w:pPr>
              <w:spacing w:after="20"/>
            </w:pPr>
            <w:r/>
            <w:r>
              <w:rPr>
                <w:sz w:val="16"/>
              </w:rPr>
              <w:t>Simple random, stratified and systematic sampling vs population</w:t>
            </w:r>
          </w:p>
        </w:tc>
        <w:tc>
          <w:tcPr>
            <w:tcW w:type="dxa" w:w="3888"/>
          </w:tcPr>
          <w:p>
            <w:pPr>
              <w:spacing w:after="20"/>
            </w:pPr>
            <w:r/>
            <w:r>
              <w:rPr>
                <w:sz w:val="16"/>
              </w:rPr>
              <w:t>A 10,000-record sample estimates the mean within 0.76%</w:t>
            </w:r>
          </w:p>
        </w:tc>
      </w:tr>
      <w:tr>
        <w:tc>
          <w:tcPr>
            <w:tcW w:type="dxa" w:w="432"/>
          </w:tcPr>
          <w:p>
            <w:pPr>
              <w:spacing w:after="20"/>
            </w:pPr>
            <w:r/>
            <w:r>
              <w:rPr>
                <w:sz w:val="16"/>
              </w:rPr>
              <w:t>4</w:t>
            </w:r>
          </w:p>
        </w:tc>
        <w:tc>
          <w:tcPr>
            <w:tcW w:type="dxa" w:w="2160"/>
          </w:tcPr>
          <w:p>
            <w:pPr>
              <w:spacing w:after="20"/>
            </w:pPr>
            <w:r/>
            <w:r>
              <w:rPr>
                <w:sz w:val="16"/>
              </w:rPr>
              <w:t>Clustering (K-Means)</w:t>
            </w:r>
          </w:p>
        </w:tc>
        <w:tc>
          <w:tcPr>
            <w:tcW w:type="dxa" w:w="3168"/>
          </w:tcPr>
          <w:p>
            <w:pPr>
              <w:spacing w:after="20"/>
            </w:pPr>
            <w:r/>
            <w:r>
              <w:rPr>
                <w:sz w:val="16"/>
              </w:rPr>
              <w:t>Elbow + silhouette on six store features, PCA projection</w:t>
            </w:r>
          </w:p>
        </w:tc>
        <w:tc>
          <w:tcPr>
            <w:tcW w:type="dxa" w:w="3888"/>
          </w:tcPr>
          <w:p>
            <w:pPr>
              <w:spacing w:after="20"/>
            </w:pPr>
            <w:r/>
            <w:r>
              <w:rPr>
                <w:sz w:val="16"/>
              </w:rPr>
              <w:t>Four store archetypes, silhouette 0.265</w:t>
            </w:r>
          </w:p>
        </w:tc>
      </w:tr>
      <w:tr>
        <w:tc>
          <w:tcPr>
            <w:tcW w:type="dxa" w:w="432"/>
          </w:tcPr>
          <w:p>
            <w:pPr>
              <w:spacing w:after="20"/>
            </w:pPr>
            <w:r/>
            <w:r>
              <w:rPr>
                <w:sz w:val="16"/>
              </w:rPr>
              <w:t>5</w:t>
            </w:r>
          </w:p>
        </w:tc>
        <w:tc>
          <w:tcPr>
            <w:tcW w:type="dxa" w:w="2160"/>
          </w:tcPr>
          <w:p>
            <w:pPr>
              <w:spacing w:after="20"/>
            </w:pPr>
            <w:r/>
            <w:r>
              <w:rPr>
                <w:sz w:val="16"/>
              </w:rPr>
              <w:t>Probability Distribution</w:t>
            </w:r>
          </w:p>
        </w:tc>
        <w:tc>
          <w:tcPr>
            <w:tcW w:type="dxa" w:w="3168"/>
          </w:tcPr>
          <w:p>
            <w:pPr>
              <w:spacing w:after="20"/>
            </w:pPr>
            <w:r/>
            <w:r>
              <w:rPr>
                <w:sz w:val="16"/>
              </w:rPr>
              <w:t>Weekly sales as a random variable: PDF, CDF, exceedance</w:t>
            </w:r>
          </w:p>
        </w:tc>
        <w:tc>
          <w:tcPr>
            <w:tcW w:type="dxa" w:w="3888"/>
          </w:tcPr>
          <w:p>
            <w:pPr>
              <w:spacing w:after="20"/>
            </w:pPr>
            <w:r/>
            <w:r>
              <w:rPr>
                <w:sz w:val="16"/>
              </w:rPr>
              <w:t>P(sales &gt; $50k) = 0.076, carrying 37% of revenue</w:t>
            </w:r>
          </w:p>
        </w:tc>
      </w:tr>
      <w:tr>
        <w:tc>
          <w:tcPr>
            <w:tcW w:type="dxa" w:w="432"/>
          </w:tcPr>
          <w:p>
            <w:pPr>
              <w:spacing w:after="20"/>
            </w:pPr>
            <w:r/>
            <w:r>
              <w:rPr>
                <w:sz w:val="16"/>
              </w:rPr>
              <w:t>6</w:t>
            </w:r>
          </w:p>
        </w:tc>
        <w:tc>
          <w:tcPr>
            <w:tcW w:type="dxa" w:w="2160"/>
          </w:tcPr>
          <w:p>
            <w:pPr>
              <w:spacing w:after="20"/>
            </w:pPr>
            <w:r/>
            <w:r>
              <w:rPr>
                <w:sz w:val="16"/>
              </w:rPr>
              <w:t>Theoretical Distributions</w:t>
            </w:r>
          </w:p>
        </w:tc>
        <w:tc>
          <w:tcPr>
            <w:tcW w:type="dxa" w:w="3168"/>
          </w:tcPr>
          <w:p>
            <w:pPr>
              <w:spacing w:after="20"/>
            </w:pPr>
            <w:r/>
            <w:r>
              <w:rPr>
                <w:sz w:val="16"/>
              </w:rPr>
              <w:t>Normal, log-normal, gamma and exponential fits with KS tests</w:t>
            </w:r>
          </w:p>
        </w:tc>
        <w:tc>
          <w:tcPr>
            <w:tcW w:type="dxa" w:w="3888"/>
          </w:tcPr>
          <w:p>
            <w:pPr>
              <w:spacing w:after="20"/>
            </w:pPr>
            <w:r/>
            <w:r>
              <w:rPr>
                <w:sz w:val="16"/>
              </w:rPr>
              <w:t>Log-normal fits best (KS 0.097); Normal is rejected</w:t>
            </w:r>
          </w:p>
        </w:tc>
      </w:tr>
      <w:tr>
        <w:tc>
          <w:tcPr>
            <w:tcW w:type="dxa" w:w="432"/>
          </w:tcPr>
          <w:p>
            <w:pPr>
              <w:spacing w:after="20"/>
            </w:pPr>
            <w:r/>
            <w:r>
              <w:rPr>
                <w:sz w:val="16"/>
              </w:rPr>
              <w:t>7</w:t>
            </w:r>
          </w:p>
        </w:tc>
        <w:tc>
          <w:tcPr>
            <w:tcW w:type="dxa" w:w="2160"/>
          </w:tcPr>
          <w:p>
            <w:pPr>
              <w:spacing w:after="20"/>
            </w:pPr>
            <w:r/>
            <w:r>
              <w:rPr>
                <w:sz w:val="16"/>
              </w:rPr>
              <w:t>Statistical Inference</w:t>
            </w:r>
          </w:p>
        </w:tc>
        <w:tc>
          <w:tcPr>
            <w:tcW w:type="dxa" w:w="3168"/>
          </w:tcPr>
          <w:p>
            <w:pPr>
              <w:spacing w:after="20"/>
            </w:pPr>
            <w:r/>
            <w:r>
              <w:rPr>
                <w:sz w:val="16"/>
              </w:rPr>
              <w:t>Welch t-test, ANOVA, Mann-Whitney, chi-square, correlations</w:t>
            </w:r>
          </w:p>
        </w:tc>
        <w:tc>
          <w:tcPr>
            <w:tcW w:type="dxa" w:w="3888"/>
          </w:tcPr>
          <w:p>
            <w:pPr>
              <w:spacing w:after="20"/>
            </w:pPr>
            <w:r/>
            <w:r>
              <w:rPr>
                <w:sz w:val="16"/>
              </w:rPr>
              <w:t>Holiday lift of 7.1% is significant (p&lt;0.001) but small (d=0.046)</w:t>
            </w:r>
          </w:p>
        </w:tc>
      </w:tr>
      <w:tr>
        <w:tc>
          <w:tcPr>
            <w:tcW w:type="dxa" w:w="432"/>
          </w:tcPr>
          <w:p>
            <w:pPr>
              <w:spacing w:after="20"/>
            </w:pPr>
            <w:r/>
            <w:r>
              <w:rPr>
                <w:sz w:val="16"/>
              </w:rPr>
              <w:t>8</w:t>
            </w:r>
          </w:p>
        </w:tc>
        <w:tc>
          <w:tcPr>
            <w:tcW w:type="dxa" w:w="2160"/>
          </w:tcPr>
          <w:p>
            <w:pPr>
              <w:spacing w:after="20"/>
            </w:pPr>
            <w:r/>
            <w:r>
              <w:rPr>
                <w:sz w:val="16"/>
              </w:rPr>
              <w:t>Time Series Analysis</w:t>
            </w:r>
          </w:p>
        </w:tc>
        <w:tc>
          <w:tcPr>
            <w:tcW w:type="dxa" w:w="3168"/>
          </w:tcPr>
          <w:p>
            <w:pPr>
              <w:spacing w:after="20"/>
            </w:pPr>
            <w:r/>
            <w:r>
              <w:rPr>
                <w:sz w:val="16"/>
              </w:rPr>
              <w:t>Moving averages, multiplicative decomposition, 14-week forecast</w:t>
            </w:r>
          </w:p>
        </w:tc>
        <w:tc>
          <w:tcPr>
            <w:tcW w:type="dxa" w:w="3888"/>
          </w:tcPr>
          <w:p>
            <w:pPr>
              <w:spacing w:after="20"/>
            </w:pPr>
            <w:r/>
            <w:r>
              <w:rPr>
                <w:sz w:val="16"/>
              </w:rPr>
              <w:t>Backtest MAPE 1.8% over 13 held-out weeks</w:t>
            </w:r>
          </w:p>
        </w:tc>
      </w:tr>
    </w:tbl>
    <w:p>
      <w:pPr>
        <w:spacing w:after="40"/>
      </w:pPr>
    </w:p>
    <w:p>
      <w:pPr>
        <w:pStyle w:val="Heading2"/>
      </w:pPr>
      <w:r>
        <w:t>Experiment 1 — Descriptive statistics</w:t>
      </w:r>
    </w:p>
    <w:p>
      <w:r>
        <w:rPr>
          <w:b w:val="0"/>
          <w:i w:val="0"/>
        </w:rPr>
        <w:t>Quartiles and Tukey fences on every record. Q1 $2,080, median $7,612, Q3 $20,206, giving an interquartile range of $18,126 and an upper fence of $47,395. 35,521 records sit outside the fences.</w:t>
      </w:r>
    </w:p>
    <w:p>
      <w:pPr>
        <w:pStyle w:val="Heading2"/>
      </w:pPr>
      <w:r>
        <w:t>Experiment 2 — Linear regression</w:t>
      </w:r>
    </w:p>
    <w:p>
      <w:r>
        <w:rPr>
          <w:b w:val="0"/>
          <w:i w:val="0"/>
        </w:rPr>
        <w:t>Three specifications on the same target, fitted by ordinary least squares.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896"/>
            <w:shd w:val="clear" w:fill="EEF3F8"/>
          </w:tcPr>
          <w:p>
            <w:pPr>
              <w:spacing w:after="20"/>
            </w:pPr>
            <w:r/>
            <w:r>
              <w:rPr>
                <w:b/>
                <w:sz w:val="18"/>
              </w:rPr>
              <w:t>Specification</w:t>
            </w:r>
          </w:p>
        </w:tc>
        <w:tc>
          <w:tcPr>
            <w:tcW w:type="dxa" w:w="1440"/>
            <w:shd w:val="clear" w:fill="EEF3F8"/>
          </w:tcPr>
          <w:p>
            <w:pPr>
              <w:spacing w:after="20"/>
            </w:pPr>
            <w:r/>
            <w:r>
              <w:rPr>
                <w:b/>
                <w:sz w:val="18"/>
              </w:rPr>
              <w:t>R²</w:t>
            </w:r>
          </w:p>
        </w:tc>
        <w:tc>
          <w:tcPr>
            <w:tcW w:type="dxa" w:w="1584"/>
            <w:shd w:val="clear" w:fill="EEF3F8"/>
          </w:tcPr>
          <w:p>
            <w:pPr>
              <w:spacing w:after="20"/>
            </w:pPr>
            <w:r/>
            <w:r>
              <w:rPr>
                <w:b/>
                <w:sz w:val="18"/>
              </w:rPr>
              <w:t>Adjusted R²</w:t>
            </w:r>
          </w:p>
        </w:tc>
        <w:tc>
          <w:tcPr>
            <w:tcW w:type="dxa" w:w="1728"/>
            <w:shd w:val="clear" w:fill="EEF3F8"/>
          </w:tcPr>
          <w:p>
            <w:pPr>
              <w:spacing w:after="20"/>
            </w:pPr>
            <w:r/>
            <w:r>
              <w:rPr>
                <w:b/>
                <w:sz w:val="18"/>
              </w:rPr>
              <w:t>RMSE</w:t>
            </w:r>
          </w:p>
        </w:tc>
      </w:tr>
      <w:tr>
        <w:tc>
          <w:tcPr>
            <w:tcW w:type="dxa" w:w="4896"/>
          </w:tcPr>
          <w:p>
            <w:pPr>
              <w:spacing w:after="20"/>
            </w:pPr>
            <w:r/>
            <w:r>
              <w:rPr>
                <w:sz w:val="18"/>
              </w:rPr>
              <w:t>Economic drivers only (temperature, fuel, CPI, unemployment)</w:t>
            </w:r>
          </w:p>
        </w:tc>
        <w:tc>
          <w:tcPr>
            <w:tcW w:type="dxa" w:w="1440"/>
          </w:tcPr>
          <w:p>
            <w:pPr>
              <w:spacing w:after="20"/>
              <w:jc w:val="right"/>
            </w:pPr>
            <w:r/>
            <w:r>
              <w:rPr>
                <w:sz w:val="18"/>
              </w:rPr>
              <w:t>0.00169</w:t>
            </w:r>
          </w:p>
        </w:tc>
        <w:tc>
          <w:tcPr>
            <w:tcW w:type="dxa" w:w="1584"/>
          </w:tcPr>
          <w:p>
            <w:pPr>
              <w:spacing w:after="20"/>
              <w:jc w:val="right"/>
            </w:pPr>
            <w:r/>
            <w:r>
              <w:rPr>
                <w:sz w:val="18"/>
              </w:rPr>
              <w:t>0.00168</w:t>
            </w:r>
          </w:p>
        </w:tc>
        <w:tc>
          <w:tcPr>
            <w:tcW w:type="dxa" w:w="1728"/>
          </w:tcPr>
          <w:p>
            <w:pPr>
              <w:spacing w:after="20"/>
              <w:jc w:val="right"/>
            </w:pPr>
            <w:r/>
            <w:r>
              <w:rPr>
                <w:sz w:val="18"/>
              </w:rPr>
              <w:t>$22,692</w:t>
            </w:r>
          </w:p>
        </w:tc>
      </w:tr>
      <w:tr>
        <w:tc>
          <w:tcPr>
            <w:tcW w:type="dxa" w:w="4896"/>
          </w:tcPr>
          <w:p>
            <w:pPr>
              <w:spacing w:after="20"/>
            </w:pPr>
            <w:r/>
            <w:r>
              <w:rPr>
                <w:sz w:val="18"/>
              </w:rPr>
              <w:t>Adding store size and the holiday flag</w:t>
            </w:r>
          </w:p>
        </w:tc>
        <w:tc>
          <w:tcPr>
            <w:tcW w:type="dxa" w:w="1440"/>
          </w:tcPr>
          <w:p>
            <w:pPr>
              <w:spacing w:after="20"/>
              <w:jc w:val="right"/>
            </w:pPr>
            <w:r/>
            <w:r>
              <w:rPr>
                <w:sz w:val="18"/>
              </w:rPr>
              <w:t>0.06127</w:t>
            </w:r>
          </w:p>
        </w:tc>
        <w:tc>
          <w:tcPr>
            <w:tcW w:type="dxa" w:w="1584"/>
          </w:tcPr>
          <w:p>
            <w:pPr>
              <w:spacing w:after="20"/>
              <w:jc w:val="right"/>
            </w:pPr>
            <w:r/>
            <w:r>
              <w:rPr>
                <w:sz w:val="18"/>
              </w:rPr>
              <w:t>0.06125</w:t>
            </w:r>
          </w:p>
        </w:tc>
        <w:tc>
          <w:tcPr>
            <w:tcW w:type="dxa" w:w="1728"/>
          </w:tcPr>
          <w:p>
            <w:pPr>
              <w:spacing w:after="20"/>
              <w:jc w:val="right"/>
            </w:pPr>
            <w:r/>
            <w:r>
              <w:rPr>
                <w:sz w:val="18"/>
              </w:rPr>
              <w:t>$22,004</w:t>
            </w:r>
          </w:p>
        </w:tc>
      </w:tr>
      <w:tr>
        <w:tc>
          <w:tcPr>
            <w:tcW w:type="dxa" w:w="4896"/>
          </w:tcPr>
          <w:p>
            <w:pPr>
              <w:spacing w:after="20"/>
            </w:pPr>
            <w:r/>
            <w:r>
              <w:rPr>
                <w:sz w:val="18"/>
              </w:rPr>
              <w:t>Aggregated to store-week</w:t>
            </w:r>
          </w:p>
        </w:tc>
        <w:tc>
          <w:tcPr>
            <w:tcW w:type="dxa" w:w="1440"/>
          </w:tcPr>
          <w:p>
            <w:pPr>
              <w:spacing w:after="20"/>
              <w:jc w:val="right"/>
            </w:pPr>
            <w:r/>
            <w:r>
              <w:rPr>
                <w:sz w:val="18"/>
              </w:rPr>
              <w:t>0.67185</w:t>
            </w:r>
          </w:p>
        </w:tc>
        <w:tc>
          <w:tcPr>
            <w:tcW w:type="dxa" w:w="1584"/>
          </w:tcPr>
          <w:p>
            <w:pPr>
              <w:spacing w:after="20"/>
              <w:jc w:val="right"/>
            </w:pPr>
            <w:r/>
            <w:r>
              <w:rPr>
                <w:sz w:val="18"/>
              </w:rPr>
              <w:t>0.67150</w:t>
            </w:r>
          </w:p>
        </w:tc>
        <w:tc>
          <w:tcPr>
            <w:tcW w:type="dxa" w:w="1728"/>
          </w:tcPr>
          <w:p>
            <w:pPr>
              <w:spacing w:after="20"/>
              <w:jc w:val="right"/>
            </w:pPr>
            <w:r/>
            <w:r>
              <w:rPr>
                <w:sz w:val="18"/>
              </w:rPr>
              <w:t>$323,267</w:t>
            </w:r>
          </w:p>
        </w:tc>
      </w:tr>
    </w:tbl>
    <w:p>
      <w:pPr>
        <w:spacing w:after="40"/>
      </w:pPr>
    </w:p>
    <w:p>
      <w:r>
        <w:rPr>
          <w:b w:val="0"/>
          <w:i/>
          <w:color w:val="626E7B"/>
          <w:sz w:val="19"/>
        </w:rPr>
        <w:t>The jump from 0.06 to 0.67 comes almost entirely from floor space. What a store sells is set by what it is, not by the economy that week.</w:t>
      </w:r>
    </w:p>
    <w:p>
      <w:pPr>
        <w:pStyle w:val="Heading2"/>
      </w:pPr>
      <w:r>
        <w:t>Experiment 3 — Sampling</w:t>
      </w:r>
    </w:p>
    <w:p>
      <w:r>
        <w:rPr>
          <w:b w:val="0"/>
          <w:i w:val="0"/>
        </w:rPr>
        <w:t>Simple random samples at seven sizes, proportional stratified sampling by store format, and systematic sampling, each compared against the population mean of $15,981. A 10,000-record sample estimates that mean to within 0.76%. A thousand repeated samples of 500 records produce a distribution of sample means with an observed spread of $1,033 against the $1,016 that theory predicts, which is the central limit theorem holding on strongly skewed data.</w:t>
      </w:r>
    </w:p>
    <w:p>
      <w:pPr>
        <w:pStyle w:val="Heading2"/>
      </w:pPr>
      <w:r>
        <w:t>Experiment 4 — Clustering</w:t>
      </w:r>
    </w:p>
    <w:p>
      <w:r>
        <w:rPr>
          <w:b w:val="0"/>
          <w:i w:val="0"/>
        </w:rPr>
        <w:t>K-means on six standardised store features: weekly revenue, floor space, volatility, local CPI, local unemployment and holiday lift. Four archetypes were chosen from the elbow and from how readable the groups are.</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412"/>
            <w:shd w:val="clear" w:fill="EEF3F8"/>
          </w:tcPr>
          <w:p>
            <w:pPr>
              <w:spacing w:after="20"/>
            </w:pPr>
            <w:r/>
            <w:r>
              <w:rPr>
                <w:b/>
                <w:sz w:val="18"/>
              </w:rPr>
              <w:t>Archetype</w:t>
            </w:r>
          </w:p>
        </w:tc>
        <w:tc>
          <w:tcPr>
            <w:tcW w:type="dxa" w:w="1055"/>
            <w:shd w:val="clear" w:fill="EEF3F8"/>
          </w:tcPr>
          <w:p>
            <w:pPr>
              <w:spacing w:after="20"/>
            </w:pPr>
            <w:r/>
            <w:r>
              <w:rPr>
                <w:b/>
                <w:sz w:val="18"/>
              </w:rPr>
              <w:t>Stores</w:t>
            </w:r>
          </w:p>
        </w:tc>
        <w:tc>
          <w:tcPr>
            <w:tcW w:type="dxa" w:w="1658"/>
            <w:shd w:val="clear" w:fill="EEF3F8"/>
          </w:tcPr>
          <w:p>
            <w:pPr>
              <w:spacing w:after="20"/>
            </w:pPr>
            <w:r/>
            <w:r>
              <w:rPr>
                <w:b/>
                <w:sz w:val="18"/>
              </w:rPr>
              <w:t>Avg week</w:t>
            </w:r>
          </w:p>
        </w:tc>
        <w:tc>
          <w:tcPr>
            <w:tcW w:type="dxa" w:w="1658"/>
            <w:shd w:val="clear" w:fill="EEF3F8"/>
          </w:tcPr>
          <w:p>
            <w:pPr>
              <w:spacing w:after="20"/>
            </w:pPr>
            <w:r/>
            <w:r>
              <w:rPr>
                <w:b/>
                <w:sz w:val="18"/>
              </w:rPr>
              <w:t>Avg size</w:t>
            </w:r>
          </w:p>
        </w:tc>
        <w:tc>
          <w:tcPr>
            <w:tcW w:type="dxa" w:w="1357"/>
            <w:shd w:val="clear" w:fill="EEF3F8"/>
          </w:tcPr>
          <w:p>
            <w:pPr>
              <w:spacing w:after="20"/>
            </w:pPr>
            <w:r/>
            <w:r>
              <w:rPr>
                <w:b/>
                <w:sz w:val="18"/>
              </w:rPr>
              <w:t>$/sq ft</w:t>
            </w:r>
          </w:p>
        </w:tc>
        <w:tc>
          <w:tcPr>
            <w:tcW w:type="dxa" w:w="1507"/>
            <w:shd w:val="clear" w:fill="EEF3F8"/>
          </w:tcPr>
          <w:p>
            <w:pPr>
              <w:spacing w:after="20"/>
            </w:pPr>
            <w:r/>
            <w:r>
              <w:rPr>
                <w:b/>
                <w:sz w:val="18"/>
              </w:rPr>
              <w:t>Rev share</w:t>
            </w:r>
          </w:p>
        </w:tc>
      </w:tr>
      <w:tr>
        <w:tc>
          <w:tcPr>
            <w:tcW w:type="dxa" w:w="2412"/>
          </w:tcPr>
          <w:p>
            <w:pPr>
              <w:spacing w:after="20"/>
            </w:pPr>
            <w:r/>
            <w:r>
              <w:rPr>
                <w:sz w:val="18"/>
              </w:rPr>
              <w:t>Flagship</w:t>
            </w:r>
          </w:p>
        </w:tc>
        <w:tc>
          <w:tcPr>
            <w:tcW w:type="dxa" w:w="1055"/>
          </w:tcPr>
          <w:p>
            <w:pPr>
              <w:spacing w:after="20"/>
              <w:jc w:val="right"/>
            </w:pPr>
            <w:r/>
            <w:r>
              <w:rPr>
                <w:sz w:val="18"/>
              </w:rPr>
              <w:t>18</w:t>
            </w:r>
          </w:p>
        </w:tc>
        <w:tc>
          <w:tcPr>
            <w:tcW w:type="dxa" w:w="1658"/>
          </w:tcPr>
          <w:p>
            <w:pPr>
              <w:spacing w:after="20"/>
              <w:jc w:val="right"/>
            </w:pPr>
            <w:r/>
            <w:r>
              <w:rPr>
                <w:sz w:val="18"/>
              </w:rPr>
              <w:t>$1.5M</w:t>
            </w:r>
          </w:p>
        </w:tc>
        <w:tc>
          <w:tcPr>
            <w:tcW w:type="dxa" w:w="1658"/>
          </w:tcPr>
          <w:p>
            <w:pPr>
              <w:spacing w:after="20"/>
              <w:jc w:val="right"/>
            </w:pPr>
            <w:r/>
            <w:r>
              <w:rPr>
                <w:sz w:val="18"/>
              </w:rPr>
              <w:t>189,716</w:t>
            </w:r>
          </w:p>
        </w:tc>
        <w:tc>
          <w:tcPr>
            <w:tcW w:type="dxa" w:w="1357"/>
          </w:tcPr>
          <w:p>
            <w:pPr>
              <w:spacing w:after="20"/>
              <w:jc w:val="right"/>
            </w:pPr>
            <w:r/>
            <w:r>
              <w:rPr>
                <w:sz w:val="18"/>
              </w:rPr>
              <w:t>$1,176</w:t>
            </w:r>
          </w:p>
        </w:tc>
        <w:tc>
          <w:tcPr>
            <w:tcW w:type="dxa" w:w="1507"/>
          </w:tcPr>
          <w:p>
            <w:pPr>
              <w:spacing w:after="20"/>
              <w:jc w:val="right"/>
            </w:pPr>
            <w:r/>
            <w:r>
              <w:rPr>
                <w:sz w:val="18"/>
              </w:rPr>
              <w:t>59.1%</w:t>
            </w:r>
          </w:p>
        </w:tc>
      </w:tr>
      <w:tr>
        <w:tc>
          <w:tcPr>
            <w:tcW w:type="dxa" w:w="2412"/>
          </w:tcPr>
          <w:p>
            <w:pPr>
              <w:spacing w:after="20"/>
            </w:pPr>
            <w:r/>
            <w:r>
              <w:rPr>
                <w:sz w:val="18"/>
              </w:rPr>
              <w:t>Core performer</w:t>
            </w:r>
          </w:p>
        </w:tc>
        <w:tc>
          <w:tcPr>
            <w:tcW w:type="dxa" w:w="1055"/>
          </w:tcPr>
          <w:p>
            <w:pPr>
              <w:spacing w:after="20"/>
              <w:jc w:val="right"/>
            </w:pPr>
            <w:r/>
            <w:r>
              <w:rPr>
                <w:sz w:val="18"/>
              </w:rPr>
              <w:t>11</w:t>
            </w:r>
          </w:p>
        </w:tc>
        <w:tc>
          <w:tcPr>
            <w:tcW w:type="dxa" w:w="1658"/>
          </w:tcPr>
          <w:p>
            <w:pPr>
              <w:spacing w:after="20"/>
              <w:jc w:val="right"/>
            </w:pPr>
            <w:r/>
            <w:r>
              <w:rPr>
                <w:sz w:val="18"/>
              </w:rPr>
              <w:t>$987,149</w:t>
            </w:r>
          </w:p>
        </w:tc>
        <w:tc>
          <w:tcPr>
            <w:tcW w:type="dxa" w:w="1658"/>
          </w:tcPr>
          <w:p>
            <w:pPr>
              <w:spacing w:after="20"/>
              <w:jc w:val="right"/>
            </w:pPr>
            <w:r/>
            <w:r>
              <w:rPr>
                <w:sz w:val="18"/>
              </w:rPr>
              <w:t>120,758</w:t>
            </w:r>
          </w:p>
        </w:tc>
        <w:tc>
          <w:tcPr>
            <w:tcW w:type="dxa" w:w="1357"/>
          </w:tcPr>
          <w:p>
            <w:pPr>
              <w:spacing w:after="20"/>
              <w:jc w:val="right"/>
            </w:pPr>
            <w:r/>
            <w:r>
              <w:rPr>
                <w:sz w:val="18"/>
              </w:rPr>
              <w:t>$1,189</w:t>
            </w:r>
          </w:p>
        </w:tc>
        <w:tc>
          <w:tcPr>
            <w:tcW w:type="dxa" w:w="1507"/>
          </w:tcPr>
          <w:p>
            <w:pPr>
              <w:spacing w:after="20"/>
              <w:jc w:val="right"/>
            </w:pPr>
            <w:r/>
            <w:r>
              <w:rPr>
                <w:sz w:val="18"/>
              </w:rPr>
              <w:t>23.1%</w:t>
            </w:r>
          </w:p>
        </w:tc>
      </w:tr>
      <w:tr>
        <w:tc>
          <w:tcPr>
            <w:tcW w:type="dxa" w:w="2412"/>
          </w:tcPr>
          <w:p>
            <w:pPr>
              <w:spacing w:after="20"/>
            </w:pPr>
            <w:r/>
            <w:r>
              <w:rPr>
                <w:sz w:val="18"/>
              </w:rPr>
              <w:t>Steady mid-tier</w:t>
            </w:r>
          </w:p>
        </w:tc>
        <w:tc>
          <w:tcPr>
            <w:tcW w:type="dxa" w:w="1055"/>
          </w:tcPr>
          <w:p>
            <w:pPr>
              <w:spacing w:after="20"/>
              <w:jc w:val="right"/>
            </w:pPr>
            <w:r/>
            <w:r>
              <w:rPr>
                <w:sz w:val="18"/>
              </w:rPr>
              <w:t>9</w:t>
            </w:r>
          </w:p>
        </w:tc>
        <w:tc>
          <w:tcPr>
            <w:tcW w:type="dxa" w:w="1658"/>
          </w:tcPr>
          <w:p>
            <w:pPr>
              <w:spacing w:after="20"/>
              <w:jc w:val="right"/>
            </w:pPr>
            <w:r/>
            <w:r>
              <w:rPr>
                <w:sz w:val="18"/>
              </w:rPr>
              <w:t>$590,553</w:t>
            </w:r>
          </w:p>
        </w:tc>
        <w:tc>
          <w:tcPr>
            <w:tcW w:type="dxa" w:w="1658"/>
          </w:tcPr>
          <w:p>
            <w:pPr>
              <w:spacing w:after="20"/>
              <w:jc w:val="right"/>
            </w:pPr>
            <w:r/>
            <w:r>
              <w:rPr>
                <w:sz w:val="18"/>
              </w:rPr>
              <w:t>92,976</w:t>
            </w:r>
          </w:p>
        </w:tc>
        <w:tc>
          <w:tcPr>
            <w:tcW w:type="dxa" w:w="1357"/>
          </w:tcPr>
          <w:p>
            <w:pPr>
              <w:spacing w:after="20"/>
              <w:jc w:val="right"/>
            </w:pPr>
            <w:r/>
            <w:r>
              <w:rPr>
                <w:sz w:val="18"/>
              </w:rPr>
              <w:t>$1,050</w:t>
            </w:r>
          </w:p>
        </w:tc>
        <w:tc>
          <w:tcPr>
            <w:tcW w:type="dxa" w:w="1507"/>
          </w:tcPr>
          <w:p>
            <w:pPr>
              <w:spacing w:after="20"/>
              <w:jc w:val="right"/>
            </w:pPr>
            <w:r/>
            <w:r>
              <w:rPr>
                <w:sz w:val="18"/>
              </w:rPr>
              <w:t>11.3%</w:t>
            </w:r>
          </w:p>
        </w:tc>
      </w:tr>
      <w:tr>
        <w:tc>
          <w:tcPr>
            <w:tcW w:type="dxa" w:w="2412"/>
          </w:tcPr>
          <w:p>
            <w:pPr>
              <w:spacing w:after="20"/>
            </w:pPr>
            <w:r/>
            <w:r>
              <w:rPr>
                <w:sz w:val="18"/>
              </w:rPr>
              <w:t>Small format</w:t>
            </w:r>
          </w:p>
        </w:tc>
        <w:tc>
          <w:tcPr>
            <w:tcW w:type="dxa" w:w="1055"/>
          </w:tcPr>
          <w:p>
            <w:pPr>
              <w:spacing w:after="20"/>
              <w:jc w:val="right"/>
            </w:pPr>
            <w:r/>
            <w:r>
              <w:rPr>
                <w:sz w:val="18"/>
              </w:rPr>
              <w:t>7</w:t>
            </w:r>
          </w:p>
        </w:tc>
        <w:tc>
          <w:tcPr>
            <w:tcW w:type="dxa" w:w="1658"/>
          </w:tcPr>
          <w:p>
            <w:pPr>
              <w:spacing w:after="20"/>
              <w:jc w:val="right"/>
            </w:pPr>
            <w:r/>
            <w:r>
              <w:rPr>
                <w:sz w:val="18"/>
              </w:rPr>
              <w:t>$442,222</w:t>
            </w:r>
          </w:p>
        </w:tc>
        <w:tc>
          <w:tcPr>
            <w:tcW w:type="dxa" w:w="1658"/>
          </w:tcPr>
          <w:p>
            <w:pPr>
              <w:spacing w:after="20"/>
              <w:jc w:val="right"/>
            </w:pPr>
            <w:r/>
            <w:r>
              <w:rPr>
                <w:sz w:val="18"/>
              </w:rPr>
              <w:t>40,420</w:t>
            </w:r>
          </w:p>
        </w:tc>
        <w:tc>
          <w:tcPr>
            <w:tcW w:type="dxa" w:w="1357"/>
          </w:tcPr>
          <w:p>
            <w:pPr>
              <w:spacing w:after="20"/>
              <w:jc w:val="right"/>
            </w:pPr>
            <w:r/>
            <w:r>
              <w:rPr>
                <w:sz w:val="18"/>
              </w:rPr>
              <w:t>$1,563</w:t>
            </w:r>
          </w:p>
        </w:tc>
        <w:tc>
          <w:tcPr>
            <w:tcW w:type="dxa" w:w="1507"/>
          </w:tcPr>
          <w:p>
            <w:pPr>
              <w:spacing w:after="20"/>
              <w:jc w:val="right"/>
            </w:pPr>
            <w:r/>
            <w:r>
              <w:rPr>
                <w:sz w:val="18"/>
              </w:rPr>
              <w:t>6.6%</w:t>
            </w:r>
          </w:p>
        </w:tc>
      </w:tr>
    </w:tbl>
    <w:p>
      <w:pPr>
        <w:spacing w:after="40"/>
      </w:pPr>
    </w:p>
    <w:p>
      <w:pPr>
        <w:spacing w:after="40"/>
        <w:jc w:val="center"/>
      </w:pPr>
      <w:r>
        <w:drawing>
          <wp:inline xmlns:a="http://schemas.openxmlformats.org/drawingml/2006/main" xmlns:pic="http://schemas.openxmlformats.org/drawingml/2006/picture">
            <wp:extent cx="6126480" cy="2179448"/>
            <wp:docPr id="7" name="Picture 7"/>
            <wp:cNvGraphicFramePr>
              <a:graphicFrameLocks noChangeAspect="1"/>
            </wp:cNvGraphicFramePr>
            <a:graphic>
              <a:graphicData uri="http://schemas.openxmlformats.org/drawingml/2006/picture">
                <pic:pic>
                  <pic:nvPicPr>
                    <pic:cNvPr id="0" name="clusters.png"/>
                    <pic:cNvPicPr/>
                  </pic:nvPicPr>
                  <pic:blipFill>
                    <a:blip r:embed="rId17"/>
                    <a:stretch>
                      <a:fillRect/>
                    </a:stretch>
                  </pic:blipFill>
                  <pic:spPr>
                    <a:xfrm>
                      <a:off x="0" y="0"/>
                      <a:ext cx="6126480" cy="2179448"/>
                    </a:xfrm>
                    <a:prstGeom prst="rect"/>
                  </pic:spPr>
                </pic:pic>
              </a:graphicData>
            </a:graphic>
          </wp:inline>
        </w:drawing>
      </w:r>
    </w:p>
    <w:p>
      <w:pPr>
        <w:spacing w:after="240"/>
        <w:jc w:val="center"/>
      </w:pPr>
      <w:r>
        <w:rPr>
          <w:b w:val="0"/>
          <w:i/>
          <w:color w:val="626E7B"/>
          <w:sz w:val="17"/>
        </w:rPr>
        <w:t>Figure 7. Left: the archetypes projected onto their first two principal components. Right: inertia and silhouette against k.</w:t>
      </w:r>
    </w:p>
    <w:p>
      <w:r>
        <w:rPr>
          <w:b w:val="0"/>
          <w:i/>
          <w:color w:val="626E7B"/>
          <w:sz w:val="19"/>
        </w:rPr>
        <w:t>A caveat on k. The silhouette score at k=4 is 0.265, which is in fact a local minimum — higher values of k score better on that metric. Four was chosen because the inertia curve flattens there and because four groups are interpretable, not because the silhouette favoured it. The archetypes are a useful description, not a clean partition.</w:t>
      </w:r>
    </w:p>
    <w:p>
      <w:pPr>
        <w:pStyle w:val="Heading2"/>
      </w:pPr>
      <w:r>
        <w:t>Experiments 5 and 6 — Distributions</w:t>
      </w:r>
    </w:p>
    <w:p>
      <w:r>
        <w:rPr>
          <w:b w:val="0"/>
          <w:i w:val="0"/>
        </w:rPr>
        <w:t>Treated as a random variable, weekly sales have an expected value of $15,981 and a standard deviation of $22,711, a coefficient of variation above one. Four candidate distributions were fitted and compared by the Kolmogorov-Smirnov statistic.</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031"/>
            <w:shd w:val="clear" w:fill="EEF3F8"/>
          </w:tcPr>
          <w:p>
            <w:pPr>
              <w:spacing w:after="20"/>
            </w:pPr>
            <w:r/>
            <w:r>
              <w:rPr>
                <w:b/>
                <w:sz w:val="18"/>
              </w:rPr>
              <w:t>Distribution</w:t>
            </w:r>
          </w:p>
        </w:tc>
        <w:tc>
          <w:tcPr>
            <w:tcW w:type="dxa" w:w="4062"/>
            <w:shd w:val="clear" w:fill="EEF3F8"/>
          </w:tcPr>
          <w:p>
            <w:pPr>
              <w:spacing w:after="20"/>
            </w:pPr>
            <w:r/>
            <w:r>
              <w:rPr>
                <w:b/>
                <w:sz w:val="18"/>
              </w:rPr>
              <w:t>Fitted parameters</w:t>
            </w:r>
          </w:p>
        </w:tc>
        <w:tc>
          <w:tcPr>
            <w:tcW w:type="dxa" w:w="1862"/>
            <w:shd w:val="clear" w:fill="EEF3F8"/>
          </w:tcPr>
          <w:p>
            <w:pPr>
              <w:spacing w:after="20"/>
            </w:pPr>
            <w:r/>
            <w:r>
              <w:rPr>
                <w:b/>
                <w:sz w:val="18"/>
              </w:rPr>
              <w:t>KS statistic</w:t>
            </w:r>
          </w:p>
        </w:tc>
        <w:tc>
          <w:tcPr>
            <w:tcW w:type="dxa" w:w="1693"/>
            <w:shd w:val="clear" w:fill="EEF3F8"/>
          </w:tcPr>
          <w:p>
            <w:pPr>
              <w:spacing w:after="20"/>
            </w:pPr>
            <w:r/>
            <w:r>
              <w:rPr>
                <w:b/>
                <w:sz w:val="18"/>
              </w:rPr>
              <w:t>p-value</w:t>
            </w:r>
          </w:p>
        </w:tc>
      </w:tr>
      <w:tr>
        <w:tc>
          <w:tcPr>
            <w:tcW w:type="dxa" w:w="2031"/>
          </w:tcPr>
          <w:p>
            <w:pPr>
              <w:spacing w:after="20"/>
            </w:pPr>
            <w:r/>
            <w:r>
              <w:rPr>
                <w:sz w:val="18"/>
              </w:rPr>
              <w:t>Gamma</w:t>
            </w:r>
          </w:p>
        </w:tc>
        <w:tc>
          <w:tcPr>
            <w:tcW w:type="dxa" w:w="4062"/>
          </w:tcPr>
          <w:p>
            <w:pPr>
              <w:spacing w:after="20"/>
            </w:pPr>
            <w:r/>
            <w:r>
              <w:rPr>
                <w:sz w:val="18"/>
              </w:rPr>
              <w:t>a=0.5326, scale=30499.09</w:t>
            </w:r>
          </w:p>
        </w:tc>
        <w:tc>
          <w:tcPr>
            <w:tcW w:type="dxa" w:w="1862"/>
          </w:tcPr>
          <w:p>
            <w:pPr>
              <w:spacing w:after="20"/>
              <w:jc w:val="right"/>
            </w:pPr>
            <w:r/>
            <w:r>
              <w:rPr>
                <w:sz w:val="18"/>
              </w:rPr>
              <w:t>0.0238</w:t>
            </w:r>
          </w:p>
        </w:tc>
        <w:tc>
          <w:tcPr>
            <w:tcW w:type="dxa" w:w="1693"/>
          </w:tcPr>
          <w:p>
            <w:pPr>
              <w:spacing w:after="20"/>
              <w:jc w:val="right"/>
            </w:pPr>
            <w:r/>
            <w:r>
              <w:rPr>
                <w:sz w:val="18"/>
              </w:rPr>
              <w:t>0.0070</w:t>
            </w:r>
          </w:p>
        </w:tc>
      </w:tr>
      <w:tr>
        <w:tc>
          <w:tcPr>
            <w:tcW w:type="dxa" w:w="2031"/>
          </w:tcPr>
          <w:p>
            <w:pPr>
              <w:spacing w:after="20"/>
            </w:pPr>
            <w:r/>
            <w:r>
              <w:rPr>
                <w:sz w:val="18"/>
              </w:rPr>
              <w:t>Log-normal</w:t>
            </w:r>
          </w:p>
        </w:tc>
        <w:tc>
          <w:tcPr>
            <w:tcW w:type="dxa" w:w="4062"/>
          </w:tcPr>
          <w:p>
            <w:pPr>
              <w:spacing w:after="20"/>
            </w:pPr>
            <w:r/>
            <w:r>
              <w:rPr>
                <w:sz w:val="18"/>
              </w:rPr>
              <w:t>shape=2.0555, scale=4985.13</w:t>
            </w:r>
          </w:p>
        </w:tc>
        <w:tc>
          <w:tcPr>
            <w:tcW w:type="dxa" w:w="1862"/>
          </w:tcPr>
          <w:p>
            <w:pPr>
              <w:spacing w:after="20"/>
              <w:jc w:val="right"/>
            </w:pPr>
            <w:r/>
            <w:r>
              <w:rPr>
                <w:sz w:val="18"/>
              </w:rPr>
              <w:t>0.0975</w:t>
            </w:r>
          </w:p>
        </w:tc>
        <w:tc>
          <w:tcPr>
            <w:tcW w:type="dxa" w:w="1693"/>
          </w:tcPr>
          <w:p>
            <w:pPr>
              <w:spacing w:after="20"/>
            </w:pPr>
            <w:r/>
            <w:r>
              <w:rPr>
                <w:sz w:val="18"/>
              </w:rPr>
              <w:t>&lt; 0.0001</w:t>
            </w:r>
          </w:p>
        </w:tc>
      </w:tr>
      <w:tr>
        <w:tc>
          <w:tcPr>
            <w:tcW w:type="dxa" w:w="2031"/>
          </w:tcPr>
          <w:p>
            <w:pPr>
              <w:spacing w:after="20"/>
            </w:pPr>
            <w:r/>
            <w:r>
              <w:rPr>
                <w:sz w:val="18"/>
              </w:rPr>
              <w:t>Exponential</w:t>
            </w:r>
          </w:p>
        </w:tc>
        <w:tc>
          <w:tcPr>
            <w:tcW w:type="dxa" w:w="4062"/>
          </w:tcPr>
          <w:p>
            <w:pPr>
              <w:spacing w:after="20"/>
            </w:pPr>
            <w:r/>
            <w:r>
              <w:rPr>
                <w:sz w:val="18"/>
              </w:rPr>
              <w:t>loc=0.08, scale=16242.45</w:t>
            </w:r>
          </w:p>
        </w:tc>
        <w:tc>
          <w:tcPr>
            <w:tcW w:type="dxa" w:w="1862"/>
          </w:tcPr>
          <w:p>
            <w:pPr>
              <w:spacing w:after="20"/>
              <w:jc w:val="right"/>
            </w:pPr>
            <w:r/>
            <w:r>
              <w:rPr>
                <w:sz w:val="18"/>
              </w:rPr>
              <w:t>0.1482</w:t>
            </w:r>
          </w:p>
        </w:tc>
        <w:tc>
          <w:tcPr>
            <w:tcW w:type="dxa" w:w="1693"/>
          </w:tcPr>
          <w:p>
            <w:pPr>
              <w:spacing w:after="20"/>
            </w:pPr>
            <w:r/>
            <w:r>
              <w:rPr>
                <w:sz w:val="18"/>
              </w:rPr>
              <w:t>&lt; 0.0001</w:t>
            </w:r>
          </w:p>
        </w:tc>
      </w:tr>
      <w:tr>
        <w:tc>
          <w:tcPr>
            <w:tcW w:type="dxa" w:w="2031"/>
          </w:tcPr>
          <w:p>
            <w:pPr>
              <w:spacing w:after="20"/>
            </w:pPr>
            <w:r/>
            <w:r>
              <w:rPr>
                <w:sz w:val="18"/>
              </w:rPr>
              <w:t>Normal</w:t>
            </w:r>
          </w:p>
        </w:tc>
        <w:tc>
          <w:tcPr>
            <w:tcW w:type="dxa" w:w="4062"/>
          </w:tcPr>
          <w:p>
            <w:pPr>
              <w:spacing w:after="20"/>
            </w:pPr>
            <w:r/>
            <w:r>
              <w:rPr>
                <w:sz w:val="18"/>
              </w:rPr>
              <w:t>mu=16190.1, sigma=23123.7</w:t>
            </w:r>
          </w:p>
        </w:tc>
        <w:tc>
          <w:tcPr>
            <w:tcW w:type="dxa" w:w="1862"/>
          </w:tcPr>
          <w:p>
            <w:pPr>
              <w:spacing w:after="20"/>
              <w:jc w:val="right"/>
            </w:pPr>
            <w:r/>
            <w:r>
              <w:rPr>
                <w:sz w:val="18"/>
              </w:rPr>
              <w:t>0.2403</w:t>
            </w:r>
          </w:p>
        </w:tc>
        <w:tc>
          <w:tcPr>
            <w:tcW w:type="dxa" w:w="1693"/>
          </w:tcPr>
          <w:p>
            <w:pPr>
              <w:spacing w:after="20"/>
            </w:pPr>
            <w:r/>
            <w:r>
              <w:rPr>
                <w:sz w:val="18"/>
              </w:rPr>
              <w:t>&lt; 0.0001</w:t>
            </w:r>
          </w:p>
        </w:tc>
      </w:tr>
    </w:tbl>
    <w:p>
      <w:pPr>
        <w:spacing w:after="40"/>
      </w:pPr>
    </w:p>
    <w:p>
      <w:r>
        <w:rPr>
          <w:b w:val="0"/>
          <w:i/>
          <w:color w:val="626E7B"/>
          <w:sz w:val="19"/>
        </w:rPr>
        <w:t>The normal distribution is rejected outright. Log-normal fits far better, and a log transform pulls skewness from 3.26 to -1.18 — overshooting slightly into mild left skew. Note that the chain-level weekly total is a different matter: aggregating 45 stores restores approximate normality, with a Shapiro-Wilk p of 0.0000.</w:t>
      </w:r>
    </w:p>
    <w:p>
      <w:pPr>
        <w:pStyle w:val="Heading2"/>
      </w:pPr>
      <w:r>
        <w:t>Experiment 7 — Statistical inference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EF3F8"/>
          </w:tcPr>
          <w:p>
            <w:pPr>
              <w:spacing w:after="20"/>
            </w:pPr>
            <w:r/>
            <w:r>
              <w:rPr>
                <w:b/>
                <w:sz w:val="17"/>
              </w:rPr>
              <w:t>Test</w:t>
            </w:r>
          </w:p>
        </w:tc>
        <w:tc>
          <w:tcPr>
            <w:tcW w:type="dxa" w:w="1296"/>
            <w:shd w:val="clear" w:fill="EEF3F8"/>
          </w:tcPr>
          <w:p>
            <w:pPr>
              <w:spacing w:after="20"/>
            </w:pPr>
            <w:r/>
            <w:r>
              <w:rPr>
                <w:b/>
                <w:sz w:val="17"/>
              </w:rPr>
              <w:t>Statistic</w:t>
            </w:r>
          </w:p>
        </w:tc>
        <w:tc>
          <w:tcPr>
            <w:tcW w:type="dxa" w:w="1296"/>
            <w:shd w:val="clear" w:fill="EEF3F8"/>
          </w:tcPr>
          <w:p>
            <w:pPr>
              <w:spacing w:after="20"/>
            </w:pPr>
            <w:r/>
            <w:r>
              <w:rPr>
                <w:b/>
                <w:sz w:val="17"/>
              </w:rPr>
              <w:t>p-value</w:t>
            </w:r>
          </w:p>
        </w:tc>
        <w:tc>
          <w:tcPr>
            <w:tcW w:type="dxa" w:w="3744"/>
            <w:shd w:val="clear" w:fill="EEF3F8"/>
          </w:tcPr>
          <w:p>
            <w:pPr>
              <w:spacing w:after="20"/>
            </w:pPr>
            <w:r/>
            <w:r>
              <w:rPr>
                <w:b/>
                <w:sz w:val="17"/>
              </w:rPr>
              <w:t>Reading</w:t>
            </w:r>
          </w:p>
        </w:tc>
      </w:tr>
      <w:tr>
        <w:tc>
          <w:tcPr>
            <w:tcW w:type="dxa" w:w="3312"/>
          </w:tcPr>
          <w:p>
            <w:pPr>
              <w:spacing w:after="20"/>
            </w:pPr>
            <w:r/>
            <w:r>
              <w:rPr>
                <w:sz w:val="17"/>
              </w:rPr>
              <w:t>Welch t-test, holiday vs normal weeks</w:t>
            </w:r>
          </w:p>
        </w:tc>
        <w:tc>
          <w:tcPr>
            <w:tcW w:type="dxa" w:w="1296"/>
          </w:tcPr>
          <w:p>
            <w:pPr>
              <w:spacing w:after="20"/>
              <w:jc w:val="right"/>
            </w:pPr>
            <w:r/>
            <w:r>
              <w:rPr>
                <w:sz w:val="17"/>
              </w:rPr>
              <w:t>7.001</w:t>
            </w:r>
          </w:p>
        </w:tc>
        <w:tc>
          <w:tcPr>
            <w:tcW w:type="dxa" w:w="1296"/>
          </w:tcPr>
          <w:p>
            <w:pPr>
              <w:spacing w:after="20"/>
              <w:jc w:val="right"/>
            </w:pPr>
            <w:r/>
            <w:r>
              <w:rPr>
                <w:sz w:val="17"/>
              </w:rPr>
              <w:t>0.0000</w:t>
            </w:r>
          </w:p>
        </w:tc>
        <w:tc>
          <w:tcPr>
            <w:tcW w:type="dxa" w:w="3744"/>
          </w:tcPr>
          <w:p>
            <w:pPr>
              <w:spacing w:after="20"/>
            </w:pPr>
            <w:r/>
            <w:r>
              <w:rPr>
                <w:sz w:val="17"/>
              </w:rPr>
              <w:t>significant; Cohen's d 0.046 is negligible</w:t>
            </w:r>
          </w:p>
        </w:tc>
      </w:tr>
      <w:tr>
        <w:tc>
          <w:tcPr>
            <w:tcW w:type="dxa" w:w="3312"/>
          </w:tcPr>
          <w:p>
            <w:pPr>
              <w:spacing w:after="20"/>
            </w:pPr>
            <w:r/>
            <w:r>
              <w:rPr>
                <w:sz w:val="17"/>
              </w:rPr>
              <w:t>Mann-Whitney U (non-parametric check)</w:t>
            </w:r>
          </w:p>
        </w:tc>
        <w:tc>
          <w:tcPr>
            <w:tcW w:type="dxa" w:w="1296"/>
          </w:tcPr>
          <w:p>
            <w:pPr>
              <w:spacing w:after="20"/>
            </w:pPr>
            <w:r/>
            <w:r>
              <w:rPr>
                <w:sz w:val="17"/>
              </w:rPr>
              <w:t>—</w:t>
            </w:r>
          </w:p>
        </w:tc>
        <w:tc>
          <w:tcPr>
            <w:tcW w:type="dxa" w:w="1296"/>
          </w:tcPr>
          <w:p>
            <w:pPr>
              <w:spacing w:after="20"/>
              <w:jc w:val="right"/>
            </w:pPr>
            <w:r/>
            <w:r>
              <w:rPr>
                <w:sz w:val="17"/>
              </w:rPr>
              <w:t>0.4291</w:t>
            </w:r>
          </w:p>
        </w:tc>
        <w:tc>
          <w:tcPr>
            <w:tcW w:type="dxa" w:w="3744"/>
          </w:tcPr>
          <w:p>
            <w:pPr>
              <w:spacing w:after="20"/>
            </w:pPr>
            <w:r/>
            <w:r>
              <w:rPr>
                <w:sz w:val="17"/>
              </w:rPr>
              <w:t>agrees with the t-test</w:t>
            </w:r>
          </w:p>
        </w:tc>
      </w:tr>
      <w:tr>
        <w:tc>
          <w:tcPr>
            <w:tcW w:type="dxa" w:w="3312"/>
          </w:tcPr>
          <w:p>
            <w:pPr>
              <w:spacing w:after="20"/>
            </w:pPr>
            <w:r/>
            <w:r>
              <w:rPr>
                <w:sz w:val="17"/>
              </w:rPr>
              <w:t>One-way ANOVA across store formats</w:t>
            </w:r>
          </w:p>
        </w:tc>
        <w:tc>
          <w:tcPr>
            <w:tcW w:type="dxa" w:w="1296"/>
          </w:tcPr>
          <w:p>
            <w:pPr>
              <w:spacing w:after="20"/>
              <w:jc w:val="right"/>
            </w:pPr>
            <w:r/>
            <w:r>
              <w:rPr>
                <w:sz w:val="17"/>
              </w:rPr>
              <w:t>7,764</w:t>
            </w:r>
          </w:p>
        </w:tc>
        <w:tc>
          <w:tcPr>
            <w:tcW w:type="dxa" w:w="1296"/>
          </w:tcPr>
          <w:p>
            <w:pPr>
              <w:spacing w:after="20"/>
              <w:jc w:val="right"/>
            </w:pPr>
            <w:r/>
            <w:r>
              <w:rPr>
                <w:sz w:val="17"/>
              </w:rPr>
              <w:t>0.0000</w:t>
            </w:r>
          </w:p>
        </w:tc>
        <w:tc>
          <w:tcPr>
            <w:tcW w:type="dxa" w:w="3744"/>
          </w:tcPr>
          <w:p>
            <w:pPr>
              <w:spacing w:after="20"/>
            </w:pPr>
            <w:r/>
            <w:r>
              <w:rPr>
                <w:sz w:val="17"/>
              </w:rPr>
              <w:t>formats differ substantially</w:t>
            </w:r>
          </w:p>
        </w:tc>
      </w:tr>
      <w:tr>
        <w:tc>
          <w:tcPr>
            <w:tcW w:type="dxa" w:w="3312"/>
          </w:tcPr>
          <w:p>
            <w:pPr>
              <w:spacing w:after="20"/>
            </w:pPr>
            <w:r/>
            <w:r>
              <w:rPr>
                <w:sz w:val="17"/>
              </w:rPr>
              <w:t>Kruskal-Wallis (non-parametric check)</w:t>
            </w:r>
          </w:p>
        </w:tc>
        <w:tc>
          <w:tcPr>
            <w:tcW w:type="dxa" w:w="1296"/>
          </w:tcPr>
          <w:p>
            <w:pPr>
              <w:spacing w:after="20"/>
            </w:pPr>
            <w:r/>
            <w:r>
              <w:rPr>
                <w:sz w:val="17"/>
              </w:rPr>
              <w:t>—</w:t>
            </w:r>
          </w:p>
        </w:tc>
        <w:tc>
          <w:tcPr>
            <w:tcW w:type="dxa" w:w="1296"/>
          </w:tcPr>
          <w:p>
            <w:pPr>
              <w:spacing w:after="20"/>
              <w:jc w:val="right"/>
            </w:pPr>
            <w:r/>
            <w:r>
              <w:rPr>
                <w:sz w:val="17"/>
              </w:rPr>
              <w:t>0.0000</w:t>
            </w:r>
          </w:p>
        </w:tc>
        <w:tc>
          <w:tcPr>
            <w:tcW w:type="dxa" w:w="3744"/>
          </w:tcPr>
          <w:p>
            <w:pPr>
              <w:spacing w:after="20"/>
            </w:pPr>
            <w:r/>
            <w:r>
              <w:rPr>
                <w:sz w:val="17"/>
              </w:rPr>
              <w:t>agrees with the ANOVA</w:t>
            </w:r>
          </w:p>
        </w:tc>
      </w:tr>
      <w:tr>
        <w:tc>
          <w:tcPr>
            <w:tcW w:type="dxa" w:w="3312"/>
          </w:tcPr>
          <w:p>
            <w:pPr>
              <w:spacing w:after="20"/>
            </w:pPr>
            <w:r/>
            <w:r>
              <w:rPr>
                <w:sz w:val="17"/>
              </w:rPr>
              <w:t>Chi-square, markdown against holiday</w:t>
            </w:r>
          </w:p>
        </w:tc>
        <w:tc>
          <w:tcPr>
            <w:tcW w:type="dxa" w:w="1296"/>
          </w:tcPr>
          <w:p>
            <w:pPr>
              <w:spacing w:after="20"/>
              <w:jc w:val="right"/>
            </w:pPr>
            <w:r/>
            <w:r>
              <w:rPr>
                <w:sz w:val="17"/>
              </w:rPr>
              <w:t>281.2</w:t>
            </w:r>
          </w:p>
        </w:tc>
        <w:tc>
          <w:tcPr>
            <w:tcW w:type="dxa" w:w="1296"/>
          </w:tcPr>
          <w:p>
            <w:pPr>
              <w:spacing w:after="20"/>
              <w:jc w:val="right"/>
            </w:pPr>
            <w:r/>
            <w:r>
              <w:rPr>
                <w:sz w:val="17"/>
              </w:rPr>
              <w:t>0.0000</w:t>
            </w:r>
          </w:p>
        </w:tc>
        <w:tc>
          <w:tcPr>
            <w:tcW w:type="dxa" w:w="3744"/>
          </w:tcPr>
          <w:p>
            <w:pPr>
              <w:spacing w:after="20"/>
            </w:pPr>
            <w:r/>
            <w:r>
              <w:rPr>
                <w:sz w:val="17"/>
              </w:rPr>
              <w:t>markdown activity is not independent of holidays</w:t>
            </w:r>
          </w:p>
        </w:tc>
      </w:tr>
    </w:tbl>
    <w:p>
      <w:pPr>
        <w:spacing w:after="40"/>
      </w:pPr>
    </w:p>
    <w:p>
      <w:r>
        <w:rPr>
          <w:b w:val="0"/>
          <w:i/>
          <w:color w:val="626E7B"/>
          <w:sz w:val="19"/>
        </w:rPr>
        <w:t>With 421,570 records almost any difference reaches significance, so effect size matters more than the p-value. The 95% confidence interval for mean weekly sales is $15,913 to $16,050.</w:t>
      </w:r>
    </w:p>
    <w:p>
      <w:pPr>
        <w:pStyle w:val="Heading2"/>
      </w:pPr>
      <w:r>
        <w:t>Experiment 8 — Time series</w:t>
      </w:r>
    </w:p>
    <w:p>
      <w:r>
        <w:rPr>
          <w:b w:val="0"/>
          <w:i w:val="0"/>
        </w:rPr>
        <w:t>Classical multiplicative decomposition with a 52-week period, then a forecast built by projecting the trend and multiplying by each target week's seasonal index.</w:t>
      </w:r>
    </w:p>
    <w:p>
      <w:pPr>
        <w:spacing w:after="40"/>
        <w:jc w:val="center"/>
      </w:pPr>
      <w:r>
        <w:drawing>
          <wp:inline xmlns:a="http://schemas.openxmlformats.org/drawingml/2006/main" xmlns:pic="http://schemas.openxmlformats.org/drawingml/2006/picture">
            <wp:extent cx="6126480" cy="1933474"/>
            <wp:docPr id="8" name="Picture 8"/>
            <wp:cNvGraphicFramePr>
              <a:graphicFrameLocks noChangeAspect="1"/>
            </wp:cNvGraphicFramePr>
            <a:graphic>
              <a:graphicData uri="http://schemas.openxmlformats.org/drawingml/2006/picture">
                <pic:pic>
                  <pic:nvPicPr>
                    <pic:cNvPr id="0" name="seasonal.png"/>
                    <pic:cNvPicPr/>
                  </pic:nvPicPr>
                  <pic:blipFill>
                    <a:blip r:embed="rId18"/>
                    <a:stretch>
                      <a:fillRect/>
                    </a:stretch>
                  </pic:blipFill>
                  <pic:spPr>
                    <a:xfrm>
                      <a:off x="0" y="0"/>
                      <a:ext cx="6126480" cy="1933474"/>
                    </a:xfrm>
                    <a:prstGeom prst="rect"/>
                  </pic:spPr>
                </pic:pic>
              </a:graphicData>
            </a:graphic>
          </wp:inline>
        </w:drawing>
      </w:r>
    </w:p>
    <w:p>
      <w:pPr>
        <w:spacing w:after="240"/>
        <w:jc w:val="center"/>
      </w:pPr>
      <w:r>
        <w:rPr>
          <w:b w:val="0"/>
          <w:i/>
          <w:color w:val="626E7B"/>
          <w:sz w:val="17"/>
        </w:rPr>
        <w:t>Figure 8. Seasonal index by calendar week. Week 51 runs 67% above trend and week 47 runs 40% above; between them they decide the quarter.</w:t>
      </w:r>
    </w:p>
    <w:p>
      <w:pPr>
        <w:spacing w:after="40"/>
        <w:jc w:val="center"/>
      </w:pPr>
      <w:r>
        <w:drawing>
          <wp:inline xmlns:a="http://schemas.openxmlformats.org/drawingml/2006/main" xmlns:pic="http://schemas.openxmlformats.org/drawingml/2006/picture">
            <wp:extent cx="6126480" cy="2007838"/>
            <wp:docPr id="9" name="Picture 9"/>
            <wp:cNvGraphicFramePr>
              <a:graphicFrameLocks noChangeAspect="1"/>
            </wp:cNvGraphicFramePr>
            <a:graphic>
              <a:graphicData uri="http://schemas.openxmlformats.org/drawingml/2006/picture">
                <pic:pic>
                  <pic:nvPicPr>
                    <pic:cNvPr id="0" name="forecast.png"/>
                    <pic:cNvPicPr/>
                  </pic:nvPicPr>
                  <pic:blipFill>
                    <a:blip r:embed="rId19"/>
                    <a:stretch>
                      <a:fillRect/>
                    </a:stretch>
                  </pic:blipFill>
                  <pic:spPr>
                    <a:xfrm>
                      <a:off x="0" y="0"/>
                      <a:ext cx="6126480" cy="2007838"/>
                    </a:xfrm>
                    <a:prstGeom prst="rect"/>
                  </pic:spPr>
                </pic:pic>
              </a:graphicData>
            </a:graphic>
          </wp:inline>
        </w:drawing>
      </w:r>
    </w:p>
    <w:p>
      <w:pPr>
        <w:spacing w:after="240"/>
        <w:jc w:val="center"/>
      </w:pPr>
      <w:r>
        <w:rPr>
          <w:b w:val="0"/>
          <w:i/>
          <w:color w:val="626E7B"/>
          <w:sz w:val="17"/>
        </w:rPr>
        <w:t>Figure 9. Left: fourteen weeks ahead with a 95% band. Right: the backtest against 13 fully held-out weeks.</w:t>
      </w:r>
    </w:p>
    <w:p>
      <w:r>
        <w:rPr>
          <w:b w:val="0"/>
          <w:i/>
          <w:color w:val="626E7B"/>
          <w:sz w:val="19"/>
        </w:rPr>
        <w:t>The backtest is honest: both the trend and the seasonal index were refitted on the first 130 weeks only, so none of the 13 scored weeks influenced the model that scored them. It reaches 1.81% MAPE against 2.04% for a seasonal-naive benchmark — a win, but a narrow one, because a series this seasonal makes last year's same week a strong guess already. The held-out window is also a quiet stretch of late summer, so it does not test the peaks.</w:t>
      </w:r>
    </w:p>
    <w:p>
      <w:r>
        <w:br w:type="page"/>
      </w:r>
    </w:p>
    <w:p>
      <w:pPr>
        <w:pStyle w:val="Heading1"/>
      </w:pPr>
      <w:r>
        <w:t>5.  Business impact</w:t>
      </w:r>
    </w:p>
    <w:p>
      <w:pPr>
        <w:pStyle w:val="Heading2"/>
      </w:pPr>
      <w:r>
        <w:t>Store format</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799"/>
            <w:shd w:val="clear" w:fill="EEF3F8"/>
          </w:tcPr>
          <w:p>
            <w:pPr>
              <w:spacing w:after="20"/>
            </w:pPr>
            <w:r/>
            <w:r>
              <w:rPr>
                <w:b/>
                <w:sz w:val="18"/>
              </w:rPr>
              <w:t>Format</w:t>
            </w:r>
          </w:p>
        </w:tc>
        <w:tc>
          <w:tcPr>
            <w:tcW w:type="dxa" w:w="1145"/>
            <w:shd w:val="clear" w:fill="EEF3F8"/>
          </w:tcPr>
          <w:p>
            <w:pPr>
              <w:spacing w:after="20"/>
            </w:pPr>
            <w:r/>
            <w:r>
              <w:rPr>
                <w:b/>
                <w:sz w:val="18"/>
              </w:rPr>
              <w:t>Stores</w:t>
            </w:r>
          </w:p>
        </w:tc>
        <w:tc>
          <w:tcPr>
            <w:tcW w:type="dxa" w:w="1799"/>
            <w:shd w:val="clear" w:fill="EEF3F8"/>
          </w:tcPr>
          <w:p>
            <w:pPr>
              <w:spacing w:after="20"/>
            </w:pPr>
            <w:r/>
            <w:r>
              <w:rPr>
                <w:b/>
                <w:sz w:val="18"/>
              </w:rPr>
              <w:t>Avg size</w:t>
            </w:r>
          </w:p>
        </w:tc>
        <w:tc>
          <w:tcPr>
            <w:tcW w:type="dxa" w:w="1962"/>
            <w:shd w:val="clear" w:fill="EEF3F8"/>
          </w:tcPr>
          <w:p>
            <w:pPr>
              <w:spacing w:after="20"/>
            </w:pPr>
            <w:r/>
            <w:r>
              <w:rPr>
                <w:b/>
                <w:sz w:val="18"/>
              </w:rPr>
              <w:t>Revenue</w:t>
            </w:r>
          </w:p>
        </w:tc>
        <w:tc>
          <w:tcPr>
            <w:tcW w:type="dxa" w:w="1308"/>
            <w:shd w:val="clear" w:fill="EEF3F8"/>
          </w:tcPr>
          <w:p>
            <w:pPr>
              <w:spacing w:after="20"/>
            </w:pPr>
            <w:r/>
            <w:r>
              <w:rPr>
                <w:b/>
                <w:sz w:val="18"/>
              </w:rPr>
              <w:t>Share</w:t>
            </w:r>
          </w:p>
        </w:tc>
        <w:tc>
          <w:tcPr>
            <w:tcW w:type="dxa" w:w="1635"/>
            <w:shd w:val="clear" w:fill="EEF3F8"/>
          </w:tcPr>
          <w:p>
            <w:pPr>
              <w:spacing w:after="20"/>
            </w:pPr>
            <w:r/>
            <w:r>
              <w:rPr>
                <w:b/>
                <w:sz w:val="18"/>
              </w:rPr>
              <w:t>$/sq ft</w:t>
            </w:r>
          </w:p>
        </w:tc>
      </w:tr>
      <w:tr>
        <w:tc>
          <w:tcPr>
            <w:tcW w:type="dxa" w:w="1799"/>
          </w:tcPr>
          <w:p>
            <w:pPr>
              <w:spacing w:after="20"/>
            </w:pPr>
            <w:r/>
            <w:r>
              <w:rPr>
                <w:sz w:val="18"/>
              </w:rPr>
              <w:t>Type A</w:t>
            </w:r>
          </w:p>
        </w:tc>
        <w:tc>
          <w:tcPr>
            <w:tcW w:type="dxa" w:w="1145"/>
          </w:tcPr>
          <w:p>
            <w:pPr>
              <w:spacing w:after="20"/>
              <w:jc w:val="right"/>
            </w:pPr>
            <w:r/>
            <w:r>
              <w:rPr>
                <w:sz w:val="18"/>
              </w:rPr>
              <w:t>22</w:t>
            </w:r>
          </w:p>
        </w:tc>
        <w:tc>
          <w:tcPr>
            <w:tcW w:type="dxa" w:w="1799"/>
          </w:tcPr>
          <w:p>
            <w:pPr>
              <w:spacing w:after="20"/>
              <w:jc w:val="right"/>
            </w:pPr>
            <w:r/>
            <w:r>
              <w:rPr>
                <w:sz w:val="18"/>
              </w:rPr>
              <w:t>177,248</w:t>
            </w:r>
          </w:p>
        </w:tc>
        <w:tc>
          <w:tcPr>
            <w:tcW w:type="dxa" w:w="1962"/>
          </w:tcPr>
          <w:p>
            <w:pPr>
              <w:spacing w:after="20"/>
              <w:jc w:val="right"/>
            </w:pPr>
            <w:r/>
            <w:r>
              <w:rPr>
                <w:sz w:val="18"/>
              </w:rPr>
              <w:t>$4.33B</w:t>
            </w:r>
          </w:p>
        </w:tc>
        <w:tc>
          <w:tcPr>
            <w:tcW w:type="dxa" w:w="1308"/>
          </w:tcPr>
          <w:p>
            <w:pPr>
              <w:spacing w:after="20"/>
              <w:jc w:val="right"/>
            </w:pPr>
            <w:r/>
            <w:r>
              <w:rPr>
                <w:sz w:val="18"/>
              </w:rPr>
              <w:t>64.3%</w:t>
            </w:r>
          </w:p>
        </w:tc>
        <w:tc>
          <w:tcPr>
            <w:tcW w:type="dxa" w:w="1635"/>
          </w:tcPr>
          <w:p>
            <w:pPr>
              <w:spacing w:after="20"/>
              <w:jc w:val="right"/>
            </w:pPr>
            <w:r/>
            <w:r>
              <w:rPr>
                <w:sz w:val="18"/>
              </w:rPr>
              <w:t>$1,111</w:t>
            </w:r>
          </w:p>
        </w:tc>
      </w:tr>
      <w:tr>
        <w:tc>
          <w:tcPr>
            <w:tcW w:type="dxa" w:w="1799"/>
          </w:tcPr>
          <w:p>
            <w:pPr>
              <w:spacing w:after="20"/>
            </w:pPr>
            <w:r/>
            <w:r>
              <w:rPr>
                <w:sz w:val="18"/>
              </w:rPr>
              <w:t>Type B</w:t>
            </w:r>
          </w:p>
        </w:tc>
        <w:tc>
          <w:tcPr>
            <w:tcW w:type="dxa" w:w="1145"/>
          </w:tcPr>
          <w:p>
            <w:pPr>
              <w:spacing w:after="20"/>
              <w:jc w:val="right"/>
            </w:pPr>
            <w:r/>
            <w:r>
              <w:rPr>
                <w:sz w:val="18"/>
              </w:rPr>
              <w:t>17</w:t>
            </w:r>
          </w:p>
        </w:tc>
        <w:tc>
          <w:tcPr>
            <w:tcW w:type="dxa" w:w="1799"/>
          </w:tcPr>
          <w:p>
            <w:pPr>
              <w:spacing w:after="20"/>
              <w:jc w:val="right"/>
            </w:pPr>
            <w:r/>
            <w:r>
              <w:rPr>
                <w:sz w:val="18"/>
              </w:rPr>
              <w:t>101,191</w:t>
            </w:r>
          </w:p>
        </w:tc>
        <w:tc>
          <w:tcPr>
            <w:tcW w:type="dxa" w:w="1962"/>
          </w:tcPr>
          <w:p>
            <w:pPr>
              <w:spacing w:after="20"/>
              <w:jc w:val="right"/>
            </w:pPr>
            <w:r/>
            <w:r>
              <w:rPr>
                <w:sz w:val="18"/>
              </w:rPr>
              <w:t>$2.00B</w:t>
            </w:r>
          </w:p>
        </w:tc>
        <w:tc>
          <w:tcPr>
            <w:tcW w:type="dxa" w:w="1308"/>
          </w:tcPr>
          <w:p>
            <w:pPr>
              <w:spacing w:after="20"/>
              <w:jc w:val="right"/>
            </w:pPr>
            <w:r/>
            <w:r>
              <w:rPr>
                <w:sz w:val="18"/>
              </w:rPr>
              <w:t>29.7%</w:t>
            </w:r>
          </w:p>
        </w:tc>
        <w:tc>
          <w:tcPr>
            <w:tcW w:type="dxa" w:w="1635"/>
          </w:tcPr>
          <w:p>
            <w:pPr>
              <w:spacing w:after="20"/>
              <w:jc w:val="right"/>
            </w:pPr>
            <w:r/>
            <w:r>
              <w:rPr>
                <w:sz w:val="18"/>
              </w:rPr>
              <w:t>$1,163</w:t>
            </w:r>
          </w:p>
        </w:tc>
      </w:tr>
      <w:tr>
        <w:tc>
          <w:tcPr>
            <w:tcW w:type="dxa" w:w="1799"/>
          </w:tcPr>
          <w:p>
            <w:pPr>
              <w:spacing w:after="20"/>
            </w:pPr>
            <w:r/>
            <w:r>
              <w:rPr>
                <w:sz w:val="18"/>
              </w:rPr>
              <w:t>Type C</w:t>
            </w:r>
          </w:p>
        </w:tc>
        <w:tc>
          <w:tcPr>
            <w:tcW w:type="dxa" w:w="1145"/>
          </w:tcPr>
          <w:p>
            <w:pPr>
              <w:spacing w:after="20"/>
              <w:jc w:val="right"/>
            </w:pPr>
            <w:r/>
            <w:r>
              <w:rPr>
                <w:sz w:val="18"/>
              </w:rPr>
              <w:t>6</w:t>
            </w:r>
          </w:p>
        </w:tc>
        <w:tc>
          <w:tcPr>
            <w:tcW w:type="dxa" w:w="1799"/>
          </w:tcPr>
          <w:p>
            <w:pPr>
              <w:spacing w:after="20"/>
              <w:jc w:val="right"/>
            </w:pPr>
            <w:r/>
            <w:r>
              <w:rPr>
                <w:sz w:val="18"/>
              </w:rPr>
              <w:t>40,542</w:t>
            </w:r>
          </w:p>
        </w:tc>
        <w:tc>
          <w:tcPr>
            <w:tcW w:type="dxa" w:w="1962"/>
          </w:tcPr>
          <w:p>
            <w:pPr>
              <w:spacing w:after="20"/>
              <w:jc w:val="right"/>
            </w:pPr>
            <w:r/>
            <w:r>
              <w:rPr>
                <w:sz w:val="18"/>
              </w:rPr>
              <w:t>$405.5M</w:t>
            </w:r>
          </w:p>
        </w:tc>
        <w:tc>
          <w:tcPr>
            <w:tcW w:type="dxa" w:w="1308"/>
          </w:tcPr>
          <w:p>
            <w:pPr>
              <w:spacing w:after="20"/>
              <w:jc w:val="right"/>
            </w:pPr>
            <w:r/>
            <w:r>
              <w:rPr>
                <w:sz w:val="18"/>
              </w:rPr>
              <w:t>6.0%</w:t>
            </w:r>
          </w:p>
        </w:tc>
        <w:tc>
          <w:tcPr>
            <w:tcW w:type="dxa" w:w="1635"/>
          </w:tcPr>
          <w:p>
            <w:pPr>
              <w:spacing w:after="20"/>
              <w:jc w:val="right"/>
            </w:pPr>
            <w:r/>
            <w:r>
              <w:rPr>
                <w:sz w:val="18"/>
              </w:rPr>
              <w:t>$1,667</w:t>
            </w:r>
          </w:p>
        </w:tc>
      </w:tr>
    </w:tbl>
    <w:p>
      <w:pPr>
        <w:spacing w:after="40"/>
      </w:pPr>
    </w:p>
    <w:p>
      <w:pPr>
        <w:spacing w:after="40"/>
        <w:jc w:val="center"/>
      </w:pPr>
      <w:r>
        <w:drawing>
          <wp:inline xmlns:a="http://schemas.openxmlformats.org/drawingml/2006/main" xmlns:pic="http://schemas.openxmlformats.org/drawingml/2006/picture">
            <wp:extent cx="6126480" cy="2007838"/>
            <wp:docPr id="10" name="Picture 10"/>
            <wp:cNvGraphicFramePr>
              <a:graphicFrameLocks noChangeAspect="1"/>
            </wp:cNvGraphicFramePr>
            <a:graphic>
              <a:graphicData uri="http://schemas.openxmlformats.org/drawingml/2006/picture">
                <pic:pic>
                  <pic:nvPicPr>
                    <pic:cNvPr id="0" name="formats.png"/>
                    <pic:cNvPicPr/>
                  </pic:nvPicPr>
                  <pic:blipFill>
                    <a:blip r:embed="rId20"/>
                    <a:stretch>
                      <a:fillRect/>
                    </a:stretch>
                  </pic:blipFill>
                  <pic:spPr>
                    <a:xfrm>
                      <a:off x="0" y="0"/>
                      <a:ext cx="6126480" cy="2007838"/>
                    </a:xfrm>
                    <a:prstGeom prst="rect"/>
                  </pic:spPr>
                </pic:pic>
              </a:graphicData>
            </a:graphic>
          </wp:inline>
        </w:drawing>
      </w:r>
    </w:p>
    <w:p>
      <w:pPr>
        <w:spacing w:after="240"/>
        <w:jc w:val="center"/>
      </w:pPr>
      <w:r>
        <w:rPr>
          <w:b w:val="0"/>
          <w:i/>
          <w:color w:val="626E7B"/>
          <w:sz w:val="17"/>
        </w:rPr>
        <w:t>Figure 10. Type A takes most of the revenue because it has most of the square footage. Per square foot the ranking reverses.</w:t>
      </w:r>
    </w:p>
    <w:p>
      <w:pPr>
        <w:pStyle w:val="Heading2"/>
      </w:pPr>
      <w:r>
        <w:t>The holiday calendar</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366"/>
            <w:shd w:val="clear" w:fill="EEF3F8"/>
          </w:tcPr>
          <w:p>
            <w:pPr>
              <w:spacing w:after="20"/>
            </w:pPr>
            <w:r/>
            <w:r>
              <w:rPr>
                <w:b/>
                <w:sz w:val="18"/>
              </w:rPr>
              <w:t>Holiday</w:t>
            </w:r>
          </w:p>
        </w:tc>
        <w:tc>
          <w:tcPr>
            <w:tcW w:type="dxa" w:w="1092"/>
            <w:shd w:val="clear" w:fill="EEF3F8"/>
          </w:tcPr>
          <w:p>
            <w:pPr>
              <w:spacing w:after="20"/>
            </w:pPr>
            <w:r/>
            <w:r>
              <w:rPr>
                <w:b/>
                <w:sz w:val="18"/>
              </w:rPr>
              <w:t>Weeks</w:t>
            </w:r>
          </w:p>
        </w:tc>
        <w:tc>
          <w:tcPr>
            <w:tcW w:type="dxa" w:w="2366"/>
            <w:shd w:val="clear" w:fill="EEF3F8"/>
          </w:tcPr>
          <w:p>
            <w:pPr>
              <w:spacing w:after="20"/>
            </w:pPr>
            <w:r/>
            <w:r>
              <w:rPr>
                <w:b/>
                <w:sz w:val="18"/>
              </w:rPr>
              <w:t>Flagged week</w:t>
            </w:r>
          </w:p>
        </w:tc>
        <w:tc>
          <w:tcPr>
            <w:tcW w:type="dxa" w:w="2366"/>
            <w:shd w:val="clear" w:fill="EEF3F8"/>
          </w:tcPr>
          <w:p>
            <w:pPr>
              <w:spacing w:after="20"/>
            </w:pPr>
            <w:r/>
            <w:r>
              <w:rPr>
                <w:b/>
                <w:sz w:val="18"/>
              </w:rPr>
              <w:t>Baseline</w:t>
            </w:r>
          </w:p>
        </w:tc>
        <w:tc>
          <w:tcPr>
            <w:tcW w:type="dxa" w:w="1456"/>
            <w:shd w:val="clear" w:fill="EEF3F8"/>
          </w:tcPr>
          <w:p>
            <w:pPr>
              <w:spacing w:after="20"/>
            </w:pPr>
            <w:r/>
            <w:r>
              <w:rPr>
                <w:b/>
                <w:sz w:val="18"/>
              </w:rPr>
              <w:t>Lift</w:t>
            </w:r>
          </w:p>
        </w:tc>
      </w:tr>
      <w:tr>
        <w:tc>
          <w:tcPr>
            <w:tcW w:type="dxa" w:w="2366"/>
          </w:tcPr>
          <w:p>
            <w:pPr>
              <w:spacing w:after="20"/>
            </w:pPr>
            <w:r/>
            <w:r>
              <w:rPr>
                <w:sz w:val="18"/>
              </w:rPr>
              <w:t>Thanksgiving</w:t>
            </w:r>
          </w:p>
        </w:tc>
        <w:tc>
          <w:tcPr>
            <w:tcW w:type="dxa" w:w="1092"/>
          </w:tcPr>
          <w:p>
            <w:pPr>
              <w:spacing w:after="20"/>
              <w:jc w:val="right"/>
            </w:pPr>
            <w:r/>
            <w:r>
              <w:rPr>
                <w:sz w:val="18"/>
              </w:rPr>
              <w:t>2</w:t>
            </w:r>
          </w:p>
        </w:tc>
        <w:tc>
          <w:tcPr>
            <w:tcW w:type="dxa" w:w="2366"/>
          </w:tcPr>
          <w:p>
            <w:pPr>
              <w:spacing w:after="20"/>
              <w:jc w:val="right"/>
            </w:pPr>
            <w:r/>
            <w:r>
              <w:rPr>
                <w:sz w:val="18"/>
              </w:rPr>
              <w:t>$66.2M</w:t>
            </w:r>
          </w:p>
        </w:tc>
        <w:tc>
          <w:tcPr>
            <w:tcW w:type="dxa" w:w="2366"/>
          </w:tcPr>
          <w:p>
            <w:pPr>
              <w:spacing w:after="20"/>
              <w:jc w:val="right"/>
            </w:pPr>
            <w:r/>
            <w:r>
              <w:rPr>
                <w:sz w:val="18"/>
              </w:rPr>
              <w:t>$46.8M</w:t>
            </w:r>
          </w:p>
        </w:tc>
        <w:tc>
          <w:tcPr>
            <w:tcW w:type="dxa" w:w="1456"/>
          </w:tcPr>
          <w:p>
            <w:pPr>
              <w:spacing w:after="20"/>
            </w:pPr>
            <w:r/>
            <w:r>
              <w:rPr>
                <w:sz w:val="18"/>
              </w:rPr>
              <w:t>+41.6%</w:t>
            </w:r>
          </w:p>
        </w:tc>
      </w:tr>
      <w:tr>
        <w:tc>
          <w:tcPr>
            <w:tcW w:type="dxa" w:w="2366"/>
          </w:tcPr>
          <w:p>
            <w:pPr>
              <w:spacing w:after="20"/>
            </w:pPr>
            <w:r/>
            <w:r>
              <w:rPr>
                <w:sz w:val="18"/>
              </w:rPr>
              <w:t>Labor Day</w:t>
            </w:r>
          </w:p>
        </w:tc>
        <w:tc>
          <w:tcPr>
            <w:tcW w:type="dxa" w:w="1092"/>
          </w:tcPr>
          <w:p>
            <w:pPr>
              <w:spacing w:after="20"/>
              <w:jc w:val="right"/>
            </w:pPr>
            <w:r/>
            <w:r>
              <w:rPr>
                <w:sz w:val="18"/>
              </w:rPr>
              <w:t>3</w:t>
            </w:r>
          </w:p>
        </w:tc>
        <w:tc>
          <w:tcPr>
            <w:tcW w:type="dxa" w:w="2366"/>
          </w:tcPr>
          <w:p>
            <w:pPr>
              <w:spacing w:after="20"/>
              <w:jc w:val="right"/>
            </w:pPr>
            <w:r/>
            <w:r>
              <w:rPr>
                <w:sz w:val="18"/>
              </w:rPr>
              <w:t>$46.9M</w:t>
            </w:r>
          </w:p>
        </w:tc>
        <w:tc>
          <w:tcPr>
            <w:tcW w:type="dxa" w:w="2366"/>
          </w:tcPr>
          <w:p>
            <w:pPr>
              <w:spacing w:after="20"/>
              <w:jc w:val="right"/>
            </w:pPr>
            <w:r/>
            <w:r>
              <w:rPr>
                <w:sz w:val="18"/>
              </w:rPr>
              <w:t>$43.8M</w:t>
            </w:r>
          </w:p>
        </w:tc>
        <w:tc>
          <w:tcPr>
            <w:tcW w:type="dxa" w:w="1456"/>
          </w:tcPr>
          <w:p>
            <w:pPr>
              <w:spacing w:after="20"/>
            </w:pPr>
            <w:r/>
            <w:r>
              <w:rPr>
                <w:sz w:val="18"/>
              </w:rPr>
              <w:t>+7.1%</w:t>
            </w:r>
          </w:p>
        </w:tc>
      </w:tr>
      <w:tr>
        <w:tc>
          <w:tcPr>
            <w:tcW w:type="dxa" w:w="2366"/>
          </w:tcPr>
          <w:p>
            <w:pPr>
              <w:spacing w:after="20"/>
            </w:pPr>
            <w:r/>
            <w:r>
              <w:rPr>
                <w:sz w:val="18"/>
              </w:rPr>
              <w:t>Super Bowl</w:t>
            </w:r>
          </w:p>
        </w:tc>
        <w:tc>
          <w:tcPr>
            <w:tcW w:type="dxa" w:w="1092"/>
          </w:tcPr>
          <w:p>
            <w:pPr>
              <w:spacing w:after="20"/>
              <w:jc w:val="right"/>
            </w:pPr>
            <w:r/>
            <w:r>
              <w:rPr>
                <w:sz w:val="18"/>
              </w:rPr>
              <w:t>3</w:t>
            </w:r>
          </w:p>
        </w:tc>
        <w:tc>
          <w:tcPr>
            <w:tcW w:type="dxa" w:w="2366"/>
          </w:tcPr>
          <w:p>
            <w:pPr>
              <w:spacing w:after="20"/>
              <w:jc w:val="right"/>
            </w:pPr>
            <w:r/>
            <w:r>
              <w:rPr>
                <w:sz w:val="18"/>
              </w:rPr>
              <w:t>$48.6M</w:t>
            </w:r>
          </w:p>
        </w:tc>
        <w:tc>
          <w:tcPr>
            <w:tcW w:type="dxa" w:w="2366"/>
          </w:tcPr>
          <w:p>
            <w:pPr>
              <w:spacing w:after="20"/>
              <w:jc w:val="right"/>
            </w:pPr>
            <w:r/>
            <w:r>
              <w:rPr>
                <w:sz w:val="18"/>
              </w:rPr>
              <w:t>$47.0M</w:t>
            </w:r>
          </w:p>
        </w:tc>
        <w:tc>
          <w:tcPr>
            <w:tcW w:type="dxa" w:w="1456"/>
          </w:tcPr>
          <w:p>
            <w:pPr>
              <w:spacing w:after="20"/>
            </w:pPr>
            <w:r/>
            <w:r>
              <w:rPr>
                <w:sz w:val="18"/>
              </w:rPr>
              <w:t>+3.3%</w:t>
            </w:r>
          </w:p>
        </w:tc>
      </w:tr>
      <w:tr>
        <w:tc>
          <w:tcPr>
            <w:tcW w:type="dxa" w:w="2366"/>
          </w:tcPr>
          <w:p>
            <w:pPr>
              <w:spacing w:after="20"/>
            </w:pPr>
            <w:r/>
            <w:r>
              <w:rPr>
                <w:sz w:val="18"/>
              </w:rPr>
              <w:t>Christmas</w:t>
            </w:r>
          </w:p>
        </w:tc>
        <w:tc>
          <w:tcPr>
            <w:tcW w:type="dxa" w:w="1092"/>
          </w:tcPr>
          <w:p>
            <w:pPr>
              <w:spacing w:after="20"/>
              <w:jc w:val="right"/>
            </w:pPr>
            <w:r/>
            <w:r>
              <w:rPr>
                <w:sz w:val="18"/>
              </w:rPr>
              <w:t>2</w:t>
            </w:r>
          </w:p>
        </w:tc>
        <w:tc>
          <w:tcPr>
            <w:tcW w:type="dxa" w:w="2366"/>
          </w:tcPr>
          <w:p>
            <w:pPr>
              <w:spacing w:after="20"/>
              <w:jc w:val="right"/>
            </w:pPr>
            <w:r/>
            <w:r>
              <w:rPr>
                <w:sz w:val="18"/>
              </w:rPr>
              <w:t>$43.2M</w:t>
            </w:r>
          </w:p>
        </w:tc>
        <w:tc>
          <w:tcPr>
            <w:tcW w:type="dxa" w:w="2366"/>
          </w:tcPr>
          <w:p>
            <w:pPr>
              <w:spacing w:after="20"/>
              <w:jc w:val="right"/>
            </w:pPr>
            <w:r/>
            <w:r>
              <w:rPr>
                <w:sz w:val="18"/>
              </w:rPr>
              <w:t>$61.3M</w:t>
            </w:r>
          </w:p>
        </w:tc>
        <w:tc>
          <w:tcPr>
            <w:tcW w:type="dxa" w:w="1456"/>
          </w:tcPr>
          <w:p>
            <w:pPr>
              <w:spacing w:after="20"/>
              <w:jc w:val="right"/>
            </w:pPr>
            <w:r/>
            <w:r>
              <w:rPr>
                <w:sz w:val="18"/>
              </w:rPr>
              <w:t>-29.5%</w:t>
            </w:r>
          </w:p>
        </w:tc>
      </w:tr>
    </w:tbl>
    <w:p>
      <w:pPr>
        <w:spacing w:after="40"/>
      </w:pPr>
    </w:p>
    <w:p>
      <w:pPr>
        <w:spacing w:after="40"/>
        <w:jc w:val="center"/>
      </w:pPr>
      <w:r>
        <w:drawing>
          <wp:inline xmlns:a="http://schemas.openxmlformats.org/drawingml/2006/main" xmlns:pic="http://schemas.openxmlformats.org/drawingml/2006/picture">
            <wp:extent cx="3108960" cy="1836567"/>
            <wp:docPr id="11" name="Picture 11"/>
            <wp:cNvGraphicFramePr>
              <a:graphicFrameLocks noChangeAspect="1"/>
            </wp:cNvGraphicFramePr>
            <a:graphic>
              <a:graphicData uri="http://schemas.openxmlformats.org/drawingml/2006/picture">
                <pic:pic>
                  <pic:nvPicPr>
                    <pic:cNvPr id="0" name="holidays.png"/>
                    <pic:cNvPicPr/>
                  </pic:nvPicPr>
                  <pic:blipFill>
                    <a:blip r:embed="rId21"/>
                    <a:stretch>
                      <a:fillRect/>
                    </a:stretch>
                  </pic:blipFill>
                  <pic:spPr>
                    <a:xfrm>
                      <a:off x="0" y="0"/>
                      <a:ext cx="3108960" cy="1836567"/>
                    </a:xfrm>
                    <a:prstGeom prst="rect"/>
                  </pic:spPr>
                </pic:pic>
              </a:graphicData>
            </a:graphic>
          </wp:inline>
        </w:drawing>
      </w:r>
    </w:p>
    <w:p>
      <w:pPr>
        <w:spacing w:after="240"/>
        <w:jc w:val="center"/>
      </w:pPr>
      <w:r>
        <w:rPr>
          <w:b w:val="0"/>
          <w:i/>
          <w:color w:val="626E7B"/>
          <w:sz w:val="17"/>
        </w:rPr>
        <w:t>Figure 11. Only Thanksgiving earns its flag. The Christmas flag lands on the week after Christmas Day, which is a trough.</w:t>
      </w:r>
    </w:p>
    <w:p>
      <w:pPr>
        <w:pStyle w:val="Heading2"/>
      </w:pPr>
      <w:r>
        <w:t>Departments</w:t>
      </w:r>
    </w:p>
    <w:p>
      <w:r>
        <w:rPr>
          <w:b w:val="0"/>
          <w:i w:val="0"/>
        </w:rPr>
        <w:t>29 of 81 departments produce 80% of revenue. The top ten take 46%, while the bottom half of all departments contribute 8.7% between them.</w:t>
      </w:r>
    </w:p>
    <w:p>
      <w:pPr>
        <w:spacing w:after="40"/>
        <w:jc w:val="center"/>
      </w:pPr>
      <w:r>
        <w:drawing>
          <wp:inline xmlns:a="http://schemas.openxmlformats.org/drawingml/2006/main" xmlns:pic="http://schemas.openxmlformats.org/drawingml/2006/picture">
            <wp:extent cx="6126480" cy="2179448"/>
            <wp:docPr id="12" name="Picture 12"/>
            <wp:cNvGraphicFramePr>
              <a:graphicFrameLocks noChangeAspect="1"/>
            </wp:cNvGraphicFramePr>
            <a:graphic>
              <a:graphicData uri="http://schemas.openxmlformats.org/drawingml/2006/picture">
                <pic:pic>
                  <pic:nvPicPr>
                    <pic:cNvPr id="0" name="pareto.png"/>
                    <pic:cNvPicPr/>
                  </pic:nvPicPr>
                  <pic:blipFill>
                    <a:blip r:embed="rId22"/>
                    <a:stretch>
                      <a:fillRect/>
                    </a:stretch>
                  </pic:blipFill>
                  <pic:spPr>
                    <a:xfrm>
                      <a:off x="0" y="0"/>
                      <a:ext cx="6126480" cy="2179448"/>
                    </a:xfrm>
                    <a:prstGeom prst="rect"/>
                  </pic:spPr>
                </pic:pic>
              </a:graphicData>
            </a:graphic>
          </wp:inline>
        </w:drawing>
      </w:r>
    </w:p>
    <w:p>
      <w:pPr>
        <w:spacing w:after="240"/>
        <w:jc w:val="center"/>
      </w:pPr>
      <w:r>
        <w:rPr>
          <w:b w:val="0"/>
          <w:i/>
          <w:color w:val="626E7B"/>
          <w:sz w:val="17"/>
        </w:rPr>
        <w:t>Figure 12. The 25 largest departments with cumulative share.</w:t>
      </w:r>
    </w:p>
    <w:p>
      <w:pPr>
        <w:spacing w:after="40"/>
        <w:jc w:val="center"/>
      </w:pPr>
      <w:r>
        <w:drawing>
          <wp:inline xmlns:a="http://schemas.openxmlformats.org/drawingml/2006/main" xmlns:pic="http://schemas.openxmlformats.org/drawingml/2006/picture">
            <wp:extent cx="5120640" cy="3323566"/>
            <wp:docPr id="13" name="Picture 13"/>
            <wp:cNvGraphicFramePr>
              <a:graphicFrameLocks noChangeAspect="1"/>
            </wp:cNvGraphicFramePr>
            <a:graphic>
              <a:graphicData uri="http://schemas.openxmlformats.org/drawingml/2006/picture">
                <pic:pic>
                  <pic:nvPicPr>
                    <pic:cNvPr id="0" name="heatmap.png"/>
                    <pic:cNvPicPr/>
                  </pic:nvPicPr>
                  <pic:blipFill>
                    <a:blip r:embed="rId23"/>
                    <a:stretch>
                      <a:fillRect/>
                    </a:stretch>
                  </pic:blipFill>
                  <pic:spPr>
                    <a:xfrm>
                      <a:off x="0" y="0"/>
                      <a:ext cx="5120640" cy="3323566"/>
                    </a:xfrm>
                    <a:prstGeom prst="rect"/>
                  </pic:spPr>
                </pic:pic>
              </a:graphicData>
            </a:graphic>
          </wp:inline>
        </w:drawing>
      </w:r>
    </w:p>
    <w:p>
      <w:pPr>
        <w:spacing w:after="240"/>
        <w:jc w:val="center"/>
      </w:pPr>
      <w:r>
        <w:rPr>
          <w:b w:val="0"/>
          <w:i/>
          <w:color w:val="626E7B"/>
          <w:sz w:val="17"/>
        </w:rPr>
        <w:t>Figure 13. Each store's revenue mix across the 20 largest departments, as a share of that store's own revenue so large and small stores compare directly.</w:t>
      </w:r>
    </w:p>
    <w:p>
      <w:pPr>
        <w:pStyle w:val="Heading2"/>
      </w:pPr>
      <w:r>
        <w:t>Markdowns</w:t>
      </w:r>
    </w:p>
    <w:p>
      <w:r>
        <w:rPr>
          <w:b w:val="0"/>
          <w:i w:val="0"/>
        </w:rPr>
        <w:t>This is the finding most likely to be read the wrong way. Across records the deepest markdown quintile averages $19,903 against $9,477 in the lightest, which looks like a powerful promotion effect. It is mostly confounding: large departments receive large markdowns and already sell more. Removing each store-department's own average leaves a slope of $0.01 of sales per markdown dollar, explaining 0.1% of a store's own week-to-week swing.</w:t>
      </w:r>
    </w:p>
    <w:p>
      <w:pPr>
        <w:spacing w:after="40"/>
        <w:jc w:val="center"/>
      </w:pPr>
      <w:r>
        <w:drawing>
          <wp:inline xmlns:a="http://schemas.openxmlformats.org/drawingml/2006/main" xmlns:pic="http://schemas.openxmlformats.org/drawingml/2006/picture">
            <wp:extent cx="3108960" cy="1847266"/>
            <wp:docPr id="14" name="Picture 14"/>
            <wp:cNvGraphicFramePr>
              <a:graphicFrameLocks noChangeAspect="1"/>
            </wp:cNvGraphicFramePr>
            <a:graphic>
              <a:graphicData uri="http://schemas.openxmlformats.org/drawingml/2006/picture">
                <pic:pic>
                  <pic:nvPicPr>
                    <pic:cNvPr id="0" name="markdown.png"/>
                    <pic:cNvPicPr/>
                  </pic:nvPicPr>
                  <pic:blipFill>
                    <a:blip r:embed="rId24"/>
                    <a:stretch>
                      <a:fillRect/>
                    </a:stretch>
                  </pic:blipFill>
                  <pic:spPr>
                    <a:xfrm>
                      <a:off x="0" y="0"/>
                      <a:ext cx="3108960" cy="1847266"/>
                    </a:xfrm>
                    <a:prstGeom prst="rect"/>
                  </pic:spPr>
                </pic:pic>
              </a:graphicData>
            </a:graphic>
          </wp:inline>
        </w:drawing>
      </w:r>
    </w:p>
    <w:p>
      <w:pPr>
        <w:spacing w:after="240"/>
        <w:jc w:val="center"/>
      </w:pPr>
      <w:r>
        <w:rPr>
          <w:b w:val="0"/>
          <w:i/>
          <w:color w:val="626E7B"/>
          <w:sz w:val="17"/>
        </w:rPr>
        <w:t>Figure 14. Average sales by markdown depth quintile. The spread is almost entirely store size.</w:t>
      </w:r>
    </w:p>
    <w:p>
      <w:r>
        <w:rPr>
          <w:b w:val="0"/>
          <w:i/>
          <w:color w:val="626E7B"/>
          <w:sz w:val="19"/>
        </w:rPr>
        <w:t>Nothing in this dataset identifies a causal promotion effect. That needs a holdout group the data does not contain.</w:t>
      </w:r>
    </w:p>
    <w:p>
      <w:pPr>
        <w:pStyle w:val="Heading2"/>
      </w:pPr>
      <w:r>
        <w:t>Productivity headroom</w:t>
      </w:r>
    </w:p>
    <w:p>
      <w:r>
        <w:rPr>
          <w:b w:val="0"/>
          <w:i w:val="0"/>
        </w:rPr>
        <w:t>33 of 45 stores earn less per square foot than the top-quartile benchmark of $1,390. Lifting every one of them to that benchmark would add $1.69B, or 25% of revenue across the window, with no new floor space.</w:t>
      </w:r>
    </w:p>
    <w:p>
      <w:pPr>
        <w:spacing w:after="40"/>
        <w:jc w:val="center"/>
      </w:pPr>
      <w:r>
        <w:drawing>
          <wp:inline xmlns:a="http://schemas.openxmlformats.org/drawingml/2006/main" xmlns:pic="http://schemas.openxmlformats.org/drawingml/2006/picture">
            <wp:extent cx="3291840" cy="2175962"/>
            <wp:docPr id="15" name="Picture 15"/>
            <wp:cNvGraphicFramePr>
              <a:graphicFrameLocks noChangeAspect="1"/>
            </wp:cNvGraphicFramePr>
            <a:graphic>
              <a:graphicData uri="http://schemas.openxmlformats.org/drawingml/2006/picture">
                <pic:pic>
                  <pic:nvPicPr>
                    <pic:cNvPr id="0" name="productivity.png"/>
                    <pic:cNvPicPr/>
                  </pic:nvPicPr>
                  <pic:blipFill>
                    <a:blip r:embed="rId25"/>
                    <a:stretch>
                      <a:fillRect/>
                    </a:stretch>
                  </pic:blipFill>
                  <pic:spPr>
                    <a:xfrm>
                      <a:off x="0" y="0"/>
                      <a:ext cx="3291840" cy="2175962"/>
                    </a:xfrm>
                    <a:prstGeom prst="rect"/>
                  </pic:spPr>
                </pic:pic>
              </a:graphicData>
            </a:graphic>
          </wp:inline>
        </w:drawing>
      </w:r>
    </w:p>
    <w:p>
      <w:pPr>
        <w:spacing w:after="240"/>
        <w:jc w:val="center"/>
      </w:pPr>
      <w:r>
        <w:rPr>
          <w:b w:val="0"/>
          <w:i/>
          <w:color w:val="626E7B"/>
          <w:sz w:val="17"/>
        </w:rPr>
        <w:t>Figure 15. Floor space against revenue per square foot; bubble area is total revenue. If larger stores were more productive the cloud would slope up.</w:t>
      </w:r>
    </w:p>
    <w:p>
      <w:pPr>
        <w:pStyle w:val="Heading1"/>
      </w:pPr>
      <w:r>
        <w:t>6.  Limitations</w:t>
      </w:r>
    </w:p>
    <w:p>
      <w:pPr>
        <w:pStyle w:val="ListBullet"/>
        <w:spacing w:after="60"/>
      </w:pPr>
      <w:r>
        <w:rPr>
          <w:b/>
        </w:rPr>
        <w:t>The markdown window.</w:t>
      </w:r>
      <w:r>
        <w:t xml:space="preserve"> Markdowns are recorded for only 51 of 143 weeks, and every record in that window carries one. No with-versus-without comparison is possible on this data.</w:t>
      </w:r>
    </w:p>
    <w:p>
      <w:pPr>
        <w:pStyle w:val="ListBullet"/>
        <w:spacing w:after="60"/>
      </w:pPr>
      <w:r>
        <w:rPr>
          <w:b/>
        </w:rPr>
        <w:t>The holiday flag.</w:t>
      </w:r>
      <w:r>
        <w:t xml:space="preserve"> Used raw as a model feature it teaches the wrong calendar. Replace it with named holidays and a week-of-year index.</w:t>
      </w:r>
    </w:p>
    <w:p>
      <w:pPr>
        <w:pStyle w:val="ListBullet"/>
        <w:spacing w:after="60"/>
      </w:pPr>
      <w:r>
        <w:rPr>
          <w:b/>
        </w:rPr>
        <w:t>The headroom figure is a ceiling.</w:t>
      </w:r>
      <w:r>
        <w:t xml:space="preserve"> It assumes every store could reach the top-quartile benchmark. Catchment, local income and competition cap what any individual store can do.</w:t>
      </w:r>
    </w:p>
    <w:p>
      <w:pPr>
        <w:pStyle w:val="ListBullet"/>
        <w:spacing w:after="60"/>
      </w:pPr>
      <w:r>
        <w:rPr>
          <w:b/>
        </w:rPr>
        <w:t>Significance is not importance.</w:t>
      </w:r>
      <w:r>
        <w:t xml:space="preserve"> At this sample size nearly every test rejects its null hypothesis. Read effect sizes and confidence intervals.</w:t>
      </w:r>
    </w:p>
    <w:p>
      <w:pPr>
        <w:pStyle w:val="ListBullet"/>
        <w:spacing w:after="60"/>
      </w:pPr>
      <w:r>
        <w:rPr>
          <w:b/>
        </w:rPr>
        <w:t>Clustering is descriptive.</w:t>
      </w:r>
      <w:r>
        <w:t xml:space="preserve"> A silhouette of 0.265 means the archetypes overlap.</w:t>
      </w:r>
    </w:p>
    <w:p>
      <w:pPr>
        <w:pStyle w:val="ListBullet"/>
        <w:spacing w:after="60"/>
      </w:pPr>
      <w:r>
        <w:rPr>
          <w:b/>
        </w:rPr>
        <w:t>Two and a half years, one chain.</w:t>
      </w:r>
      <w:r>
        <w:t xml:space="preserve"> Only two complete Christmas peaks are available to learn seasonality from. Store identities are anonymous and carry no geography, so nothing here separates a regional effect from a store-specific one.</w:t>
      </w:r>
    </w:p>
    <w:p>
      <w:pPr>
        <w:pStyle w:val="Heading1"/>
      </w:pPr>
      <w:r>
        <w:t>7.  Reproducing this work</w:t>
      </w:r>
    </w:p>
    <w:p>
      <w:r>
        <w:t xml:space="preserve">Everything is in the repository: </w:t>
      </w:r>
      <w:hyperlink r:id="rId10">
        <w:r>
          <w:rPr>
            <w:color w:val="2F6D9E"/>
            <w:u w:val="single"/>
          </w:rPr>
          <w:t>https://github.com/jeet-1236/walmart-sales-intelligence</w:t>
        </w:r>
      </w:hyperlink>
    </w:p>
    <w:p>
      <w:r>
        <w:rPr>
          <w:b w:val="0"/>
          <w:i w:val="0"/>
        </w:rPr>
        <w:t>The dashboard reads pre-computed tables, so it runs without the 40 MB integrated dataset. To rebuild those tables from the raw Walmart files:</w:t>
      </w:r>
    </w:p>
    <w:tbl>
      <w:tblPr>
        <w:tblStyle w:val="TableGrid"/>
        <w:tblW w:type="auto" w:w="0"/>
        <w:jc w:val="center"/>
        <w:tblLayout w:type="fixed"/>
        <w:tblLook w:firstColumn="1" w:firstRow="1" w:lastColumn="0" w:lastRow="0" w:noHBand="0" w:noVBand="1" w:val="04A0"/>
      </w:tblPr>
      <w:tblGrid>
        <w:gridCol w:w="4824"/>
        <w:gridCol w:w="4824"/>
      </w:tblGrid>
      <w:tr>
        <w:tc>
          <w:tcPr>
            <w:tcW w:type="dxa" w:w="2736"/>
            <w:shd w:val="clear" w:fill="EEF3F8"/>
          </w:tcPr>
          <w:p>
            <w:pPr>
              <w:spacing w:after="20"/>
            </w:pPr>
            <w:r/>
            <w:r>
              <w:rPr>
                <w:b/>
                <w:sz w:val="17"/>
              </w:rPr>
              <w:t>Script</w:t>
            </w:r>
          </w:p>
        </w:tc>
        <w:tc>
          <w:tcPr>
            <w:tcW w:type="dxa" w:w="6912"/>
            <w:shd w:val="clear" w:fill="EEF3F8"/>
          </w:tcPr>
          <w:p>
            <w:pPr>
              <w:spacing w:after="20"/>
            </w:pPr>
            <w:r/>
            <w:r>
              <w:rPr>
                <w:b/>
                <w:sz w:val="17"/>
              </w:rPr>
              <w:t>Produces</w:t>
            </w:r>
          </w:p>
        </w:tc>
      </w:tr>
      <w:tr>
        <w:tc>
          <w:tcPr>
            <w:tcW w:type="dxa" w:w="2736"/>
          </w:tcPr>
          <w:p>
            <w:pPr>
              <w:spacing w:after="20"/>
            </w:pPr>
            <w:r/>
            <w:r>
              <w:rPr>
                <w:sz w:val="17"/>
              </w:rPr>
              <w:t>build_dashboard_data.py</w:t>
            </w:r>
          </w:p>
        </w:tc>
        <w:tc>
          <w:tcPr>
            <w:tcW w:type="dxa" w:w="6912"/>
          </w:tcPr>
          <w:p>
            <w:pPr>
              <w:spacing w:after="20"/>
            </w:pPr>
            <w:r/>
            <w:r>
              <w:rPr>
                <w:sz w:val="17"/>
              </w:rPr>
              <w:t>Runs all eight experiments and the business layer into one JSON of results</w:t>
            </w:r>
          </w:p>
        </w:tc>
      </w:tr>
      <w:tr>
        <w:tc>
          <w:tcPr>
            <w:tcW w:type="dxa" w:w="2736"/>
          </w:tcPr>
          <w:p>
            <w:pPr>
              <w:spacing w:after="20"/>
            </w:pPr>
            <w:r/>
            <w:r>
              <w:rPr>
                <w:sz w:val="17"/>
              </w:rPr>
              <w:t>build_dashboard_sources.py</w:t>
            </w:r>
          </w:p>
        </w:tc>
        <w:tc>
          <w:tcPr>
            <w:tcW w:type="dxa" w:w="6912"/>
          </w:tcPr>
          <w:p>
            <w:pPr>
              <w:spacing w:after="20"/>
            </w:pPr>
            <w:r/>
            <w:r>
              <w:rPr>
                <w:sz w:val="17"/>
              </w:rPr>
              <w:t>Flattens that JSON into 18 tidy CSVs, one per chart group</w:t>
            </w:r>
          </w:p>
        </w:tc>
      </w:tr>
      <w:tr>
        <w:tc>
          <w:tcPr>
            <w:tcW w:type="dxa" w:w="2736"/>
          </w:tcPr>
          <w:p>
            <w:pPr>
              <w:spacing w:after="20"/>
            </w:pPr>
            <w:r/>
            <w:r>
              <w:rPr>
                <w:sz w:val="17"/>
              </w:rPr>
              <w:t>build_dashboard_extras.py</w:t>
            </w:r>
          </w:p>
        </w:tc>
        <w:tc>
          <w:tcPr>
            <w:tcW w:type="dxa" w:w="6912"/>
          </w:tcPr>
          <w:p>
            <w:pPr>
              <w:spacing w:after="20"/>
            </w:pPr>
            <w:r/>
            <w:r>
              <w:rPr>
                <w:sz w:val="17"/>
              </w:rPr>
              <w:t>Adds the per-store weekly series, the store x department matrix, and growth and returns columns</w:t>
            </w:r>
          </w:p>
        </w:tc>
      </w:tr>
      <w:tr>
        <w:tc>
          <w:tcPr>
            <w:tcW w:type="dxa" w:w="2736"/>
          </w:tcPr>
          <w:p>
            <w:pPr>
              <w:spacing w:after="20"/>
            </w:pPr>
            <w:r/>
            <w:r>
              <w:rPr>
                <w:sz w:val="17"/>
              </w:rPr>
              <w:t>build_eda.py</w:t>
            </w:r>
          </w:p>
        </w:tc>
        <w:tc>
          <w:tcPr>
            <w:tcW w:type="dxa" w:w="6912"/>
          </w:tcPr>
          <w:p>
            <w:pPr>
              <w:spacing w:after="20"/>
            </w:pPr>
            <w:r/>
            <w:r>
              <w:rPr>
                <w:sz w:val="17"/>
              </w:rPr>
              <w:t>Profiles the raw merge into seven EDA tables</w:t>
            </w:r>
          </w:p>
        </w:tc>
      </w:tr>
      <w:tr>
        <w:tc>
          <w:tcPr>
            <w:tcW w:type="dxa" w:w="2736"/>
          </w:tcPr>
          <w:p>
            <w:pPr>
              <w:spacing w:after="20"/>
            </w:pPr>
            <w:r/>
            <w:r>
              <w:rPr>
                <w:sz w:val="17"/>
              </w:rPr>
              <w:t>build_pages.py</w:t>
            </w:r>
          </w:p>
        </w:tc>
        <w:tc>
          <w:tcPr>
            <w:tcW w:type="dxa" w:w="6912"/>
          </w:tcPr>
          <w:p>
            <w:pPr>
              <w:spacing w:after="20"/>
            </w:pPr>
            <w:r/>
            <w:r>
              <w:rPr>
                <w:sz w:val="17"/>
              </w:rPr>
              <w:t>Wraps the dashboard into the static site served by GitHub Pages</w:t>
            </w:r>
          </w:p>
        </w:tc>
      </w:tr>
      <w:tr>
        <w:tc>
          <w:tcPr>
            <w:tcW w:type="dxa" w:w="2736"/>
          </w:tcPr>
          <w:p>
            <w:pPr>
              <w:spacing w:after="20"/>
            </w:pPr>
            <w:r/>
            <w:r>
              <w:rPr>
                <w:sz w:val="17"/>
              </w:rPr>
              <w:t>build_report_figures.py</w:t>
            </w:r>
          </w:p>
        </w:tc>
        <w:tc>
          <w:tcPr>
            <w:tcW w:type="dxa" w:w="6912"/>
          </w:tcPr>
          <w:p>
            <w:pPr>
              <w:spacing w:after="20"/>
            </w:pPr>
            <w:r/>
            <w:r>
              <w:rPr>
                <w:sz w:val="17"/>
              </w:rPr>
              <w:t>Renders the figures in this document from those same tables</w:t>
            </w:r>
          </w:p>
        </w:tc>
      </w:tr>
      <w:tr>
        <w:tc>
          <w:tcPr>
            <w:tcW w:type="dxa" w:w="2736"/>
          </w:tcPr>
          <w:p>
            <w:pPr>
              <w:spacing w:after="20"/>
            </w:pPr>
            <w:r/>
            <w:r>
              <w:rPr>
                <w:sz w:val="17"/>
              </w:rPr>
              <w:t>build_report_docx.py</w:t>
            </w:r>
          </w:p>
        </w:tc>
        <w:tc>
          <w:tcPr>
            <w:tcW w:type="dxa" w:w="6912"/>
          </w:tcPr>
          <w:p>
            <w:pPr>
              <w:spacing w:after="20"/>
            </w:pPr>
            <w:r/>
            <w:r>
              <w:rPr>
                <w:sz w:val="17"/>
              </w:rPr>
              <w:t>Builds this document</w:t>
            </w:r>
          </w:p>
        </w:tc>
      </w:tr>
      <w:tr>
        <w:tc>
          <w:tcPr>
            <w:tcW w:type="dxa" w:w="2736"/>
          </w:tcPr>
          <w:p>
            <w:pPr>
              <w:spacing w:after="20"/>
            </w:pPr>
            <w:r/>
            <w:r>
              <w:rPr>
                <w:sz w:val="17"/>
              </w:rPr>
              <w:t>app.py</w:t>
            </w:r>
          </w:p>
        </w:tc>
        <w:tc>
          <w:tcPr>
            <w:tcW w:type="dxa" w:w="6912"/>
          </w:tcPr>
          <w:p>
            <w:pPr>
              <w:spacing w:after="20"/>
            </w:pPr>
            <w:r/>
            <w:r>
              <w:rPr>
                <w:sz w:val="17"/>
              </w:rPr>
              <w:t>A Streamlit version of the dashboard</w:t>
            </w:r>
          </w:p>
        </w:tc>
      </w:tr>
    </w:tbl>
    <w:p>
      <w:pPr>
        <w:spacing w:after="40"/>
      </w:pPr>
    </w:p>
    <w:p>
      <w:r>
        <w:br w:type="page"/>
      </w:r>
    </w:p>
    <w:p>
      <w:pPr>
        <w:pStyle w:val="Heading1"/>
      </w:pPr>
      <w:r>
        <w:t>A.  Appendix: full column profile</w:t>
      </w:r>
    </w:p>
    <w:p>
      <w:r>
        <w:rPr>
          <w:b w:val="0"/>
          <w:i w:val="0"/>
          <w:color w:val="626E7B"/>
          <w:sz w:val="19"/>
        </w:rPr>
        <w:t>Profiled from the raw merge of all four source files. Blank cells are columns where the statistic does not apply.</w:t>
      </w:r>
    </w:p>
    <w:tbl>
      <w:tblPr>
        <w:tblStyle w:val="TableGrid"/>
        <w:tblW w:type="auto" w:w="0"/>
        <w:jc w:val="center"/>
        <w:tblLayout w:type="fixed"/>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1349"/>
            <w:shd w:val="clear" w:fill="EEF3F8"/>
          </w:tcPr>
          <w:p>
            <w:pPr>
              <w:spacing w:after="20"/>
            </w:pPr>
            <w:r/>
            <w:r>
              <w:rPr>
                <w:b/>
                <w:sz w:val="15"/>
              </w:rPr>
              <w:t>Column</w:t>
            </w:r>
          </w:p>
        </w:tc>
        <w:tc>
          <w:tcPr>
            <w:tcW w:type="dxa" w:w="877"/>
            <w:shd w:val="clear" w:fill="EEF3F8"/>
          </w:tcPr>
          <w:p>
            <w:pPr>
              <w:spacing w:after="20"/>
            </w:pPr>
            <w:r/>
            <w:r>
              <w:rPr>
                <w:b/>
                <w:sz w:val="15"/>
              </w:rPr>
              <w:t>Role</w:t>
            </w:r>
          </w:p>
        </w:tc>
        <w:tc>
          <w:tcPr>
            <w:tcW w:type="dxa" w:w="810"/>
            <w:shd w:val="clear" w:fill="EEF3F8"/>
          </w:tcPr>
          <w:p>
            <w:pPr>
              <w:spacing w:after="20"/>
            </w:pPr>
            <w:r/>
            <w:r>
              <w:rPr>
                <w:b/>
                <w:sz w:val="15"/>
              </w:rPr>
              <w:t>Missing</w:t>
            </w:r>
          </w:p>
        </w:tc>
        <w:tc>
          <w:tcPr>
            <w:tcW w:type="dxa" w:w="877"/>
            <w:shd w:val="clear" w:fill="EEF3F8"/>
          </w:tcPr>
          <w:p>
            <w:pPr>
              <w:spacing w:after="20"/>
            </w:pPr>
            <w:r/>
            <w:r>
              <w:rPr>
                <w:b/>
                <w:sz w:val="15"/>
              </w:rPr>
              <w:t>Unique</w:t>
            </w:r>
          </w:p>
        </w:tc>
        <w:tc>
          <w:tcPr>
            <w:tcW w:type="dxa" w:w="1012"/>
            <w:shd w:val="clear" w:fill="EEF3F8"/>
          </w:tcPr>
          <w:p>
            <w:pPr>
              <w:spacing w:after="20"/>
            </w:pPr>
            <w:r/>
            <w:r>
              <w:rPr>
                <w:b/>
                <w:sz w:val="15"/>
              </w:rPr>
              <w:t>Mean</w:t>
            </w:r>
          </w:p>
        </w:tc>
        <w:tc>
          <w:tcPr>
            <w:tcW w:type="dxa" w:w="945"/>
            <w:shd w:val="clear" w:fill="EEF3F8"/>
          </w:tcPr>
          <w:p>
            <w:pPr>
              <w:spacing w:after="20"/>
            </w:pPr>
            <w:r/>
            <w:r>
              <w:rPr>
                <w:b/>
                <w:sz w:val="15"/>
              </w:rPr>
              <w:t>Median</w:t>
            </w:r>
          </w:p>
        </w:tc>
        <w:tc>
          <w:tcPr>
            <w:tcW w:type="dxa" w:w="945"/>
            <w:shd w:val="clear" w:fill="EEF3F8"/>
          </w:tcPr>
          <w:p>
            <w:pPr>
              <w:spacing w:after="20"/>
            </w:pPr>
            <w:r/>
            <w:r>
              <w:rPr>
                <w:b/>
                <w:sz w:val="15"/>
              </w:rPr>
              <w:t>Std</w:t>
            </w:r>
          </w:p>
        </w:tc>
        <w:tc>
          <w:tcPr>
            <w:tcW w:type="dxa" w:w="675"/>
            <w:shd w:val="clear" w:fill="EEF3F8"/>
          </w:tcPr>
          <w:p>
            <w:pPr>
              <w:spacing w:after="20"/>
            </w:pPr>
            <w:r/>
            <w:r>
              <w:rPr>
                <w:b/>
                <w:sz w:val="15"/>
              </w:rPr>
              <w:t>Skew</w:t>
            </w:r>
          </w:p>
        </w:tc>
        <w:tc>
          <w:tcPr>
            <w:tcW w:type="dxa" w:w="675"/>
            <w:shd w:val="clear" w:fill="EEF3F8"/>
          </w:tcPr>
          <w:p>
            <w:pPr>
              <w:spacing w:after="20"/>
            </w:pPr>
            <w:r/>
            <w:r>
              <w:rPr>
                <w:b/>
                <w:sz w:val="15"/>
              </w:rPr>
              <w:t>Kurt.</w:t>
            </w:r>
          </w:p>
        </w:tc>
        <w:tc>
          <w:tcPr>
            <w:tcW w:type="dxa" w:w="810"/>
            <w:shd w:val="clear" w:fill="EEF3F8"/>
          </w:tcPr>
          <w:p>
            <w:pPr>
              <w:spacing w:after="20"/>
            </w:pPr>
            <w:r/>
            <w:r>
              <w:rPr>
                <w:b/>
                <w:sz w:val="15"/>
              </w:rPr>
              <w:t>Outliers</w:t>
            </w:r>
          </w:p>
        </w:tc>
        <w:tc>
          <w:tcPr>
            <w:tcW w:type="dxa" w:w="675"/>
            <w:shd w:val="clear" w:fill="EEF3F8"/>
          </w:tcPr>
          <w:p>
            <w:pPr>
              <w:spacing w:after="20"/>
            </w:pPr>
            <w:r/>
            <w:r>
              <w:rPr>
                <w:b/>
                <w:sz w:val="15"/>
              </w:rPr>
              <w:t>Neg.</w:t>
            </w:r>
          </w:p>
        </w:tc>
      </w:tr>
      <w:tr>
        <w:tc>
          <w:tcPr>
            <w:tcW w:type="dxa" w:w="1349"/>
          </w:tcPr>
          <w:p>
            <w:pPr>
              <w:spacing w:after="20"/>
            </w:pPr>
            <w:r/>
            <w:r>
              <w:rPr>
                <w:sz w:val="15"/>
              </w:rPr>
              <w:t>Store</w:t>
            </w:r>
          </w:p>
        </w:tc>
        <w:tc>
          <w:tcPr>
            <w:tcW w:type="dxa" w:w="877"/>
          </w:tcPr>
          <w:p>
            <w:pPr>
              <w:spacing w:after="20"/>
            </w:pPr>
            <w:r/>
            <w:r>
              <w:rPr>
                <w:sz w:val="15"/>
              </w:rPr>
              <w:t>key</w:t>
            </w:r>
          </w:p>
        </w:tc>
        <w:tc>
          <w:tcPr>
            <w:tcW w:type="dxa" w:w="810"/>
          </w:tcPr>
          <w:p>
            <w:pPr>
              <w:spacing w:after="20"/>
              <w:jc w:val="right"/>
            </w:pPr>
            <w:r/>
            <w:r>
              <w:rPr>
                <w:sz w:val="15"/>
              </w:rPr>
              <w:t>0.0%</w:t>
            </w:r>
          </w:p>
        </w:tc>
        <w:tc>
          <w:tcPr>
            <w:tcW w:type="dxa" w:w="877"/>
          </w:tcPr>
          <w:p>
            <w:pPr>
              <w:spacing w:after="20"/>
              <w:jc w:val="right"/>
            </w:pPr>
            <w:r/>
            <w:r>
              <w:rPr>
                <w:sz w:val="15"/>
              </w:rPr>
              <w:t>45</w:t>
            </w:r>
          </w:p>
        </w:tc>
        <w:tc>
          <w:tcPr>
            <w:tcW w:type="dxa" w:w="1012"/>
          </w:tcPr>
          <w:p>
            <w:pPr>
              <w:spacing w:after="20"/>
            </w:pPr>
            <w:r/>
            <w:r>
              <w:rPr>
                <w:sz w:val="15"/>
              </w:rPr>
            </w:r>
          </w:p>
        </w:tc>
        <w:tc>
          <w:tcPr>
            <w:tcW w:type="dxa" w:w="945"/>
          </w:tcPr>
          <w:p>
            <w:pPr>
              <w:spacing w:after="20"/>
            </w:pPr>
            <w:r/>
            <w:r>
              <w:rPr>
                <w:sz w:val="15"/>
              </w:rPr>
            </w:r>
          </w:p>
        </w:tc>
        <w:tc>
          <w:tcPr>
            <w:tcW w:type="dxa" w:w="945"/>
          </w:tcPr>
          <w:p>
            <w:pPr>
              <w:spacing w:after="20"/>
            </w:pPr>
            <w:r/>
            <w:r>
              <w:rPr>
                <w:sz w:val="15"/>
              </w:rPr>
            </w:r>
          </w:p>
        </w:tc>
        <w:tc>
          <w:tcPr>
            <w:tcW w:type="dxa" w:w="675"/>
          </w:tcPr>
          <w:p>
            <w:pPr>
              <w:spacing w:after="20"/>
            </w:pPr>
            <w:r/>
            <w:r>
              <w:rPr>
                <w:sz w:val="15"/>
              </w:rPr>
            </w:r>
          </w:p>
        </w:tc>
        <w:tc>
          <w:tcPr>
            <w:tcW w:type="dxa" w:w="675"/>
          </w:tcPr>
          <w:p>
            <w:pPr>
              <w:spacing w:after="20"/>
            </w:pPr>
            <w:r/>
            <w:r>
              <w:rPr>
                <w:sz w:val="15"/>
              </w:rPr>
            </w:r>
          </w:p>
        </w:tc>
        <w:tc>
          <w:tcPr>
            <w:tcW w:type="dxa" w:w="810"/>
          </w:tcPr>
          <w:p>
            <w:pPr>
              <w:spacing w:after="20"/>
            </w:pPr>
            <w:r/>
            <w:r>
              <w:rPr>
                <w:sz w:val="15"/>
              </w:rPr>
            </w:r>
          </w:p>
        </w:tc>
        <w:tc>
          <w:tcPr>
            <w:tcW w:type="dxa" w:w="675"/>
          </w:tcPr>
          <w:p>
            <w:pPr>
              <w:spacing w:after="20"/>
            </w:pPr>
            <w:r/>
            <w:r>
              <w:rPr>
                <w:sz w:val="15"/>
              </w:rPr>
            </w:r>
          </w:p>
        </w:tc>
      </w:tr>
      <w:tr>
        <w:tc>
          <w:tcPr>
            <w:tcW w:type="dxa" w:w="1349"/>
          </w:tcPr>
          <w:p>
            <w:pPr>
              <w:spacing w:after="20"/>
            </w:pPr>
            <w:r/>
            <w:r>
              <w:rPr>
                <w:sz w:val="15"/>
              </w:rPr>
              <w:t>Dept</w:t>
            </w:r>
          </w:p>
        </w:tc>
        <w:tc>
          <w:tcPr>
            <w:tcW w:type="dxa" w:w="877"/>
          </w:tcPr>
          <w:p>
            <w:pPr>
              <w:spacing w:after="20"/>
            </w:pPr>
            <w:r/>
            <w:r>
              <w:rPr>
                <w:sz w:val="15"/>
              </w:rPr>
              <w:t>key</w:t>
            </w:r>
          </w:p>
        </w:tc>
        <w:tc>
          <w:tcPr>
            <w:tcW w:type="dxa" w:w="810"/>
          </w:tcPr>
          <w:p>
            <w:pPr>
              <w:spacing w:after="20"/>
              <w:jc w:val="right"/>
            </w:pPr>
            <w:r/>
            <w:r>
              <w:rPr>
                <w:sz w:val="15"/>
              </w:rPr>
              <w:t>0.0%</w:t>
            </w:r>
          </w:p>
        </w:tc>
        <w:tc>
          <w:tcPr>
            <w:tcW w:type="dxa" w:w="877"/>
          </w:tcPr>
          <w:p>
            <w:pPr>
              <w:spacing w:after="20"/>
              <w:jc w:val="right"/>
            </w:pPr>
            <w:r/>
            <w:r>
              <w:rPr>
                <w:sz w:val="15"/>
              </w:rPr>
              <w:t>81</w:t>
            </w:r>
          </w:p>
        </w:tc>
        <w:tc>
          <w:tcPr>
            <w:tcW w:type="dxa" w:w="1012"/>
          </w:tcPr>
          <w:p>
            <w:pPr>
              <w:spacing w:after="20"/>
            </w:pPr>
            <w:r/>
            <w:r>
              <w:rPr>
                <w:sz w:val="15"/>
              </w:rPr>
            </w:r>
          </w:p>
        </w:tc>
        <w:tc>
          <w:tcPr>
            <w:tcW w:type="dxa" w:w="945"/>
          </w:tcPr>
          <w:p>
            <w:pPr>
              <w:spacing w:after="20"/>
            </w:pPr>
            <w:r/>
            <w:r>
              <w:rPr>
                <w:sz w:val="15"/>
              </w:rPr>
            </w:r>
          </w:p>
        </w:tc>
        <w:tc>
          <w:tcPr>
            <w:tcW w:type="dxa" w:w="945"/>
          </w:tcPr>
          <w:p>
            <w:pPr>
              <w:spacing w:after="20"/>
            </w:pPr>
            <w:r/>
            <w:r>
              <w:rPr>
                <w:sz w:val="15"/>
              </w:rPr>
            </w:r>
          </w:p>
        </w:tc>
        <w:tc>
          <w:tcPr>
            <w:tcW w:type="dxa" w:w="675"/>
          </w:tcPr>
          <w:p>
            <w:pPr>
              <w:spacing w:after="20"/>
            </w:pPr>
            <w:r/>
            <w:r>
              <w:rPr>
                <w:sz w:val="15"/>
              </w:rPr>
            </w:r>
          </w:p>
        </w:tc>
        <w:tc>
          <w:tcPr>
            <w:tcW w:type="dxa" w:w="675"/>
          </w:tcPr>
          <w:p>
            <w:pPr>
              <w:spacing w:after="20"/>
            </w:pPr>
            <w:r/>
            <w:r>
              <w:rPr>
                <w:sz w:val="15"/>
              </w:rPr>
            </w:r>
          </w:p>
        </w:tc>
        <w:tc>
          <w:tcPr>
            <w:tcW w:type="dxa" w:w="810"/>
          </w:tcPr>
          <w:p>
            <w:pPr>
              <w:spacing w:after="20"/>
            </w:pPr>
            <w:r/>
            <w:r>
              <w:rPr>
                <w:sz w:val="15"/>
              </w:rPr>
            </w:r>
          </w:p>
        </w:tc>
        <w:tc>
          <w:tcPr>
            <w:tcW w:type="dxa" w:w="675"/>
          </w:tcPr>
          <w:p>
            <w:pPr>
              <w:spacing w:after="20"/>
            </w:pPr>
            <w:r/>
            <w:r>
              <w:rPr>
                <w:sz w:val="15"/>
              </w:rPr>
            </w:r>
          </w:p>
        </w:tc>
      </w:tr>
      <w:tr>
        <w:tc>
          <w:tcPr>
            <w:tcW w:type="dxa" w:w="1349"/>
          </w:tcPr>
          <w:p>
            <w:pPr>
              <w:spacing w:after="20"/>
            </w:pPr>
            <w:r/>
            <w:r>
              <w:rPr>
                <w:sz w:val="15"/>
              </w:rPr>
              <w:t>Date</w:t>
            </w:r>
          </w:p>
        </w:tc>
        <w:tc>
          <w:tcPr>
            <w:tcW w:type="dxa" w:w="877"/>
          </w:tcPr>
          <w:p>
            <w:pPr>
              <w:spacing w:after="20"/>
            </w:pPr>
            <w:r/>
            <w:r>
              <w:rPr>
                <w:sz w:val="15"/>
              </w:rPr>
              <w:t>key</w:t>
            </w:r>
          </w:p>
        </w:tc>
        <w:tc>
          <w:tcPr>
            <w:tcW w:type="dxa" w:w="810"/>
          </w:tcPr>
          <w:p>
            <w:pPr>
              <w:spacing w:after="20"/>
              <w:jc w:val="right"/>
            </w:pPr>
            <w:r/>
            <w:r>
              <w:rPr>
                <w:sz w:val="15"/>
              </w:rPr>
              <w:t>0.0%</w:t>
            </w:r>
          </w:p>
        </w:tc>
        <w:tc>
          <w:tcPr>
            <w:tcW w:type="dxa" w:w="877"/>
          </w:tcPr>
          <w:p>
            <w:pPr>
              <w:spacing w:after="20"/>
              <w:jc w:val="right"/>
            </w:pPr>
            <w:r/>
            <w:r>
              <w:rPr>
                <w:sz w:val="15"/>
              </w:rPr>
              <w:t>143</w:t>
            </w:r>
          </w:p>
        </w:tc>
        <w:tc>
          <w:tcPr>
            <w:tcW w:type="dxa" w:w="1012"/>
          </w:tcPr>
          <w:p>
            <w:pPr>
              <w:spacing w:after="20"/>
            </w:pPr>
            <w:r/>
            <w:r>
              <w:rPr>
                <w:sz w:val="15"/>
              </w:rPr>
            </w:r>
          </w:p>
        </w:tc>
        <w:tc>
          <w:tcPr>
            <w:tcW w:type="dxa" w:w="945"/>
          </w:tcPr>
          <w:p>
            <w:pPr>
              <w:spacing w:after="20"/>
            </w:pPr>
            <w:r/>
            <w:r>
              <w:rPr>
                <w:sz w:val="15"/>
              </w:rPr>
            </w:r>
          </w:p>
        </w:tc>
        <w:tc>
          <w:tcPr>
            <w:tcW w:type="dxa" w:w="945"/>
          </w:tcPr>
          <w:p>
            <w:pPr>
              <w:spacing w:after="20"/>
            </w:pPr>
            <w:r/>
            <w:r>
              <w:rPr>
                <w:sz w:val="15"/>
              </w:rPr>
            </w:r>
          </w:p>
        </w:tc>
        <w:tc>
          <w:tcPr>
            <w:tcW w:type="dxa" w:w="675"/>
          </w:tcPr>
          <w:p>
            <w:pPr>
              <w:spacing w:after="20"/>
            </w:pPr>
            <w:r/>
            <w:r>
              <w:rPr>
                <w:sz w:val="15"/>
              </w:rPr>
            </w:r>
          </w:p>
        </w:tc>
        <w:tc>
          <w:tcPr>
            <w:tcW w:type="dxa" w:w="675"/>
          </w:tcPr>
          <w:p>
            <w:pPr>
              <w:spacing w:after="20"/>
            </w:pPr>
            <w:r/>
            <w:r>
              <w:rPr>
                <w:sz w:val="15"/>
              </w:rPr>
            </w:r>
          </w:p>
        </w:tc>
        <w:tc>
          <w:tcPr>
            <w:tcW w:type="dxa" w:w="810"/>
          </w:tcPr>
          <w:p>
            <w:pPr>
              <w:spacing w:after="20"/>
            </w:pPr>
            <w:r/>
            <w:r>
              <w:rPr>
                <w:sz w:val="15"/>
              </w:rPr>
            </w:r>
          </w:p>
        </w:tc>
        <w:tc>
          <w:tcPr>
            <w:tcW w:type="dxa" w:w="675"/>
          </w:tcPr>
          <w:p>
            <w:pPr>
              <w:spacing w:after="20"/>
            </w:pPr>
            <w:r/>
            <w:r>
              <w:rPr>
                <w:sz w:val="15"/>
              </w:rPr>
            </w:r>
          </w:p>
        </w:tc>
      </w:tr>
      <w:tr>
        <w:tc>
          <w:tcPr>
            <w:tcW w:type="dxa" w:w="1349"/>
          </w:tcPr>
          <w:p>
            <w:pPr>
              <w:spacing w:after="20"/>
            </w:pPr>
            <w:r/>
            <w:r>
              <w:rPr>
                <w:sz w:val="15"/>
              </w:rPr>
              <w:t>Weekly_Sales</w:t>
            </w:r>
          </w:p>
        </w:tc>
        <w:tc>
          <w:tcPr>
            <w:tcW w:type="dxa" w:w="877"/>
          </w:tcPr>
          <w:p>
            <w:pPr>
              <w:spacing w:after="20"/>
            </w:pPr>
            <w:r/>
            <w:r>
              <w:rPr>
                <w:sz w:val="15"/>
              </w:rPr>
              <w:t>target</w:t>
            </w:r>
          </w:p>
        </w:tc>
        <w:tc>
          <w:tcPr>
            <w:tcW w:type="dxa" w:w="810"/>
          </w:tcPr>
          <w:p>
            <w:pPr>
              <w:spacing w:after="20"/>
              <w:jc w:val="right"/>
            </w:pPr>
            <w:r/>
            <w:r>
              <w:rPr>
                <w:sz w:val="15"/>
              </w:rPr>
              <w:t>0.0%</w:t>
            </w:r>
          </w:p>
        </w:tc>
        <w:tc>
          <w:tcPr>
            <w:tcW w:type="dxa" w:w="877"/>
          </w:tcPr>
          <w:p>
            <w:pPr>
              <w:spacing w:after="20"/>
              <w:jc w:val="right"/>
            </w:pPr>
            <w:r/>
            <w:r>
              <w:rPr>
                <w:sz w:val="15"/>
              </w:rPr>
              <w:t>359,464</w:t>
            </w:r>
          </w:p>
        </w:tc>
        <w:tc>
          <w:tcPr>
            <w:tcW w:type="dxa" w:w="1012"/>
          </w:tcPr>
          <w:p>
            <w:pPr>
              <w:spacing w:after="20"/>
              <w:jc w:val="right"/>
            </w:pPr>
            <w:r/>
            <w:r>
              <w:rPr>
                <w:sz w:val="15"/>
              </w:rPr>
              <w:t>15,981.3</w:t>
            </w:r>
          </w:p>
        </w:tc>
        <w:tc>
          <w:tcPr>
            <w:tcW w:type="dxa" w:w="945"/>
          </w:tcPr>
          <w:p>
            <w:pPr>
              <w:spacing w:after="20"/>
              <w:jc w:val="right"/>
            </w:pPr>
            <w:r/>
            <w:r>
              <w:rPr>
                <w:sz w:val="15"/>
              </w:rPr>
              <w:t>7,612.0</w:t>
            </w:r>
          </w:p>
        </w:tc>
        <w:tc>
          <w:tcPr>
            <w:tcW w:type="dxa" w:w="945"/>
          </w:tcPr>
          <w:p>
            <w:pPr>
              <w:spacing w:after="20"/>
              <w:jc w:val="right"/>
            </w:pPr>
            <w:r/>
            <w:r>
              <w:rPr>
                <w:sz w:val="15"/>
              </w:rPr>
              <w:t>22,711.2</w:t>
            </w:r>
          </w:p>
        </w:tc>
        <w:tc>
          <w:tcPr>
            <w:tcW w:type="dxa" w:w="675"/>
          </w:tcPr>
          <w:p>
            <w:pPr>
              <w:spacing w:after="20"/>
              <w:jc w:val="right"/>
            </w:pPr>
            <w:r/>
            <w:r>
              <w:rPr>
                <w:sz w:val="15"/>
              </w:rPr>
              <w:t>3.26</w:t>
            </w:r>
          </w:p>
        </w:tc>
        <w:tc>
          <w:tcPr>
            <w:tcW w:type="dxa" w:w="675"/>
          </w:tcPr>
          <w:p>
            <w:pPr>
              <w:spacing w:after="20"/>
              <w:jc w:val="right"/>
            </w:pPr>
            <w:r/>
            <w:r>
              <w:rPr>
                <w:sz w:val="15"/>
              </w:rPr>
              <w:t>21.5</w:t>
            </w:r>
          </w:p>
        </w:tc>
        <w:tc>
          <w:tcPr>
            <w:tcW w:type="dxa" w:w="810"/>
          </w:tcPr>
          <w:p>
            <w:pPr>
              <w:spacing w:after="20"/>
              <w:jc w:val="right"/>
            </w:pPr>
            <w:r/>
            <w:r>
              <w:rPr>
                <w:sz w:val="15"/>
              </w:rPr>
              <w:t>8.4%</w:t>
            </w:r>
          </w:p>
        </w:tc>
        <w:tc>
          <w:tcPr>
            <w:tcW w:type="dxa" w:w="675"/>
          </w:tcPr>
          <w:p>
            <w:pPr>
              <w:spacing w:after="20"/>
              <w:jc w:val="right"/>
            </w:pPr>
            <w:r/>
            <w:r>
              <w:rPr>
                <w:sz w:val="15"/>
              </w:rPr>
              <w:t>1,285</w:t>
            </w:r>
          </w:p>
        </w:tc>
      </w:tr>
      <w:tr>
        <w:tc>
          <w:tcPr>
            <w:tcW w:type="dxa" w:w="1349"/>
          </w:tcPr>
          <w:p>
            <w:pPr>
              <w:spacing w:after="20"/>
            </w:pPr>
            <w:r/>
            <w:r>
              <w:rPr>
                <w:sz w:val="15"/>
              </w:rPr>
              <w:t>IsHoliday</w:t>
            </w:r>
          </w:p>
        </w:tc>
        <w:tc>
          <w:tcPr>
            <w:tcW w:type="dxa" w:w="877"/>
          </w:tcPr>
          <w:p>
            <w:pPr>
              <w:spacing w:after="20"/>
            </w:pPr>
            <w:r/>
            <w:r>
              <w:rPr>
                <w:sz w:val="15"/>
              </w:rPr>
              <w:t>flag</w:t>
            </w:r>
          </w:p>
        </w:tc>
        <w:tc>
          <w:tcPr>
            <w:tcW w:type="dxa" w:w="810"/>
          </w:tcPr>
          <w:p>
            <w:pPr>
              <w:spacing w:after="20"/>
              <w:jc w:val="right"/>
            </w:pPr>
            <w:r/>
            <w:r>
              <w:rPr>
                <w:sz w:val="15"/>
              </w:rPr>
              <w:t>0.0%</w:t>
            </w:r>
          </w:p>
        </w:tc>
        <w:tc>
          <w:tcPr>
            <w:tcW w:type="dxa" w:w="877"/>
          </w:tcPr>
          <w:p>
            <w:pPr>
              <w:spacing w:after="20"/>
              <w:jc w:val="right"/>
            </w:pPr>
            <w:r/>
            <w:r>
              <w:rPr>
                <w:sz w:val="15"/>
              </w:rPr>
              <w:t>2</w:t>
            </w:r>
          </w:p>
        </w:tc>
        <w:tc>
          <w:tcPr>
            <w:tcW w:type="dxa" w:w="1012"/>
          </w:tcPr>
          <w:p>
            <w:pPr>
              <w:spacing w:after="20"/>
            </w:pPr>
            <w:r/>
            <w:r>
              <w:rPr>
                <w:sz w:val="15"/>
              </w:rPr>
            </w:r>
          </w:p>
        </w:tc>
        <w:tc>
          <w:tcPr>
            <w:tcW w:type="dxa" w:w="945"/>
          </w:tcPr>
          <w:p>
            <w:pPr>
              <w:spacing w:after="20"/>
            </w:pPr>
            <w:r/>
            <w:r>
              <w:rPr>
                <w:sz w:val="15"/>
              </w:rPr>
            </w:r>
          </w:p>
        </w:tc>
        <w:tc>
          <w:tcPr>
            <w:tcW w:type="dxa" w:w="945"/>
          </w:tcPr>
          <w:p>
            <w:pPr>
              <w:spacing w:after="20"/>
            </w:pPr>
            <w:r/>
            <w:r>
              <w:rPr>
                <w:sz w:val="15"/>
              </w:rPr>
            </w:r>
          </w:p>
        </w:tc>
        <w:tc>
          <w:tcPr>
            <w:tcW w:type="dxa" w:w="675"/>
          </w:tcPr>
          <w:p>
            <w:pPr>
              <w:spacing w:after="20"/>
            </w:pPr>
            <w:r/>
            <w:r>
              <w:rPr>
                <w:sz w:val="15"/>
              </w:rPr>
            </w:r>
          </w:p>
        </w:tc>
        <w:tc>
          <w:tcPr>
            <w:tcW w:type="dxa" w:w="675"/>
          </w:tcPr>
          <w:p>
            <w:pPr>
              <w:spacing w:after="20"/>
            </w:pPr>
            <w:r/>
            <w:r>
              <w:rPr>
                <w:sz w:val="15"/>
              </w:rPr>
            </w:r>
          </w:p>
        </w:tc>
        <w:tc>
          <w:tcPr>
            <w:tcW w:type="dxa" w:w="810"/>
          </w:tcPr>
          <w:p>
            <w:pPr>
              <w:spacing w:after="20"/>
            </w:pPr>
            <w:r/>
            <w:r>
              <w:rPr>
                <w:sz w:val="15"/>
              </w:rPr>
            </w:r>
          </w:p>
        </w:tc>
        <w:tc>
          <w:tcPr>
            <w:tcW w:type="dxa" w:w="675"/>
          </w:tcPr>
          <w:p>
            <w:pPr>
              <w:spacing w:after="20"/>
            </w:pPr>
            <w:r/>
            <w:r>
              <w:rPr>
                <w:sz w:val="15"/>
              </w:rPr>
            </w:r>
          </w:p>
        </w:tc>
      </w:tr>
      <w:tr>
        <w:tc>
          <w:tcPr>
            <w:tcW w:type="dxa" w:w="1349"/>
          </w:tcPr>
          <w:p>
            <w:pPr>
              <w:spacing w:after="20"/>
            </w:pPr>
            <w:r/>
            <w:r>
              <w:rPr>
                <w:sz w:val="15"/>
              </w:rPr>
              <w:t>Type</w:t>
            </w:r>
          </w:p>
        </w:tc>
        <w:tc>
          <w:tcPr>
            <w:tcW w:type="dxa" w:w="877"/>
          </w:tcPr>
          <w:p>
            <w:pPr>
              <w:spacing w:after="20"/>
            </w:pPr>
            <w:r/>
            <w:r>
              <w:rPr>
                <w:sz w:val="15"/>
              </w:rPr>
              <w:t>attribute</w:t>
            </w:r>
          </w:p>
        </w:tc>
        <w:tc>
          <w:tcPr>
            <w:tcW w:type="dxa" w:w="810"/>
          </w:tcPr>
          <w:p>
            <w:pPr>
              <w:spacing w:after="20"/>
              <w:jc w:val="right"/>
            </w:pPr>
            <w:r/>
            <w:r>
              <w:rPr>
                <w:sz w:val="15"/>
              </w:rPr>
              <w:t>0.0%</w:t>
            </w:r>
          </w:p>
        </w:tc>
        <w:tc>
          <w:tcPr>
            <w:tcW w:type="dxa" w:w="877"/>
          </w:tcPr>
          <w:p>
            <w:pPr>
              <w:spacing w:after="20"/>
              <w:jc w:val="right"/>
            </w:pPr>
            <w:r/>
            <w:r>
              <w:rPr>
                <w:sz w:val="15"/>
              </w:rPr>
              <w:t>3</w:t>
            </w:r>
          </w:p>
        </w:tc>
        <w:tc>
          <w:tcPr>
            <w:tcW w:type="dxa" w:w="1012"/>
          </w:tcPr>
          <w:p>
            <w:pPr>
              <w:spacing w:after="20"/>
            </w:pPr>
            <w:r/>
            <w:r>
              <w:rPr>
                <w:sz w:val="15"/>
              </w:rPr>
            </w:r>
          </w:p>
        </w:tc>
        <w:tc>
          <w:tcPr>
            <w:tcW w:type="dxa" w:w="945"/>
          </w:tcPr>
          <w:p>
            <w:pPr>
              <w:spacing w:after="20"/>
            </w:pPr>
            <w:r/>
            <w:r>
              <w:rPr>
                <w:sz w:val="15"/>
              </w:rPr>
            </w:r>
          </w:p>
        </w:tc>
        <w:tc>
          <w:tcPr>
            <w:tcW w:type="dxa" w:w="945"/>
          </w:tcPr>
          <w:p>
            <w:pPr>
              <w:spacing w:after="20"/>
            </w:pPr>
            <w:r/>
            <w:r>
              <w:rPr>
                <w:sz w:val="15"/>
              </w:rPr>
            </w:r>
          </w:p>
        </w:tc>
        <w:tc>
          <w:tcPr>
            <w:tcW w:type="dxa" w:w="675"/>
          </w:tcPr>
          <w:p>
            <w:pPr>
              <w:spacing w:after="20"/>
            </w:pPr>
            <w:r/>
            <w:r>
              <w:rPr>
                <w:sz w:val="15"/>
              </w:rPr>
            </w:r>
          </w:p>
        </w:tc>
        <w:tc>
          <w:tcPr>
            <w:tcW w:type="dxa" w:w="675"/>
          </w:tcPr>
          <w:p>
            <w:pPr>
              <w:spacing w:after="20"/>
            </w:pPr>
            <w:r/>
            <w:r>
              <w:rPr>
                <w:sz w:val="15"/>
              </w:rPr>
            </w:r>
          </w:p>
        </w:tc>
        <w:tc>
          <w:tcPr>
            <w:tcW w:type="dxa" w:w="810"/>
          </w:tcPr>
          <w:p>
            <w:pPr>
              <w:spacing w:after="20"/>
            </w:pPr>
            <w:r/>
            <w:r>
              <w:rPr>
                <w:sz w:val="15"/>
              </w:rPr>
            </w:r>
          </w:p>
        </w:tc>
        <w:tc>
          <w:tcPr>
            <w:tcW w:type="dxa" w:w="675"/>
          </w:tcPr>
          <w:p>
            <w:pPr>
              <w:spacing w:after="20"/>
            </w:pPr>
            <w:r/>
            <w:r>
              <w:rPr>
                <w:sz w:val="15"/>
              </w:rPr>
            </w:r>
          </w:p>
        </w:tc>
      </w:tr>
      <w:tr>
        <w:tc>
          <w:tcPr>
            <w:tcW w:type="dxa" w:w="1349"/>
          </w:tcPr>
          <w:p>
            <w:pPr>
              <w:spacing w:after="20"/>
            </w:pPr>
            <w:r/>
            <w:r>
              <w:rPr>
                <w:sz w:val="15"/>
              </w:rPr>
              <w:t>Size</w:t>
            </w:r>
          </w:p>
        </w:tc>
        <w:tc>
          <w:tcPr>
            <w:tcW w:type="dxa" w:w="877"/>
          </w:tcPr>
          <w:p>
            <w:pPr>
              <w:spacing w:after="20"/>
            </w:pPr>
            <w:r/>
            <w:r>
              <w:rPr>
                <w:sz w:val="15"/>
              </w:rPr>
              <w:t>attribute</w:t>
            </w:r>
          </w:p>
        </w:tc>
        <w:tc>
          <w:tcPr>
            <w:tcW w:type="dxa" w:w="810"/>
          </w:tcPr>
          <w:p>
            <w:pPr>
              <w:spacing w:after="20"/>
              <w:jc w:val="right"/>
            </w:pPr>
            <w:r/>
            <w:r>
              <w:rPr>
                <w:sz w:val="15"/>
              </w:rPr>
              <w:t>0.0%</w:t>
            </w:r>
          </w:p>
        </w:tc>
        <w:tc>
          <w:tcPr>
            <w:tcW w:type="dxa" w:w="877"/>
          </w:tcPr>
          <w:p>
            <w:pPr>
              <w:spacing w:after="20"/>
              <w:jc w:val="right"/>
            </w:pPr>
            <w:r/>
            <w:r>
              <w:rPr>
                <w:sz w:val="15"/>
              </w:rPr>
              <w:t>40</w:t>
            </w:r>
          </w:p>
        </w:tc>
        <w:tc>
          <w:tcPr>
            <w:tcW w:type="dxa" w:w="1012"/>
          </w:tcPr>
          <w:p>
            <w:pPr>
              <w:spacing w:after="20"/>
              <w:jc w:val="right"/>
            </w:pPr>
            <w:r/>
            <w:r>
              <w:rPr>
                <w:sz w:val="15"/>
              </w:rPr>
              <w:t>136,727.9</w:t>
            </w:r>
          </w:p>
        </w:tc>
        <w:tc>
          <w:tcPr>
            <w:tcW w:type="dxa" w:w="945"/>
          </w:tcPr>
          <w:p>
            <w:pPr>
              <w:spacing w:after="20"/>
              <w:jc w:val="right"/>
            </w:pPr>
            <w:r/>
            <w:r>
              <w:rPr>
                <w:sz w:val="15"/>
              </w:rPr>
              <w:t>140,167.0</w:t>
            </w:r>
          </w:p>
        </w:tc>
        <w:tc>
          <w:tcPr>
            <w:tcW w:type="dxa" w:w="945"/>
          </w:tcPr>
          <w:p>
            <w:pPr>
              <w:spacing w:after="20"/>
              <w:jc w:val="right"/>
            </w:pPr>
            <w:r/>
            <w:r>
              <w:rPr>
                <w:sz w:val="15"/>
              </w:rPr>
              <w:t>60,980.6</w:t>
            </w:r>
          </w:p>
        </w:tc>
        <w:tc>
          <w:tcPr>
            <w:tcW w:type="dxa" w:w="675"/>
          </w:tcPr>
          <w:p>
            <w:pPr>
              <w:spacing w:after="20"/>
              <w:jc w:val="right"/>
            </w:pPr>
            <w:r/>
            <w:r>
              <w:rPr>
                <w:sz w:val="15"/>
              </w:rPr>
              <w:t>-0.33</w:t>
            </w:r>
          </w:p>
        </w:tc>
        <w:tc>
          <w:tcPr>
            <w:tcW w:type="dxa" w:w="675"/>
          </w:tcPr>
          <w:p>
            <w:pPr>
              <w:spacing w:after="20"/>
              <w:jc w:val="right"/>
            </w:pPr>
            <w:r/>
            <w:r>
              <w:rPr>
                <w:sz w:val="15"/>
              </w:rPr>
              <w:t>-1.2</w:t>
            </w:r>
          </w:p>
        </w:tc>
        <w:tc>
          <w:tcPr>
            <w:tcW w:type="dxa" w:w="810"/>
          </w:tcPr>
          <w:p>
            <w:pPr>
              <w:spacing w:after="20"/>
              <w:jc w:val="right"/>
            </w:pPr>
            <w:r/>
            <w:r>
              <w:rPr>
                <w:sz w:val="15"/>
              </w:rPr>
              <w:t>0.0%</w:t>
            </w:r>
          </w:p>
        </w:tc>
        <w:tc>
          <w:tcPr>
            <w:tcW w:type="dxa" w:w="675"/>
          </w:tcPr>
          <w:p>
            <w:pPr>
              <w:spacing w:after="20"/>
              <w:jc w:val="right"/>
            </w:pPr>
            <w:r/>
            <w:r>
              <w:rPr>
                <w:sz w:val="15"/>
              </w:rPr>
              <w:t>0</w:t>
            </w:r>
          </w:p>
        </w:tc>
      </w:tr>
      <w:tr>
        <w:tc>
          <w:tcPr>
            <w:tcW w:type="dxa" w:w="1349"/>
          </w:tcPr>
          <w:p>
            <w:pPr>
              <w:spacing w:after="20"/>
            </w:pPr>
            <w:r/>
            <w:r>
              <w:rPr>
                <w:sz w:val="15"/>
              </w:rPr>
              <w:t>Temperature</w:t>
            </w:r>
          </w:p>
        </w:tc>
        <w:tc>
          <w:tcPr>
            <w:tcW w:type="dxa" w:w="877"/>
          </w:tcPr>
          <w:p>
            <w:pPr>
              <w:spacing w:after="20"/>
            </w:pPr>
            <w:r/>
            <w:r>
              <w:rPr>
                <w:sz w:val="15"/>
              </w:rPr>
              <w:t>driver</w:t>
            </w:r>
          </w:p>
        </w:tc>
        <w:tc>
          <w:tcPr>
            <w:tcW w:type="dxa" w:w="810"/>
          </w:tcPr>
          <w:p>
            <w:pPr>
              <w:spacing w:after="20"/>
              <w:jc w:val="right"/>
            </w:pPr>
            <w:r/>
            <w:r>
              <w:rPr>
                <w:sz w:val="15"/>
              </w:rPr>
              <w:t>0.0%</w:t>
            </w:r>
          </w:p>
        </w:tc>
        <w:tc>
          <w:tcPr>
            <w:tcW w:type="dxa" w:w="877"/>
          </w:tcPr>
          <w:p>
            <w:pPr>
              <w:spacing w:after="20"/>
              <w:jc w:val="right"/>
            </w:pPr>
            <w:r/>
            <w:r>
              <w:rPr>
                <w:sz w:val="15"/>
              </w:rPr>
              <w:t>3,528</w:t>
            </w:r>
          </w:p>
        </w:tc>
        <w:tc>
          <w:tcPr>
            <w:tcW w:type="dxa" w:w="1012"/>
          </w:tcPr>
          <w:p>
            <w:pPr>
              <w:spacing w:after="20"/>
              <w:jc w:val="right"/>
            </w:pPr>
            <w:r/>
            <w:r>
              <w:rPr>
                <w:sz w:val="15"/>
              </w:rPr>
              <w:t>60.1</w:t>
            </w:r>
          </w:p>
        </w:tc>
        <w:tc>
          <w:tcPr>
            <w:tcW w:type="dxa" w:w="945"/>
          </w:tcPr>
          <w:p>
            <w:pPr>
              <w:spacing w:after="20"/>
              <w:jc w:val="right"/>
            </w:pPr>
            <w:r/>
            <w:r>
              <w:rPr>
                <w:sz w:val="15"/>
              </w:rPr>
              <w:t>62.1</w:t>
            </w:r>
          </w:p>
        </w:tc>
        <w:tc>
          <w:tcPr>
            <w:tcW w:type="dxa" w:w="945"/>
          </w:tcPr>
          <w:p>
            <w:pPr>
              <w:spacing w:after="20"/>
              <w:jc w:val="right"/>
            </w:pPr>
            <w:r/>
            <w:r>
              <w:rPr>
                <w:sz w:val="15"/>
              </w:rPr>
              <w:t>18.4</w:t>
            </w:r>
          </w:p>
        </w:tc>
        <w:tc>
          <w:tcPr>
            <w:tcW w:type="dxa" w:w="675"/>
          </w:tcPr>
          <w:p>
            <w:pPr>
              <w:spacing w:after="20"/>
              <w:jc w:val="right"/>
            </w:pPr>
            <w:r/>
            <w:r>
              <w:rPr>
                <w:sz w:val="15"/>
              </w:rPr>
              <w:t>-0.32</w:t>
            </w:r>
          </w:p>
        </w:tc>
        <w:tc>
          <w:tcPr>
            <w:tcW w:type="dxa" w:w="675"/>
          </w:tcPr>
          <w:p>
            <w:pPr>
              <w:spacing w:after="20"/>
              <w:jc w:val="right"/>
            </w:pPr>
            <w:r/>
            <w:r>
              <w:rPr>
                <w:sz w:val="15"/>
              </w:rPr>
              <w:t>-0.6</w:t>
            </w:r>
          </w:p>
        </w:tc>
        <w:tc>
          <w:tcPr>
            <w:tcW w:type="dxa" w:w="810"/>
          </w:tcPr>
          <w:p>
            <w:pPr>
              <w:spacing w:after="20"/>
              <w:jc w:val="right"/>
            </w:pPr>
            <w:r/>
            <w:r>
              <w:rPr>
                <w:sz w:val="15"/>
              </w:rPr>
              <w:t>0.0%</w:t>
            </w:r>
          </w:p>
        </w:tc>
        <w:tc>
          <w:tcPr>
            <w:tcW w:type="dxa" w:w="675"/>
          </w:tcPr>
          <w:p>
            <w:pPr>
              <w:spacing w:after="20"/>
              <w:jc w:val="right"/>
            </w:pPr>
            <w:r/>
            <w:r>
              <w:rPr>
                <w:sz w:val="15"/>
              </w:rPr>
              <w:t>69</w:t>
            </w:r>
          </w:p>
        </w:tc>
      </w:tr>
      <w:tr>
        <w:tc>
          <w:tcPr>
            <w:tcW w:type="dxa" w:w="1349"/>
          </w:tcPr>
          <w:p>
            <w:pPr>
              <w:spacing w:after="20"/>
            </w:pPr>
            <w:r/>
            <w:r>
              <w:rPr>
                <w:sz w:val="15"/>
              </w:rPr>
              <w:t>Fuel_Price</w:t>
            </w:r>
          </w:p>
        </w:tc>
        <w:tc>
          <w:tcPr>
            <w:tcW w:type="dxa" w:w="877"/>
          </w:tcPr>
          <w:p>
            <w:pPr>
              <w:spacing w:after="20"/>
            </w:pPr>
            <w:r/>
            <w:r>
              <w:rPr>
                <w:sz w:val="15"/>
              </w:rPr>
              <w:t>driver</w:t>
            </w:r>
          </w:p>
        </w:tc>
        <w:tc>
          <w:tcPr>
            <w:tcW w:type="dxa" w:w="810"/>
          </w:tcPr>
          <w:p>
            <w:pPr>
              <w:spacing w:after="20"/>
              <w:jc w:val="right"/>
            </w:pPr>
            <w:r/>
            <w:r>
              <w:rPr>
                <w:sz w:val="15"/>
              </w:rPr>
              <w:t>0.0%</w:t>
            </w:r>
          </w:p>
        </w:tc>
        <w:tc>
          <w:tcPr>
            <w:tcW w:type="dxa" w:w="877"/>
          </w:tcPr>
          <w:p>
            <w:pPr>
              <w:spacing w:after="20"/>
              <w:jc w:val="right"/>
            </w:pPr>
            <w:r/>
            <w:r>
              <w:rPr>
                <w:sz w:val="15"/>
              </w:rPr>
              <w:t>892</w:t>
            </w:r>
          </w:p>
        </w:tc>
        <w:tc>
          <w:tcPr>
            <w:tcW w:type="dxa" w:w="1012"/>
          </w:tcPr>
          <w:p>
            <w:pPr>
              <w:spacing w:after="20"/>
              <w:jc w:val="right"/>
            </w:pPr>
            <w:r/>
            <w:r>
              <w:rPr>
                <w:sz w:val="15"/>
              </w:rPr>
              <w:t>3.4</w:t>
            </w:r>
          </w:p>
        </w:tc>
        <w:tc>
          <w:tcPr>
            <w:tcW w:type="dxa" w:w="945"/>
          </w:tcPr>
          <w:p>
            <w:pPr>
              <w:spacing w:after="20"/>
              <w:jc w:val="right"/>
            </w:pPr>
            <w:r/>
            <w:r>
              <w:rPr>
                <w:sz w:val="15"/>
              </w:rPr>
              <w:t>3.5</w:t>
            </w:r>
          </w:p>
        </w:tc>
        <w:tc>
          <w:tcPr>
            <w:tcW w:type="dxa" w:w="945"/>
          </w:tcPr>
          <w:p>
            <w:pPr>
              <w:spacing w:after="20"/>
              <w:jc w:val="right"/>
            </w:pPr>
            <w:r/>
            <w:r>
              <w:rPr>
                <w:sz w:val="15"/>
              </w:rPr>
              <w:t>0.5</w:t>
            </w:r>
          </w:p>
        </w:tc>
        <w:tc>
          <w:tcPr>
            <w:tcW w:type="dxa" w:w="675"/>
          </w:tcPr>
          <w:p>
            <w:pPr>
              <w:spacing w:after="20"/>
              <w:jc w:val="right"/>
            </w:pPr>
            <w:r/>
            <w:r>
              <w:rPr>
                <w:sz w:val="15"/>
              </w:rPr>
              <w:t>-0.10</w:t>
            </w:r>
          </w:p>
        </w:tc>
        <w:tc>
          <w:tcPr>
            <w:tcW w:type="dxa" w:w="675"/>
          </w:tcPr>
          <w:p>
            <w:pPr>
              <w:spacing w:after="20"/>
              <w:jc w:val="right"/>
            </w:pPr>
            <w:r/>
            <w:r>
              <w:rPr>
                <w:sz w:val="15"/>
              </w:rPr>
              <w:t>-1.2</w:t>
            </w:r>
          </w:p>
        </w:tc>
        <w:tc>
          <w:tcPr>
            <w:tcW w:type="dxa" w:w="810"/>
          </w:tcPr>
          <w:p>
            <w:pPr>
              <w:spacing w:after="20"/>
              <w:jc w:val="right"/>
            </w:pPr>
            <w:r/>
            <w:r>
              <w:rPr>
                <w:sz w:val="15"/>
              </w:rPr>
              <w:t>0.0%</w:t>
            </w:r>
          </w:p>
        </w:tc>
        <w:tc>
          <w:tcPr>
            <w:tcW w:type="dxa" w:w="675"/>
          </w:tcPr>
          <w:p>
            <w:pPr>
              <w:spacing w:after="20"/>
              <w:jc w:val="right"/>
            </w:pPr>
            <w:r/>
            <w:r>
              <w:rPr>
                <w:sz w:val="15"/>
              </w:rPr>
              <w:t>0</w:t>
            </w:r>
          </w:p>
        </w:tc>
      </w:tr>
      <w:tr>
        <w:tc>
          <w:tcPr>
            <w:tcW w:type="dxa" w:w="1349"/>
          </w:tcPr>
          <w:p>
            <w:pPr>
              <w:spacing w:after="20"/>
            </w:pPr>
            <w:r/>
            <w:r>
              <w:rPr>
                <w:sz w:val="15"/>
              </w:rPr>
              <w:t>CPI</w:t>
            </w:r>
          </w:p>
        </w:tc>
        <w:tc>
          <w:tcPr>
            <w:tcW w:type="dxa" w:w="877"/>
          </w:tcPr>
          <w:p>
            <w:pPr>
              <w:spacing w:after="20"/>
            </w:pPr>
            <w:r/>
            <w:r>
              <w:rPr>
                <w:sz w:val="15"/>
              </w:rPr>
              <w:t>driver</w:t>
            </w:r>
          </w:p>
        </w:tc>
        <w:tc>
          <w:tcPr>
            <w:tcW w:type="dxa" w:w="810"/>
          </w:tcPr>
          <w:p>
            <w:pPr>
              <w:spacing w:after="20"/>
              <w:jc w:val="right"/>
            </w:pPr>
            <w:r/>
            <w:r>
              <w:rPr>
                <w:sz w:val="15"/>
              </w:rPr>
              <w:t>0.0%</w:t>
            </w:r>
          </w:p>
        </w:tc>
        <w:tc>
          <w:tcPr>
            <w:tcW w:type="dxa" w:w="877"/>
          </w:tcPr>
          <w:p>
            <w:pPr>
              <w:spacing w:after="20"/>
              <w:jc w:val="right"/>
            </w:pPr>
            <w:r/>
            <w:r>
              <w:rPr>
                <w:sz w:val="15"/>
              </w:rPr>
              <w:t>2,145</w:t>
            </w:r>
          </w:p>
        </w:tc>
        <w:tc>
          <w:tcPr>
            <w:tcW w:type="dxa" w:w="1012"/>
          </w:tcPr>
          <w:p>
            <w:pPr>
              <w:spacing w:after="20"/>
              <w:jc w:val="right"/>
            </w:pPr>
            <w:r/>
            <w:r>
              <w:rPr>
                <w:sz w:val="15"/>
              </w:rPr>
              <w:t>171.2</w:t>
            </w:r>
          </w:p>
        </w:tc>
        <w:tc>
          <w:tcPr>
            <w:tcW w:type="dxa" w:w="945"/>
          </w:tcPr>
          <w:p>
            <w:pPr>
              <w:spacing w:after="20"/>
              <w:jc w:val="right"/>
            </w:pPr>
            <w:r/>
            <w:r>
              <w:rPr>
                <w:sz w:val="15"/>
              </w:rPr>
              <w:t>182.3</w:t>
            </w:r>
          </w:p>
        </w:tc>
        <w:tc>
          <w:tcPr>
            <w:tcW w:type="dxa" w:w="945"/>
          </w:tcPr>
          <w:p>
            <w:pPr>
              <w:spacing w:after="20"/>
              <w:jc w:val="right"/>
            </w:pPr>
            <w:r/>
            <w:r>
              <w:rPr>
                <w:sz w:val="15"/>
              </w:rPr>
              <w:t>39.2</w:t>
            </w:r>
          </w:p>
        </w:tc>
        <w:tc>
          <w:tcPr>
            <w:tcW w:type="dxa" w:w="675"/>
          </w:tcPr>
          <w:p>
            <w:pPr>
              <w:spacing w:after="20"/>
              <w:jc w:val="right"/>
            </w:pPr>
            <w:r/>
            <w:r>
              <w:rPr>
                <w:sz w:val="15"/>
              </w:rPr>
              <w:t>0.09</w:t>
            </w:r>
          </w:p>
        </w:tc>
        <w:tc>
          <w:tcPr>
            <w:tcW w:type="dxa" w:w="675"/>
          </w:tcPr>
          <w:p>
            <w:pPr>
              <w:spacing w:after="20"/>
              <w:jc w:val="right"/>
            </w:pPr>
            <w:r/>
            <w:r>
              <w:rPr>
                <w:sz w:val="15"/>
              </w:rPr>
              <w:t>-1.8</w:t>
            </w:r>
          </w:p>
        </w:tc>
        <w:tc>
          <w:tcPr>
            <w:tcW w:type="dxa" w:w="810"/>
          </w:tcPr>
          <w:p>
            <w:pPr>
              <w:spacing w:after="20"/>
              <w:jc w:val="right"/>
            </w:pPr>
            <w:r/>
            <w:r>
              <w:rPr>
                <w:sz w:val="15"/>
              </w:rPr>
              <w:t>0.0%</w:t>
            </w:r>
          </w:p>
        </w:tc>
        <w:tc>
          <w:tcPr>
            <w:tcW w:type="dxa" w:w="675"/>
          </w:tcPr>
          <w:p>
            <w:pPr>
              <w:spacing w:after="20"/>
              <w:jc w:val="right"/>
            </w:pPr>
            <w:r/>
            <w:r>
              <w:rPr>
                <w:sz w:val="15"/>
              </w:rPr>
              <w:t>0</w:t>
            </w:r>
          </w:p>
        </w:tc>
      </w:tr>
      <w:tr>
        <w:tc>
          <w:tcPr>
            <w:tcW w:type="dxa" w:w="1349"/>
          </w:tcPr>
          <w:p>
            <w:pPr>
              <w:spacing w:after="20"/>
            </w:pPr>
            <w:r/>
            <w:r>
              <w:rPr>
                <w:sz w:val="15"/>
              </w:rPr>
              <w:t>Unemployment</w:t>
            </w:r>
          </w:p>
        </w:tc>
        <w:tc>
          <w:tcPr>
            <w:tcW w:type="dxa" w:w="877"/>
          </w:tcPr>
          <w:p>
            <w:pPr>
              <w:spacing w:after="20"/>
            </w:pPr>
            <w:r/>
            <w:r>
              <w:rPr>
                <w:sz w:val="15"/>
              </w:rPr>
              <w:t>driver</w:t>
            </w:r>
          </w:p>
        </w:tc>
        <w:tc>
          <w:tcPr>
            <w:tcW w:type="dxa" w:w="810"/>
          </w:tcPr>
          <w:p>
            <w:pPr>
              <w:spacing w:after="20"/>
              <w:jc w:val="right"/>
            </w:pPr>
            <w:r/>
            <w:r>
              <w:rPr>
                <w:sz w:val="15"/>
              </w:rPr>
              <w:t>0.0%</w:t>
            </w:r>
          </w:p>
        </w:tc>
        <w:tc>
          <w:tcPr>
            <w:tcW w:type="dxa" w:w="877"/>
          </w:tcPr>
          <w:p>
            <w:pPr>
              <w:spacing w:after="20"/>
              <w:jc w:val="right"/>
            </w:pPr>
            <w:r/>
            <w:r>
              <w:rPr>
                <w:sz w:val="15"/>
              </w:rPr>
              <w:t>349</w:t>
            </w:r>
          </w:p>
        </w:tc>
        <w:tc>
          <w:tcPr>
            <w:tcW w:type="dxa" w:w="1012"/>
          </w:tcPr>
          <w:p>
            <w:pPr>
              <w:spacing w:after="20"/>
              <w:jc w:val="right"/>
            </w:pPr>
            <w:r/>
            <w:r>
              <w:rPr>
                <w:sz w:val="15"/>
              </w:rPr>
              <w:t>8.0</w:t>
            </w:r>
          </w:p>
        </w:tc>
        <w:tc>
          <w:tcPr>
            <w:tcW w:type="dxa" w:w="945"/>
          </w:tcPr>
          <w:p>
            <w:pPr>
              <w:spacing w:after="20"/>
              <w:jc w:val="right"/>
            </w:pPr>
            <w:r/>
            <w:r>
              <w:rPr>
                <w:sz w:val="15"/>
              </w:rPr>
              <w:t>7.9</w:t>
            </w:r>
          </w:p>
        </w:tc>
        <w:tc>
          <w:tcPr>
            <w:tcW w:type="dxa" w:w="945"/>
          </w:tcPr>
          <w:p>
            <w:pPr>
              <w:spacing w:after="20"/>
              <w:jc w:val="right"/>
            </w:pPr>
            <w:r/>
            <w:r>
              <w:rPr>
                <w:sz w:val="15"/>
              </w:rPr>
              <w:t>1.9</w:t>
            </w:r>
          </w:p>
        </w:tc>
        <w:tc>
          <w:tcPr>
            <w:tcW w:type="dxa" w:w="675"/>
          </w:tcPr>
          <w:p>
            <w:pPr>
              <w:spacing w:after="20"/>
              <w:jc w:val="right"/>
            </w:pPr>
            <w:r/>
            <w:r>
              <w:rPr>
                <w:sz w:val="15"/>
              </w:rPr>
              <w:t>1.18</w:t>
            </w:r>
          </w:p>
        </w:tc>
        <w:tc>
          <w:tcPr>
            <w:tcW w:type="dxa" w:w="675"/>
          </w:tcPr>
          <w:p>
            <w:pPr>
              <w:spacing w:after="20"/>
              <w:jc w:val="right"/>
            </w:pPr>
            <w:r/>
            <w:r>
              <w:rPr>
                <w:sz w:val="15"/>
              </w:rPr>
              <w:t>2.7</w:t>
            </w:r>
          </w:p>
        </w:tc>
        <w:tc>
          <w:tcPr>
            <w:tcW w:type="dxa" w:w="810"/>
          </w:tcPr>
          <w:p>
            <w:pPr>
              <w:spacing w:after="20"/>
              <w:jc w:val="right"/>
            </w:pPr>
            <w:r/>
            <w:r>
              <w:rPr>
                <w:sz w:val="15"/>
              </w:rPr>
              <w:t>7.6%</w:t>
            </w:r>
          </w:p>
        </w:tc>
        <w:tc>
          <w:tcPr>
            <w:tcW w:type="dxa" w:w="675"/>
          </w:tcPr>
          <w:p>
            <w:pPr>
              <w:spacing w:after="20"/>
              <w:jc w:val="right"/>
            </w:pPr>
            <w:r/>
            <w:r>
              <w:rPr>
                <w:sz w:val="15"/>
              </w:rPr>
              <w:t>0</w:t>
            </w:r>
          </w:p>
        </w:tc>
      </w:tr>
      <w:tr>
        <w:tc>
          <w:tcPr>
            <w:tcW w:type="dxa" w:w="1349"/>
          </w:tcPr>
          <w:p>
            <w:pPr>
              <w:spacing w:after="20"/>
            </w:pPr>
            <w:r/>
            <w:r>
              <w:rPr>
                <w:sz w:val="15"/>
              </w:rPr>
              <w:t>MarkDown1</w:t>
            </w:r>
          </w:p>
        </w:tc>
        <w:tc>
          <w:tcPr>
            <w:tcW w:type="dxa" w:w="877"/>
          </w:tcPr>
          <w:p>
            <w:pPr>
              <w:spacing w:after="20"/>
            </w:pPr>
            <w:r/>
            <w:r>
              <w:rPr>
                <w:sz w:val="15"/>
              </w:rPr>
              <w:t>promotion</w:t>
            </w:r>
          </w:p>
        </w:tc>
        <w:tc>
          <w:tcPr>
            <w:tcW w:type="dxa" w:w="810"/>
          </w:tcPr>
          <w:p>
            <w:pPr>
              <w:spacing w:after="20"/>
              <w:jc w:val="right"/>
            </w:pPr>
            <w:r/>
            <w:r>
              <w:rPr>
                <w:sz w:val="15"/>
              </w:rPr>
              <w:t>64.3%</w:t>
            </w:r>
          </w:p>
        </w:tc>
        <w:tc>
          <w:tcPr>
            <w:tcW w:type="dxa" w:w="877"/>
          </w:tcPr>
          <w:p>
            <w:pPr>
              <w:spacing w:after="20"/>
              <w:jc w:val="right"/>
            </w:pPr>
            <w:r/>
            <w:r>
              <w:rPr>
                <w:sz w:val="15"/>
              </w:rPr>
              <w:t>2,277</w:t>
            </w:r>
          </w:p>
        </w:tc>
        <w:tc>
          <w:tcPr>
            <w:tcW w:type="dxa" w:w="1012"/>
          </w:tcPr>
          <w:p>
            <w:pPr>
              <w:spacing w:after="20"/>
              <w:jc w:val="right"/>
            </w:pPr>
            <w:r/>
            <w:r>
              <w:rPr>
                <w:sz w:val="15"/>
              </w:rPr>
              <w:t>7,246.4</w:t>
            </w:r>
          </w:p>
        </w:tc>
        <w:tc>
          <w:tcPr>
            <w:tcW w:type="dxa" w:w="945"/>
          </w:tcPr>
          <w:p>
            <w:pPr>
              <w:spacing w:after="20"/>
              <w:jc w:val="right"/>
            </w:pPr>
            <w:r/>
            <w:r>
              <w:rPr>
                <w:sz w:val="15"/>
              </w:rPr>
              <w:t>5,347.4</w:t>
            </w:r>
          </w:p>
        </w:tc>
        <w:tc>
          <w:tcPr>
            <w:tcW w:type="dxa" w:w="945"/>
          </w:tcPr>
          <w:p>
            <w:pPr>
              <w:spacing w:after="20"/>
              <w:jc w:val="right"/>
            </w:pPr>
            <w:r/>
            <w:r>
              <w:rPr>
                <w:sz w:val="15"/>
              </w:rPr>
              <w:t>8,291.2</w:t>
            </w:r>
          </w:p>
        </w:tc>
        <w:tc>
          <w:tcPr>
            <w:tcW w:type="dxa" w:w="675"/>
          </w:tcPr>
          <w:p>
            <w:pPr>
              <w:spacing w:after="20"/>
              <w:jc w:val="right"/>
            </w:pPr>
            <w:r/>
            <w:r>
              <w:rPr>
                <w:sz w:val="15"/>
              </w:rPr>
              <w:t>3.34</w:t>
            </w:r>
          </w:p>
        </w:tc>
        <w:tc>
          <w:tcPr>
            <w:tcW w:type="dxa" w:w="675"/>
          </w:tcPr>
          <w:p>
            <w:pPr>
              <w:spacing w:after="20"/>
              <w:jc w:val="right"/>
            </w:pPr>
            <w:r/>
            <w:r>
              <w:rPr>
                <w:sz w:val="15"/>
              </w:rPr>
              <w:t>17.6</w:t>
            </w:r>
          </w:p>
        </w:tc>
        <w:tc>
          <w:tcPr>
            <w:tcW w:type="dxa" w:w="810"/>
          </w:tcPr>
          <w:p>
            <w:pPr>
              <w:spacing w:after="20"/>
              <w:jc w:val="right"/>
            </w:pPr>
            <w:r/>
            <w:r>
              <w:rPr>
                <w:sz w:val="15"/>
              </w:rPr>
              <w:t>6.4%</w:t>
            </w:r>
          </w:p>
        </w:tc>
        <w:tc>
          <w:tcPr>
            <w:tcW w:type="dxa" w:w="675"/>
          </w:tcPr>
          <w:p>
            <w:pPr>
              <w:spacing w:after="20"/>
              <w:jc w:val="right"/>
            </w:pPr>
            <w:r/>
            <w:r>
              <w:rPr>
                <w:sz w:val="15"/>
              </w:rPr>
              <w:t>0</w:t>
            </w:r>
          </w:p>
        </w:tc>
      </w:tr>
      <w:tr>
        <w:tc>
          <w:tcPr>
            <w:tcW w:type="dxa" w:w="1349"/>
          </w:tcPr>
          <w:p>
            <w:pPr>
              <w:spacing w:after="20"/>
            </w:pPr>
            <w:r/>
            <w:r>
              <w:rPr>
                <w:sz w:val="15"/>
              </w:rPr>
              <w:t>MarkDown2</w:t>
            </w:r>
          </w:p>
        </w:tc>
        <w:tc>
          <w:tcPr>
            <w:tcW w:type="dxa" w:w="877"/>
          </w:tcPr>
          <w:p>
            <w:pPr>
              <w:spacing w:after="20"/>
            </w:pPr>
            <w:r/>
            <w:r>
              <w:rPr>
                <w:sz w:val="15"/>
              </w:rPr>
              <w:t>promotion</w:t>
            </w:r>
          </w:p>
        </w:tc>
        <w:tc>
          <w:tcPr>
            <w:tcW w:type="dxa" w:w="810"/>
          </w:tcPr>
          <w:p>
            <w:pPr>
              <w:spacing w:after="20"/>
              <w:jc w:val="right"/>
            </w:pPr>
            <w:r/>
            <w:r>
              <w:rPr>
                <w:sz w:val="15"/>
              </w:rPr>
              <w:t>73.6%</w:t>
            </w:r>
          </w:p>
        </w:tc>
        <w:tc>
          <w:tcPr>
            <w:tcW w:type="dxa" w:w="877"/>
          </w:tcPr>
          <w:p>
            <w:pPr>
              <w:spacing w:after="20"/>
              <w:jc w:val="right"/>
            </w:pPr>
            <w:r/>
            <w:r>
              <w:rPr>
                <w:sz w:val="15"/>
              </w:rPr>
              <w:t>1,499</w:t>
            </w:r>
          </w:p>
        </w:tc>
        <w:tc>
          <w:tcPr>
            <w:tcW w:type="dxa" w:w="1012"/>
          </w:tcPr>
          <w:p>
            <w:pPr>
              <w:spacing w:after="20"/>
              <w:jc w:val="right"/>
            </w:pPr>
            <w:r/>
            <w:r>
              <w:rPr>
                <w:sz w:val="15"/>
              </w:rPr>
              <w:t>3,334.6</w:t>
            </w:r>
          </w:p>
        </w:tc>
        <w:tc>
          <w:tcPr>
            <w:tcW w:type="dxa" w:w="945"/>
          </w:tcPr>
          <w:p>
            <w:pPr>
              <w:spacing w:after="20"/>
              <w:jc w:val="right"/>
            </w:pPr>
            <w:r/>
            <w:r>
              <w:rPr>
                <w:sz w:val="15"/>
              </w:rPr>
              <w:t>192.0</w:t>
            </w:r>
          </w:p>
        </w:tc>
        <w:tc>
          <w:tcPr>
            <w:tcW w:type="dxa" w:w="945"/>
          </w:tcPr>
          <w:p>
            <w:pPr>
              <w:spacing w:after="20"/>
              <w:jc w:val="right"/>
            </w:pPr>
            <w:r/>
            <w:r>
              <w:rPr>
                <w:sz w:val="15"/>
              </w:rPr>
              <w:t>9,475.4</w:t>
            </w:r>
          </w:p>
        </w:tc>
        <w:tc>
          <w:tcPr>
            <w:tcW w:type="dxa" w:w="675"/>
          </w:tcPr>
          <w:p>
            <w:pPr>
              <w:spacing w:after="20"/>
              <w:jc w:val="right"/>
            </w:pPr>
            <w:r/>
            <w:r>
              <w:rPr>
                <w:sz w:val="15"/>
              </w:rPr>
              <w:t>5.44</w:t>
            </w:r>
          </w:p>
        </w:tc>
        <w:tc>
          <w:tcPr>
            <w:tcW w:type="dxa" w:w="675"/>
          </w:tcPr>
          <w:p>
            <w:pPr>
              <w:spacing w:after="20"/>
              <w:jc w:val="right"/>
            </w:pPr>
            <w:r/>
            <w:r>
              <w:rPr>
                <w:sz w:val="15"/>
              </w:rPr>
              <w:t>37.6</w:t>
            </w:r>
          </w:p>
        </w:tc>
        <w:tc>
          <w:tcPr>
            <w:tcW w:type="dxa" w:w="810"/>
          </w:tcPr>
          <w:p>
            <w:pPr>
              <w:spacing w:after="20"/>
              <w:jc w:val="right"/>
            </w:pPr>
            <w:r/>
            <w:r>
              <w:rPr>
                <w:sz w:val="15"/>
              </w:rPr>
              <w:t>15.8%</w:t>
            </w:r>
          </w:p>
        </w:tc>
        <w:tc>
          <w:tcPr>
            <w:tcW w:type="dxa" w:w="675"/>
          </w:tcPr>
          <w:p>
            <w:pPr>
              <w:spacing w:after="20"/>
              <w:jc w:val="right"/>
            </w:pPr>
            <w:r/>
            <w:r>
              <w:rPr>
                <w:sz w:val="15"/>
              </w:rPr>
              <w:t>1,311</w:t>
            </w:r>
          </w:p>
        </w:tc>
      </w:tr>
      <w:tr>
        <w:tc>
          <w:tcPr>
            <w:tcW w:type="dxa" w:w="1349"/>
          </w:tcPr>
          <w:p>
            <w:pPr>
              <w:spacing w:after="20"/>
            </w:pPr>
            <w:r/>
            <w:r>
              <w:rPr>
                <w:sz w:val="15"/>
              </w:rPr>
              <w:t>MarkDown3</w:t>
            </w:r>
          </w:p>
        </w:tc>
        <w:tc>
          <w:tcPr>
            <w:tcW w:type="dxa" w:w="877"/>
          </w:tcPr>
          <w:p>
            <w:pPr>
              <w:spacing w:after="20"/>
            </w:pPr>
            <w:r/>
            <w:r>
              <w:rPr>
                <w:sz w:val="15"/>
              </w:rPr>
              <w:t>promotion</w:t>
            </w:r>
          </w:p>
        </w:tc>
        <w:tc>
          <w:tcPr>
            <w:tcW w:type="dxa" w:w="810"/>
          </w:tcPr>
          <w:p>
            <w:pPr>
              <w:spacing w:after="20"/>
              <w:jc w:val="right"/>
            </w:pPr>
            <w:r/>
            <w:r>
              <w:rPr>
                <w:sz w:val="15"/>
              </w:rPr>
              <w:t>67.5%</w:t>
            </w:r>
          </w:p>
        </w:tc>
        <w:tc>
          <w:tcPr>
            <w:tcW w:type="dxa" w:w="877"/>
          </w:tcPr>
          <w:p>
            <w:pPr>
              <w:spacing w:after="20"/>
              <w:jc w:val="right"/>
            </w:pPr>
            <w:r/>
            <w:r>
              <w:rPr>
                <w:sz w:val="15"/>
              </w:rPr>
              <w:t>1,662</w:t>
            </w:r>
          </w:p>
        </w:tc>
        <w:tc>
          <w:tcPr>
            <w:tcW w:type="dxa" w:w="1012"/>
          </w:tcPr>
          <w:p>
            <w:pPr>
              <w:spacing w:after="20"/>
              <w:jc w:val="right"/>
            </w:pPr>
            <w:r/>
            <w:r>
              <w:rPr>
                <w:sz w:val="15"/>
              </w:rPr>
              <w:t>1,439.4</w:t>
            </w:r>
          </w:p>
        </w:tc>
        <w:tc>
          <w:tcPr>
            <w:tcW w:type="dxa" w:w="945"/>
          </w:tcPr>
          <w:p>
            <w:pPr>
              <w:spacing w:after="20"/>
              <w:jc w:val="right"/>
            </w:pPr>
            <w:r/>
            <w:r>
              <w:rPr>
                <w:sz w:val="15"/>
              </w:rPr>
              <w:t>24.6</w:t>
            </w:r>
          </w:p>
        </w:tc>
        <w:tc>
          <w:tcPr>
            <w:tcW w:type="dxa" w:w="945"/>
          </w:tcPr>
          <w:p>
            <w:pPr>
              <w:spacing w:after="20"/>
              <w:jc w:val="right"/>
            </w:pPr>
            <w:r/>
            <w:r>
              <w:rPr>
                <w:sz w:val="15"/>
              </w:rPr>
              <w:t>9,623.1</w:t>
            </w:r>
          </w:p>
        </w:tc>
        <w:tc>
          <w:tcPr>
            <w:tcW w:type="dxa" w:w="675"/>
          </w:tcPr>
          <w:p>
            <w:pPr>
              <w:spacing w:after="20"/>
              <w:jc w:val="right"/>
            </w:pPr>
            <w:r/>
            <w:r>
              <w:rPr>
                <w:sz w:val="15"/>
              </w:rPr>
              <w:t>8.40</w:t>
            </w:r>
          </w:p>
        </w:tc>
        <w:tc>
          <w:tcPr>
            <w:tcW w:type="dxa" w:w="675"/>
          </w:tcPr>
          <w:p>
            <w:pPr>
              <w:spacing w:after="20"/>
              <w:jc w:val="right"/>
            </w:pPr>
            <w:r/>
            <w:r>
              <w:rPr>
                <w:sz w:val="15"/>
              </w:rPr>
              <w:t>77.7</w:t>
            </w:r>
          </w:p>
        </w:tc>
        <w:tc>
          <w:tcPr>
            <w:tcW w:type="dxa" w:w="810"/>
          </w:tcPr>
          <w:p>
            <w:pPr>
              <w:spacing w:after="20"/>
              <w:jc w:val="right"/>
            </w:pPr>
            <w:r/>
            <w:r>
              <w:rPr>
                <w:sz w:val="15"/>
              </w:rPr>
              <w:t>13.6%</w:t>
            </w:r>
          </w:p>
        </w:tc>
        <w:tc>
          <w:tcPr>
            <w:tcW w:type="dxa" w:w="675"/>
          </w:tcPr>
          <w:p>
            <w:pPr>
              <w:spacing w:after="20"/>
              <w:jc w:val="right"/>
            </w:pPr>
            <w:r/>
            <w:r>
              <w:rPr>
                <w:sz w:val="15"/>
              </w:rPr>
              <w:t>257</w:t>
            </w:r>
          </w:p>
        </w:tc>
      </w:tr>
      <w:tr>
        <w:tc>
          <w:tcPr>
            <w:tcW w:type="dxa" w:w="1349"/>
          </w:tcPr>
          <w:p>
            <w:pPr>
              <w:spacing w:after="20"/>
            </w:pPr>
            <w:r/>
            <w:r>
              <w:rPr>
                <w:sz w:val="15"/>
              </w:rPr>
              <w:t>MarkDown4</w:t>
            </w:r>
          </w:p>
        </w:tc>
        <w:tc>
          <w:tcPr>
            <w:tcW w:type="dxa" w:w="877"/>
          </w:tcPr>
          <w:p>
            <w:pPr>
              <w:spacing w:after="20"/>
            </w:pPr>
            <w:r/>
            <w:r>
              <w:rPr>
                <w:sz w:val="15"/>
              </w:rPr>
              <w:t>promotion</w:t>
            </w:r>
          </w:p>
        </w:tc>
        <w:tc>
          <w:tcPr>
            <w:tcW w:type="dxa" w:w="810"/>
          </w:tcPr>
          <w:p>
            <w:pPr>
              <w:spacing w:after="20"/>
              <w:jc w:val="right"/>
            </w:pPr>
            <w:r/>
            <w:r>
              <w:rPr>
                <w:sz w:val="15"/>
              </w:rPr>
              <w:t>68.0%</w:t>
            </w:r>
          </w:p>
        </w:tc>
        <w:tc>
          <w:tcPr>
            <w:tcW w:type="dxa" w:w="877"/>
          </w:tcPr>
          <w:p>
            <w:pPr>
              <w:spacing w:after="20"/>
              <w:jc w:val="right"/>
            </w:pPr>
            <w:r/>
            <w:r>
              <w:rPr>
                <w:sz w:val="15"/>
              </w:rPr>
              <w:t>1,944</w:t>
            </w:r>
          </w:p>
        </w:tc>
        <w:tc>
          <w:tcPr>
            <w:tcW w:type="dxa" w:w="1012"/>
          </w:tcPr>
          <w:p>
            <w:pPr>
              <w:spacing w:after="20"/>
              <w:jc w:val="right"/>
            </w:pPr>
            <w:r/>
            <w:r>
              <w:rPr>
                <w:sz w:val="15"/>
              </w:rPr>
              <w:t>3,383.2</w:t>
            </w:r>
          </w:p>
        </w:tc>
        <w:tc>
          <w:tcPr>
            <w:tcW w:type="dxa" w:w="945"/>
          </w:tcPr>
          <w:p>
            <w:pPr>
              <w:spacing w:after="20"/>
              <w:jc w:val="right"/>
            </w:pPr>
            <w:r/>
            <w:r>
              <w:rPr>
                <w:sz w:val="15"/>
              </w:rPr>
              <w:t>1,481.3</w:t>
            </w:r>
          </w:p>
        </w:tc>
        <w:tc>
          <w:tcPr>
            <w:tcW w:type="dxa" w:w="945"/>
          </w:tcPr>
          <w:p>
            <w:pPr>
              <w:spacing w:after="20"/>
              <w:jc w:val="right"/>
            </w:pPr>
            <w:r/>
            <w:r>
              <w:rPr>
                <w:sz w:val="15"/>
              </w:rPr>
              <w:t>6,292.4</w:t>
            </w:r>
          </w:p>
        </w:tc>
        <w:tc>
          <w:tcPr>
            <w:tcW w:type="dxa" w:w="675"/>
          </w:tcPr>
          <w:p>
            <w:pPr>
              <w:spacing w:after="20"/>
              <w:jc w:val="right"/>
            </w:pPr>
            <w:r/>
            <w:r>
              <w:rPr>
                <w:sz w:val="15"/>
              </w:rPr>
              <w:t>4.85</w:t>
            </w:r>
          </w:p>
        </w:tc>
        <w:tc>
          <w:tcPr>
            <w:tcW w:type="dxa" w:w="675"/>
          </w:tcPr>
          <w:p>
            <w:pPr>
              <w:spacing w:after="20"/>
              <w:jc w:val="right"/>
            </w:pPr>
            <w:r/>
            <w:r>
              <w:rPr>
                <w:sz w:val="15"/>
              </w:rPr>
              <w:t>30.0</w:t>
            </w:r>
          </w:p>
        </w:tc>
        <w:tc>
          <w:tcPr>
            <w:tcW w:type="dxa" w:w="810"/>
          </w:tcPr>
          <w:p>
            <w:pPr>
              <w:spacing w:after="20"/>
              <w:jc w:val="right"/>
            </w:pPr>
            <w:r/>
            <w:r>
              <w:rPr>
                <w:sz w:val="15"/>
              </w:rPr>
              <w:t>9.6%</w:t>
            </w:r>
          </w:p>
        </w:tc>
        <w:tc>
          <w:tcPr>
            <w:tcW w:type="dxa" w:w="675"/>
          </w:tcPr>
          <w:p>
            <w:pPr>
              <w:spacing w:after="20"/>
              <w:jc w:val="right"/>
            </w:pPr>
            <w:r/>
            <w:r>
              <w:rPr>
                <w:sz w:val="15"/>
              </w:rPr>
              <w:t>0</w:t>
            </w:r>
          </w:p>
        </w:tc>
      </w:tr>
      <w:tr>
        <w:tc>
          <w:tcPr>
            <w:tcW w:type="dxa" w:w="1349"/>
          </w:tcPr>
          <w:p>
            <w:pPr>
              <w:spacing w:after="20"/>
            </w:pPr>
            <w:r/>
            <w:r>
              <w:rPr>
                <w:sz w:val="15"/>
              </w:rPr>
              <w:t>MarkDown5</w:t>
            </w:r>
          </w:p>
        </w:tc>
        <w:tc>
          <w:tcPr>
            <w:tcW w:type="dxa" w:w="877"/>
          </w:tcPr>
          <w:p>
            <w:pPr>
              <w:spacing w:after="20"/>
            </w:pPr>
            <w:r/>
            <w:r>
              <w:rPr>
                <w:sz w:val="15"/>
              </w:rPr>
              <w:t>promotion</w:t>
            </w:r>
          </w:p>
        </w:tc>
        <w:tc>
          <w:tcPr>
            <w:tcW w:type="dxa" w:w="810"/>
          </w:tcPr>
          <w:p>
            <w:pPr>
              <w:spacing w:after="20"/>
              <w:jc w:val="right"/>
            </w:pPr>
            <w:r/>
            <w:r>
              <w:rPr>
                <w:sz w:val="15"/>
              </w:rPr>
              <w:t>64.1%</w:t>
            </w:r>
          </w:p>
        </w:tc>
        <w:tc>
          <w:tcPr>
            <w:tcW w:type="dxa" w:w="877"/>
          </w:tcPr>
          <w:p>
            <w:pPr>
              <w:spacing w:after="20"/>
              <w:jc w:val="right"/>
            </w:pPr>
            <w:r/>
            <w:r>
              <w:rPr>
                <w:sz w:val="15"/>
              </w:rPr>
              <w:t>2,293</w:t>
            </w:r>
          </w:p>
        </w:tc>
        <w:tc>
          <w:tcPr>
            <w:tcW w:type="dxa" w:w="1012"/>
          </w:tcPr>
          <w:p>
            <w:pPr>
              <w:spacing w:after="20"/>
              <w:jc w:val="right"/>
            </w:pPr>
            <w:r/>
            <w:r>
              <w:rPr>
                <w:sz w:val="15"/>
              </w:rPr>
              <w:t>4,629.0</w:t>
            </w:r>
          </w:p>
        </w:tc>
        <w:tc>
          <w:tcPr>
            <w:tcW w:type="dxa" w:w="945"/>
          </w:tcPr>
          <w:p>
            <w:pPr>
              <w:spacing w:after="20"/>
              <w:jc w:val="right"/>
            </w:pPr>
            <w:r/>
            <w:r>
              <w:rPr>
                <w:sz w:val="15"/>
              </w:rPr>
              <w:t>3,359.4</w:t>
            </w:r>
          </w:p>
        </w:tc>
        <w:tc>
          <w:tcPr>
            <w:tcW w:type="dxa" w:w="945"/>
          </w:tcPr>
          <w:p>
            <w:pPr>
              <w:spacing w:after="20"/>
              <w:jc w:val="right"/>
            </w:pPr>
            <w:r/>
            <w:r>
              <w:rPr>
                <w:sz w:val="15"/>
              </w:rPr>
              <w:t>5,962.9</w:t>
            </w:r>
          </w:p>
        </w:tc>
        <w:tc>
          <w:tcPr>
            <w:tcW w:type="dxa" w:w="675"/>
          </w:tcPr>
          <w:p>
            <w:pPr>
              <w:spacing w:after="20"/>
              <w:jc w:val="right"/>
            </w:pPr>
            <w:r/>
            <w:r>
              <w:rPr>
                <w:sz w:val="15"/>
              </w:rPr>
              <w:t>8.17</w:t>
            </w:r>
          </w:p>
        </w:tc>
        <w:tc>
          <w:tcPr>
            <w:tcW w:type="dxa" w:w="675"/>
          </w:tcPr>
          <w:p>
            <w:pPr>
              <w:spacing w:after="20"/>
              <w:jc w:val="right"/>
            </w:pPr>
            <w:r/>
            <w:r>
              <w:rPr>
                <w:sz w:val="15"/>
              </w:rPr>
              <w:t>107.8</w:t>
            </w:r>
          </w:p>
        </w:tc>
        <w:tc>
          <w:tcPr>
            <w:tcW w:type="dxa" w:w="810"/>
          </w:tcPr>
          <w:p>
            <w:pPr>
              <w:spacing w:after="20"/>
              <w:jc w:val="right"/>
            </w:pPr>
            <w:r/>
            <w:r>
              <w:rPr>
                <w:sz w:val="15"/>
              </w:rPr>
              <w:t>5.1%</w:t>
            </w:r>
          </w:p>
        </w:tc>
        <w:tc>
          <w:tcPr>
            <w:tcW w:type="dxa" w:w="675"/>
          </w:tcPr>
          <w:p>
            <w:pPr>
              <w:spacing w:after="20"/>
              <w:jc w:val="right"/>
            </w:pPr>
            <w:r/>
            <w:r>
              <w:rPr>
                <w:sz w:val="15"/>
              </w:rPr>
              <w:t>0</w:t>
            </w:r>
          </w:p>
        </w:tc>
      </w:tr>
    </w:tbl>
    <w:p>
      <w:pPr>
        <w:spacing w:after="40"/>
      </w:pPr>
    </w:p>
    <w:p>
      <w:pPr>
        <w:pBdr>
          <w:bottom w:val="single" w:sz="6" w:color="D5DBE1"/>
        </w:pBdr>
      </w:pPr>
    </w:p>
    <w:p>
      <w:r>
        <w:rPr>
          <w:b/>
          <w:sz w:val="18"/>
        </w:rPr>
        <w:t xml:space="preserve">Dashboard: </w:t>
      </w:r>
      <w:hyperlink r:id="rId9">
        <w:r>
          <w:rPr>
            <w:color w:val="2F6D9E"/>
            <w:u w:val="single"/>
          </w:rPr>
          <w:t>https://jeet-1236.github.io/walmart-sales-intelligence/</w:t>
        </w:r>
      </w:hyperlink>
      <w:r>
        <w:rPr>
          <w:b/>
          <w:sz w:val="18"/>
        </w:rPr>
        <w:t xml:space="preserve">    Repository: </w:t>
      </w:r>
      <w:hyperlink r:id="rId10">
        <w:r>
          <w:rPr>
            <w:color w:val="2F6D9E"/>
            <w:u w:val="single"/>
          </w:rPr>
          <w:t>https://github.com/jeet-1236/walmart-sales-intelligence</w:t>
        </w:r>
      </w:hyperlink>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2F6D9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C243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C24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eet-1236.github.io/walmart-sales-intelligence/" TargetMode="External"/><Relationship Id="rId10" Type="http://schemas.openxmlformats.org/officeDocument/2006/relationships/hyperlink" Target="https://github.com/jeet-1236/walmart-sales-intelligence"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