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color w:val="000000"/>
          <w:sz w:val="22"/>
        </w:rPr>
        <w:t>PROJECT REPORT</w:t>
      </w:r>
    </w:p>
    <w:p>
      <w:pPr>
        <w:jc w:val="center"/>
      </w:pPr>
      <w:r>
        <w:rPr>
          <w:rFonts w:ascii="Times New Roman" w:hAnsi="Times New Roman"/>
          <w:color w:val="000000"/>
          <w:sz w:val="22"/>
        </w:rPr>
        <w:t>Mountain Gazelle Optimization-Based Joint Hyperparameter Tuning of Neural-XGBoost for Disaster Prediction</w:t>
      </w:r>
    </w:p>
    <w:p/>
    <w:p>
      <w:pPr>
        <w:jc w:val="center"/>
      </w:pPr>
      <w:r>
        <w:rPr>
          <w:rFonts w:ascii="Times New Roman" w:hAnsi="Times New Roman"/>
          <w:color w:val="000000"/>
          <w:sz w:val="22"/>
        </w:rPr>
        <w:t>Based on the Neural-XGBoost disaster prediction framework and the proposed MGO-based optimization extension</w:t>
      </w:r>
    </w:p>
    <w:p/>
    <w:p>
      <w:pPr>
        <w:jc w:val="center"/>
      </w:pPr>
      <w:r>
        <w:rPr>
          <w:rFonts w:ascii="Times New Roman" w:hAnsi="Times New Roman"/>
          <w:i/>
          <w:color w:val="000000"/>
          <w:sz w:val="22"/>
        </w:rPr>
        <w:t>Prepared as a project report</w:t>
      </w:r>
    </w:p>
    <w:p>
      <w:r>
        <w:rPr>
          <w:rFonts w:ascii="Times New Roman" w:hAnsi="Times New Roman"/>
          <w:color w:val="000000"/>
          <w:sz w:val="22"/>
        </w:rPr>
      </w:r>
    </w:p>
    <w:p>
      <w:pPr>
        <w:pStyle w:val="Heading1"/>
      </w:pPr>
      <w:r>
        <w:rPr>
          <w:rFonts w:ascii="Times New Roman" w:hAnsi="Times New Roman"/>
          <w:color w:val="000000"/>
          <w:sz w:val="22"/>
        </w:rPr>
        <w:t>1. Abstract</w:t>
      </w:r>
    </w:p>
    <w:p>
      <w:r>
        <w:rPr>
          <w:rFonts w:ascii="Times New Roman" w:hAnsi="Times New Roman"/>
          <w:color w:val="000000"/>
          <w:sz w:val="22"/>
        </w:rPr>
      </w:r>
      <w:r>
        <w:rPr>
          <w:color w:val="000000"/>
        </w:rPr>
        <w:t>Accurate disaster prediction is important for preparedness, resource allocation, and emergency response. The Neural-XGBoost (N-XGB) framework considered in this project combines a neural network (NN) for high-level feature extraction with XGBoost for multi-class classification of wildfire, flood, and earthquake events. The original study reports 5,091 disaster records and 45 input features and uses data preprocessing, median/mode imputation, feature scaling, SMOTE-based class balancing, neural feature extraction, and XGBoost classification. Its XGBoost hyperparameters are selected using an exhaustive grid search, while the neural-network training settings are not jointly tuned. This project proposes replacing that fixed search stage with Mountain Gazelle Optimization (MGO), a population-based metaheuristic search method, and extending the search to jointly tune selected NN and XGBoost hyperparameters. The first objective is to reproduce the baseline N-XGB pipeline. In the current implementation, the baseline has been successfully executed, but its measured performance differs from the reference paper, motivating careful verification of the experimental setup before MGO optimization. The balanced experiment achieves 90.82% accuracy and a macro ROC-AUC of 0.91964 for N-XGB, while standalone XGBoost achieves 95.82% accuracy and a macro ROC-AUC of 0.96965.</w:t>
      </w:r>
    </w:p>
    <w:p>
      <w:pPr>
        <w:pStyle w:val="Heading1"/>
      </w:pPr>
      <w:r>
        <w:rPr>
          <w:rFonts w:ascii="Times New Roman" w:hAnsi="Times New Roman"/>
          <w:color w:val="000000"/>
          <w:sz w:val="22"/>
        </w:rPr>
        <w:t>2. Introduction</w:t>
      </w:r>
    </w:p>
    <w:p>
      <w:r>
        <w:rPr>
          <w:rFonts w:ascii="Times New Roman" w:hAnsi="Times New Roman"/>
          <w:color w:val="000000"/>
          <w:sz w:val="22"/>
        </w:rPr>
        <w:t>Natural disasters such as wildfires, floods, and earthquakes can produce large social, economic, and infrastructure losses. Machine learning can support disaster management by learning patterns from historical disaster records and predicting the most likely disaster category for a new observation. The reference Neural-XGBoost study addresses this as a multi-class classification problem and combines deep feature extraction with gradient-boosted trees.</w:t>
      </w:r>
    </w:p>
    <w:p>
      <w:r>
        <w:rPr>
          <w:rFonts w:ascii="Times New Roman" w:hAnsi="Times New Roman"/>
          <w:color w:val="000000"/>
          <w:sz w:val="22"/>
        </w:rPr>
        <w:t>The N-XGB architecture first preprocesses the disaster records, then passes the processed data through a fully connected neural network to obtain a lower-dimensional feature representation H. XGBoost uses H as its input and performs the final classification. SMOTE is applied to the training data to reduce the effect of class imbalance. The paper reports an overall accuracy of 94.8% and an average F1-score of 0.95, with class-specific F1-scores of 0.96 for wildfire, 0.93 for flood, and 0.96 for earthquake. These values provide a strong baseline for the present project.</w:t>
      </w:r>
    </w:p>
    <w:p>
      <w:r>
        <w:rPr>
          <w:rFonts w:ascii="Times New Roman" w:hAnsi="Times New Roman"/>
          <w:color w:val="000000"/>
          <w:sz w:val="22"/>
        </w:rPr>
        <w:t>The central modification proposed in this project is the joint selection of hyperparameters for both stages of the hybrid model: the neural-network feature extractor and the XGBoost classifier.</w:t>
      </w:r>
    </w:p>
    <w:p>
      <w:pPr>
        <w:pStyle w:val="Heading1"/>
      </w:pPr>
      <w:r>
        <w:rPr>
          <w:rFonts w:ascii="Times New Roman" w:hAnsi="Times New Roman"/>
          <w:color w:val="000000"/>
          <w:sz w:val="22"/>
        </w:rPr>
        <w:t>3. Literature Survey</w:t>
      </w:r>
    </w:p>
    <w:p>
      <w:pPr>
        <w:pStyle w:val="Heading2"/>
      </w:pPr>
      <w:r>
        <w:rPr>
          <w:rFonts w:ascii="Times New Roman" w:hAnsi="Times New Roman"/>
          <w:color w:val="000000"/>
          <w:sz w:val="22"/>
        </w:rPr>
        <w:t>3.1 Traditional machine learning for disaster prediction</w:t>
      </w:r>
    </w:p>
    <w:p>
      <w:r>
        <w:rPr>
          <w:rFonts w:ascii="Times New Roman" w:hAnsi="Times New Roman"/>
          <w:color w:val="000000"/>
          <w:sz w:val="22"/>
        </w:rPr>
        <w:t>Traditional methods such as decision trees, Random Forest, Support Vector Machines (SVM), logistic regression, and k-nearest neighbors have been widely used for structured disaster data. The reference study notes that these approaches can struggle when relationships among meteorological, geological, spatial, temporal, and socio-economic variables become strongly nonlinear. The paper also identifies class imbalance as a major issue, because flood events can be much more numerous than wildfire and earthquake records.</w:t>
      </w:r>
    </w:p>
    <w:p>
      <w:pPr>
        <w:pStyle w:val="Heading2"/>
      </w:pPr>
      <w:r>
        <w:rPr>
          <w:rFonts w:ascii="Times New Roman" w:hAnsi="Times New Roman"/>
          <w:color w:val="000000"/>
          <w:sz w:val="22"/>
        </w:rPr>
        <w:t>3.2 Deep learning based approaches</w:t>
      </w:r>
    </w:p>
    <w:p>
      <w:r>
        <w:rPr>
          <w:rFonts w:ascii="Times New Roman" w:hAnsi="Times New Roman"/>
          <w:color w:val="000000"/>
          <w:sz w:val="22"/>
        </w:rPr>
        <w:t>Deep learning models such as convolutional neural networks, recurrent neural networks, and long short-term memory networks can automatically learn high-level representations. They are especially useful for imagery and sequential information. However, the reference paper highlights practical challenges including computational requirements, data scarcity, and limited interpretability. The N-XGB approach uses a relatively compact neural network for feature extraction and delegates final classification to XGBoost.</w:t>
      </w:r>
    </w:p>
    <w:p>
      <w:pPr>
        <w:pStyle w:val="Heading2"/>
      </w:pPr>
      <w:r>
        <w:rPr>
          <w:rFonts w:ascii="Times New Roman" w:hAnsi="Times New Roman"/>
          <w:color w:val="000000"/>
          <w:sz w:val="22"/>
        </w:rPr>
        <w:t>3.3 Hybrid deep learning and XGBoost approaches</w:t>
      </w:r>
    </w:p>
    <w:p>
      <w:r>
        <w:rPr>
          <w:rFonts w:ascii="Times New Roman" w:hAnsi="Times New Roman"/>
          <w:color w:val="000000"/>
          <w:sz w:val="22"/>
        </w:rPr>
        <w:t>Hybrid architectures combine the representation-learning ability of neural networks with the tabular-data strength of boosted trees. The reference paper reviews CNN-XGBoost and LSTM-XGBoost combinations and argues that a hybrid NN + XGBoost formulation is suitable for heterogeneous disaster records. The resulting N-XGB model uses neural embeddings as XGBoost inputs and reports stronger classification performance than the baseline machine-learning models considered in the paper.</w:t>
      </w:r>
    </w:p>
    <w:p>
      <w:pPr>
        <w:pStyle w:val="Heading2"/>
      </w:pPr>
      <w:r>
        <w:rPr>
          <w:rFonts w:ascii="Times New Roman" w:hAnsi="Times New Roman"/>
          <w:color w:val="000000"/>
          <w:sz w:val="22"/>
        </w:rPr>
        <w:t>3.4 Imbalance and missing-data handling</w:t>
      </w:r>
    </w:p>
    <w:p>
      <w:r>
        <w:rPr>
          <w:rFonts w:ascii="Times New Roman" w:hAnsi="Times New Roman"/>
          <w:color w:val="000000"/>
          <w:sz w:val="22"/>
        </w:rPr>
        <w:t>The disaster dataset contains substantial missing information, including large amounts of missing geographic and financial data. The paper uses median imputation for numerical variables and mode imputation for categorical variables, followed by label encoding and standardization. SMOTE is then applied only to the training set to generate synthetic minority-class samples and produce a more balanced training distribution.</w:t>
      </w:r>
    </w:p>
    <w:p>
      <w:pPr>
        <w:pStyle w:val="Heading2"/>
      </w:pPr>
      <w:r>
        <w:rPr>
          <w:rFonts w:ascii="Times New Roman" w:hAnsi="Times New Roman"/>
          <w:color w:val="000000"/>
          <w:sz w:val="22"/>
        </w:rPr>
        <w:t>3.5 Hyperparameter optimization and the project gap</w:t>
      </w:r>
    </w:p>
    <w:p>
      <w:r>
        <w:rPr>
          <w:rFonts w:ascii="Times New Roman" w:hAnsi="Times New Roman"/>
          <w:color w:val="000000"/>
          <w:sz w:val="22"/>
        </w:rPr>
        <w:t>The reference model tunes three XGBoost hyperparameters using an exhaustive grid search. The sensitivity analysis in the paper shows that learning rate, maximum tree depth, and number of estimators affect classification performance. The paper also states that automated tuning methods such as Bayesian optimization are a future research direction. This project instead investigates Mountain Gazelle Optimization (MGO) and extends the search to jointly tune selected NN and XGBoost hyperparameters.</w:t>
      </w:r>
    </w:p>
    <w:tbl>
      <w:tblPr>
        <w:tblStyle w:val="TableGrid"/>
        <w:tblW w:type="auto" w:w="0"/>
        <w:jc w:val="center"/>
        <w:tblLook w:firstColumn="1" w:firstRow="1" w:lastColumn="0" w:lastRow="0" w:noHBand="0" w:noVBand="1" w:val="04A0"/>
      </w:tblPr>
      <w:tblGrid>
        <w:gridCol w:w="3264"/>
        <w:gridCol w:w="3264"/>
        <w:gridCol w:w="3264"/>
      </w:tblGrid>
      <w:tr>
        <w:tc>
          <w:tcPr>
            <w:tcW w:type="dxa" w:w="2448"/>
            <w:vAlign w:val="center"/>
            <w:shd w:fill="FFFFFF"/>
          </w:tcPr>
          <w:p>
            <w:r>
              <w:rPr>
                <w:rFonts w:ascii="Times New Roman" w:hAnsi="Times New Roman"/>
                <w:color w:val="000000"/>
                <w:sz w:val="20"/>
              </w:rPr>
            </w:r>
            <w:r>
              <w:rPr>
                <w:rFonts w:ascii="Times New Roman" w:hAnsi="Times New Roman"/>
                <w:b/>
                <w:color w:val="000000"/>
                <w:sz w:val="20"/>
              </w:rPr>
              <w:t>Study/Approach</w:t>
            </w:r>
          </w:p>
        </w:tc>
        <w:tc>
          <w:tcPr>
            <w:tcW w:type="dxa" w:w="3456"/>
            <w:vAlign w:val="center"/>
            <w:shd w:fill="FFFFFF"/>
          </w:tcPr>
          <w:p>
            <w:r>
              <w:rPr>
                <w:rFonts w:ascii="Times New Roman" w:hAnsi="Times New Roman"/>
                <w:color w:val="000000"/>
                <w:sz w:val="20"/>
              </w:rPr>
            </w:r>
            <w:r>
              <w:rPr>
                <w:rFonts w:ascii="Times New Roman" w:hAnsi="Times New Roman"/>
                <w:b/>
                <w:color w:val="000000"/>
                <w:sz w:val="20"/>
              </w:rPr>
              <w:t>Main idea</w:t>
            </w:r>
          </w:p>
        </w:tc>
        <w:tc>
          <w:tcPr>
            <w:tcW w:type="dxa" w:w="4032"/>
            <w:vAlign w:val="center"/>
            <w:shd w:fill="FFFFFF"/>
          </w:tcPr>
          <w:p>
            <w:r>
              <w:rPr>
                <w:rFonts w:ascii="Times New Roman" w:hAnsi="Times New Roman"/>
                <w:color w:val="000000"/>
                <w:sz w:val="20"/>
              </w:rPr>
            </w:r>
            <w:r>
              <w:rPr>
                <w:rFonts w:ascii="Times New Roman" w:hAnsi="Times New Roman"/>
                <w:b/>
                <w:color w:val="000000"/>
                <w:sz w:val="20"/>
              </w:rPr>
              <w:t>Limitation / gap relevant to this project</w:t>
            </w:r>
          </w:p>
        </w:tc>
      </w:tr>
      <w:tr>
        <w:tc>
          <w:tcPr>
            <w:tcW w:type="dxa" w:w="2448"/>
            <w:vAlign w:val="center"/>
          </w:tcPr>
          <w:p>
            <w:r>
              <w:rPr>
                <w:rFonts w:ascii="Times New Roman" w:hAnsi="Times New Roman"/>
                <w:color w:val="000000"/>
                <w:sz w:val="20"/>
              </w:rPr>
            </w:r>
            <w:r>
              <w:rPr>
                <w:rFonts w:ascii="Times New Roman" w:hAnsi="Times New Roman"/>
                <w:b w:val="0"/>
                <w:color w:val="000000"/>
                <w:sz w:val="20"/>
              </w:rPr>
              <w:t>Random Forest / SVM / Logistic Regression</w:t>
            </w:r>
          </w:p>
        </w:tc>
        <w:tc>
          <w:tcPr>
            <w:tcW w:type="dxa" w:w="3456"/>
            <w:vAlign w:val="center"/>
          </w:tcPr>
          <w:p>
            <w:r>
              <w:rPr>
                <w:rFonts w:ascii="Times New Roman" w:hAnsi="Times New Roman"/>
                <w:color w:val="000000"/>
                <w:sz w:val="20"/>
              </w:rPr>
            </w:r>
            <w:r>
              <w:rPr>
                <w:rFonts w:ascii="Times New Roman" w:hAnsi="Times New Roman"/>
                <w:b w:val="0"/>
                <w:color w:val="000000"/>
                <w:sz w:val="20"/>
              </w:rPr>
              <w:t>Classical supervised classification</w:t>
            </w:r>
          </w:p>
        </w:tc>
        <w:tc>
          <w:tcPr>
            <w:tcW w:type="dxa" w:w="4032"/>
            <w:vAlign w:val="center"/>
          </w:tcPr>
          <w:p>
            <w:r>
              <w:rPr>
                <w:rFonts w:ascii="Times New Roman" w:hAnsi="Times New Roman"/>
                <w:color w:val="000000"/>
                <w:sz w:val="20"/>
              </w:rPr>
            </w:r>
            <w:r>
              <w:rPr>
                <w:rFonts w:ascii="Times New Roman" w:hAnsi="Times New Roman"/>
                <w:b w:val="0"/>
                <w:color w:val="000000"/>
                <w:sz w:val="20"/>
              </w:rPr>
              <w:t>Less effective for complex nonlinear interactions and imbalance in the target setting</w:t>
            </w:r>
          </w:p>
        </w:tc>
      </w:tr>
      <w:tr>
        <w:tc>
          <w:tcPr>
            <w:tcW w:type="dxa" w:w="2448"/>
            <w:vAlign w:val="center"/>
          </w:tcPr>
          <w:p>
            <w:r>
              <w:rPr>
                <w:rFonts w:ascii="Times New Roman" w:hAnsi="Times New Roman"/>
                <w:color w:val="000000"/>
                <w:sz w:val="20"/>
              </w:rPr>
            </w:r>
            <w:r>
              <w:rPr>
                <w:rFonts w:ascii="Times New Roman" w:hAnsi="Times New Roman"/>
                <w:b w:val="0"/>
                <w:color w:val="000000"/>
                <w:sz w:val="20"/>
              </w:rPr>
              <w:t>CNN / RNN / LSTM</w:t>
            </w:r>
          </w:p>
        </w:tc>
        <w:tc>
          <w:tcPr>
            <w:tcW w:type="dxa" w:w="3456"/>
            <w:vAlign w:val="center"/>
          </w:tcPr>
          <w:p>
            <w:r>
              <w:rPr>
                <w:rFonts w:ascii="Times New Roman" w:hAnsi="Times New Roman"/>
                <w:color w:val="000000"/>
                <w:sz w:val="20"/>
              </w:rPr>
            </w:r>
            <w:r>
              <w:rPr>
                <w:rFonts w:ascii="Times New Roman" w:hAnsi="Times New Roman"/>
                <w:b w:val="0"/>
                <w:color w:val="000000"/>
                <w:sz w:val="20"/>
              </w:rPr>
              <w:t>Automatic deep feature learning</w:t>
            </w:r>
          </w:p>
        </w:tc>
        <w:tc>
          <w:tcPr>
            <w:tcW w:type="dxa" w:w="4032"/>
            <w:vAlign w:val="center"/>
          </w:tcPr>
          <w:p>
            <w:r>
              <w:rPr>
                <w:rFonts w:ascii="Times New Roman" w:hAnsi="Times New Roman"/>
                <w:color w:val="000000"/>
                <w:sz w:val="20"/>
              </w:rPr>
            </w:r>
            <w:r>
              <w:rPr>
                <w:rFonts w:ascii="Times New Roman" w:hAnsi="Times New Roman"/>
                <w:b w:val="0"/>
                <w:color w:val="000000"/>
                <w:sz w:val="20"/>
              </w:rPr>
              <w:t>Higher computational cost and data requirements; reduced interpretability</w:t>
            </w:r>
          </w:p>
        </w:tc>
      </w:tr>
      <w:tr>
        <w:tc>
          <w:tcPr>
            <w:tcW w:type="dxa" w:w="2448"/>
            <w:vAlign w:val="center"/>
          </w:tcPr>
          <w:p>
            <w:r>
              <w:rPr>
                <w:rFonts w:ascii="Times New Roman" w:hAnsi="Times New Roman"/>
                <w:color w:val="000000"/>
                <w:sz w:val="20"/>
              </w:rPr>
            </w:r>
            <w:r>
              <w:rPr>
                <w:rFonts w:ascii="Times New Roman" w:hAnsi="Times New Roman"/>
                <w:b w:val="0"/>
                <w:color w:val="000000"/>
                <w:sz w:val="20"/>
              </w:rPr>
              <w:t>CNN-XGBoost / LSTM-XGBoost</w:t>
            </w:r>
          </w:p>
        </w:tc>
        <w:tc>
          <w:tcPr>
            <w:tcW w:type="dxa" w:w="3456"/>
            <w:vAlign w:val="center"/>
          </w:tcPr>
          <w:p>
            <w:r>
              <w:rPr>
                <w:rFonts w:ascii="Times New Roman" w:hAnsi="Times New Roman"/>
                <w:color w:val="000000"/>
                <w:sz w:val="20"/>
              </w:rPr>
            </w:r>
            <w:r>
              <w:rPr>
                <w:rFonts w:ascii="Times New Roman" w:hAnsi="Times New Roman"/>
                <w:b w:val="0"/>
                <w:color w:val="000000"/>
                <w:sz w:val="20"/>
              </w:rPr>
              <w:t>Hybrid feature learning + boosted trees</w:t>
            </w:r>
          </w:p>
        </w:tc>
        <w:tc>
          <w:tcPr>
            <w:tcW w:type="dxa" w:w="4032"/>
            <w:vAlign w:val="center"/>
          </w:tcPr>
          <w:p>
            <w:r>
              <w:rPr>
                <w:rFonts w:ascii="Times New Roman" w:hAnsi="Times New Roman"/>
                <w:color w:val="000000"/>
                <w:sz w:val="20"/>
              </w:rPr>
            </w:r>
            <w:r>
              <w:rPr>
                <w:rFonts w:ascii="Times New Roman" w:hAnsi="Times New Roman"/>
                <w:b w:val="0"/>
                <w:color w:val="000000"/>
                <w:sz w:val="20"/>
              </w:rPr>
              <w:t>Dependence on suitable input modality and larger labeled datasets in some settings</w:t>
            </w:r>
          </w:p>
        </w:tc>
      </w:tr>
      <w:tr>
        <w:tc>
          <w:tcPr>
            <w:tcW w:type="dxa" w:w="2448"/>
            <w:vAlign w:val="center"/>
          </w:tcPr>
          <w:p>
            <w:r>
              <w:rPr>
                <w:rFonts w:ascii="Times New Roman" w:hAnsi="Times New Roman"/>
                <w:color w:val="000000"/>
                <w:sz w:val="20"/>
              </w:rPr>
            </w:r>
            <w:r>
              <w:rPr>
                <w:rFonts w:ascii="Times New Roman" w:hAnsi="Times New Roman"/>
                <w:b w:val="0"/>
                <w:color w:val="000000"/>
                <w:sz w:val="20"/>
              </w:rPr>
              <w:t>Original N-XGB</w:t>
            </w:r>
          </w:p>
        </w:tc>
        <w:tc>
          <w:tcPr>
            <w:tcW w:type="dxa" w:w="3456"/>
            <w:vAlign w:val="center"/>
          </w:tcPr>
          <w:p>
            <w:r>
              <w:rPr>
                <w:rFonts w:ascii="Times New Roman" w:hAnsi="Times New Roman"/>
                <w:color w:val="000000"/>
                <w:sz w:val="20"/>
              </w:rPr>
            </w:r>
            <w:r>
              <w:rPr>
                <w:rFonts w:ascii="Times New Roman" w:hAnsi="Times New Roman"/>
                <w:b w:val="0"/>
                <w:color w:val="000000"/>
                <w:sz w:val="20"/>
              </w:rPr>
              <w:t>NN feature extraction + SMOTE + XGBoost</w:t>
            </w:r>
          </w:p>
        </w:tc>
        <w:tc>
          <w:tcPr>
            <w:tcW w:type="dxa" w:w="4032"/>
            <w:vAlign w:val="center"/>
          </w:tcPr>
          <w:p>
            <w:r>
              <w:rPr>
                <w:rFonts w:ascii="Times New Roman" w:hAnsi="Times New Roman"/>
                <w:color w:val="000000"/>
                <w:sz w:val="20"/>
              </w:rPr>
            </w:r>
            <w:r>
              <w:rPr>
                <w:rFonts w:ascii="Times New Roman" w:hAnsi="Times New Roman"/>
                <w:b w:val="0"/>
                <w:color w:val="000000"/>
                <w:sz w:val="20"/>
              </w:rPr>
              <w:t>Uses fixed grid search for a small hyperparameter space</w:t>
            </w:r>
          </w:p>
        </w:tc>
      </w:tr>
      <w:tr>
        <w:tc>
          <w:tcPr>
            <w:tcW w:type="dxa" w:w="2448"/>
            <w:vAlign w:val="center"/>
          </w:tcPr>
          <w:p>
            <w:r>
              <w:rPr>
                <w:rFonts w:ascii="Times New Roman" w:hAnsi="Times New Roman"/>
                <w:color w:val="000000"/>
                <w:sz w:val="20"/>
              </w:rPr>
            </w:r>
            <w:r>
              <w:rPr>
                <w:rFonts w:ascii="Times New Roman" w:hAnsi="Times New Roman"/>
                <w:b w:val="0"/>
                <w:color w:val="000000"/>
                <w:sz w:val="20"/>
              </w:rPr>
              <w:t>Proposed MGO-N-XGB</w:t>
            </w:r>
          </w:p>
        </w:tc>
        <w:tc>
          <w:tcPr>
            <w:tcW w:type="dxa" w:w="3456"/>
            <w:vAlign w:val="center"/>
          </w:tcPr>
          <w:p>
            <w:r>
              <w:rPr>
                <w:rFonts w:ascii="Times New Roman" w:hAnsi="Times New Roman"/>
                <w:color w:val="000000"/>
                <w:sz w:val="20"/>
              </w:rPr>
            </w:r>
            <w:r>
              <w:rPr>
                <w:rFonts w:ascii="Times New Roman" w:hAnsi="Times New Roman"/>
                <w:b w:val="0"/>
                <w:color w:val="000000"/>
                <w:sz w:val="20"/>
              </w:rPr>
              <w:t>Adaptive metaheuristic hyperparameter search</w:t>
            </w:r>
          </w:p>
        </w:tc>
        <w:tc>
          <w:tcPr>
            <w:tcW w:type="dxa" w:w="4032"/>
            <w:vAlign w:val="center"/>
          </w:tcPr>
          <w:p>
            <w:r>
              <w:rPr>
                <w:rFonts w:ascii="Times New Roman" w:hAnsi="Times New Roman"/>
                <w:color w:val="000000"/>
                <w:sz w:val="20"/>
              </w:rPr>
            </w:r>
            <w:r>
              <w:rPr>
                <w:rFonts w:ascii="Times New Roman" w:hAnsi="Times New Roman"/>
                <w:b w:val="0"/>
                <w:color w:val="000000"/>
                <w:sz w:val="20"/>
              </w:rPr>
              <w:t>Project extension; performance must be validated experimentally</w:t>
            </w:r>
          </w:p>
        </w:tc>
      </w:tr>
    </w:tbl>
    <w:p/>
    <w:p>
      <w:pPr>
        <w:pStyle w:val="Heading1"/>
      </w:pPr>
      <w:r>
        <w:rPr>
          <w:rFonts w:ascii="Times New Roman" w:hAnsi="Times New Roman"/>
          <w:color w:val="000000"/>
          <w:sz w:val="22"/>
        </w:rPr>
        <w:t>4. Motivation</w:t>
      </w:r>
    </w:p>
    <w:p>
      <w:r>
        <w:rPr>
          <w:rFonts w:ascii="Times New Roman" w:hAnsi="Times New Roman"/>
          <w:color w:val="000000"/>
          <w:sz w:val="22"/>
        </w:rPr>
        <w:t>The motivation for this project comes from the fact that the N-XGB architecture and its hyperparameter-search strategy are separate design choices. The reference model already reports strong performance, but its XGBoost tuning examines only a small predefined grid, while the NN settings are fixed rather than jointly optimized. A configuration that performs better but falls outside the tested grid values will not be evaluated by grid search. In addition, expanding the number of hyperparameters or candidate values can rapidly increase the number of exhaustive combinations.</w:t>
      </w:r>
    </w:p>
    <w:p>
      <w:r>
        <w:rPr>
          <w:rFonts w:ascii="Times New Roman" w:hAnsi="Times New Roman"/>
          <w:color w:val="000000"/>
          <w:sz w:val="22"/>
        </w:rPr>
        <w:t>MGO provides an outer optimization layer that searches for a strong joint configuration of NN and XGBoost hyperparameters. A candidate solution is not a new classifier; it is one complete set of training settings. For each candidate, the underlying NN and XGBoost training procedures remain unchanged. MGO only determines which hyperparameter configuration is used for the next model evaluation.</w:t>
      </w:r>
    </w:p>
    <w:p>
      <w:pPr>
        <w:pStyle w:val="Heading1"/>
      </w:pPr>
      <w:r>
        <w:rPr>
          <w:rFonts w:ascii="Times New Roman" w:hAnsi="Times New Roman"/>
          <w:color w:val="000000"/>
          <w:sz w:val="22"/>
        </w:rPr>
        <w:t>5. Problem Statement</w:t>
      </w:r>
    </w:p>
    <w:p>
      <w:r>
        <w:rPr>
          <w:rFonts w:ascii="Times New Roman" w:hAnsi="Times New Roman"/>
          <w:color w:val="000000"/>
          <w:sz w:val="22"/>
        </w:rPr>
        <w:t>The N-XGB model's fixed, exhaustive grid-search strategy is limited to a small set of predefined XGBoost hyperparameter values and does not jointly tune the neural-network settings. An efficient optimization approach is therefore needed to search the joint NN-XGBoost hyperparameter space and identify configurations that can improve validation performance without an unnecessarily large exhaustive search.</w:t>
      </w:r>
    </w:p>
    <w:p>
      <w:pPr>
        <w:pStyle w:val="Heading1"/>
      </w:pPr>
      <w:r>
        <w:rPr>
          <w:rFonts w:ascii="Times New Roman" w:hAnsi="Times New Roman"/>
          <w:color w:val="000000"/>
          <w:sz w:val="22"/>
        </w:rPr>
        <w:t>6. Objectives</w:t>
      </w:r>
    </w:p>
    <w:p>
      <w:r>
        <w:rPr>
          <w:rFonts w:ascii="Times New Roman" w:hAnsi="Times New Roman"/>
          <w:color w:val="000000"/>
          <w:sz w:val="22"/>
        </w:rPr>
        <w:t>1. Reproduce the baseline Neural-XGBoost (N-XGB) disaster classification model described in the reference paper.</w:t>
      </w:r>
    </w:p>
    <w:p>
      <w:r>
        <w:rPr>
          <w:rFonts w:ascii="Times New Roman" w:hAnsi="Times New Roman"/>
          <w:color w:val="000000"/>
          <w:sz w:val="22"/>
        </w:rPr>
        <w:t>2. Implement Mountain Gazelle Optimization (MGO) as an outer-loop optimizer that jointly tunes selected neural-network and XGBoost hyperparameters.</w:t>
      </w:r>
    </w:p>
    <w:p>
      <w:r>
        <w:rPr>
          <w:rFonts w:ascii="Times New Roman" w:hAnsi="Times New Roman"/>
          <w:color w:val="000000"/>
          <w:sz w:val="22"/>
        </w:rPr>
        <w:t>3. Define a fitness function based on validation performance, with macro-F1 as the primary optimization metric so that wildfire, flood, and earthquake classes are considered jointly.</w:t>
      </w:r>
    </w:p>
    <w:p>
      <w:r>
        <w:rPr>
          <w:rFonts w:ascii="Times New Roman" w:hAnsi="Times New Roman"/>
          <w:color w:val="000000"/>
          <w:sz w:val="22"/>
        </w:rPr>
        <w:t>4. Compare the MGO-optimized N-XGB model against the baseline grid-search N-XGB model using accuracy, class-wise F1, macro-F1, ROC-AUC, confusion matrices, and computational cost.</w:t>
      </w:r>
    </w:p>
    <w:p>
      <w:r>
        <w:rPr>
          <w:rFonts w:ascii="Times New Roman" w:hAnsi="Times New Roman"/>
          <w:color w:val="000000"/>
          <w:sz w:val="22"/>
        </w:rPr>
        <w:t>5. Analyze whether joint MGO tuning identifies a stronger N-XGB configuration without an excessive increase in model-evaluation cost.</w:t>
      </w:r>
    </w:p>
    <w:p>
      <w:pPr>
        <w:pStyle w:val="Heading1"/>
        <w:pageBreakBefore/>
      </w:pPr>
      <w:r>
        <w:rPr>
          <w:rFonts w:ascii="Times New Roman" w:hAnsi="Times New Roman"/>
          <w:color w:val="000000"/>
          <w:sz w:val="22"/>
        </w:rPr>
        <w:t>7. Methodology</w:t>
      </w:r>
    </w:p>
    <w:p>
      <w:pPr>
        <w:pStyle w:val="Heading2"/>
        <w:pageBreakBefore w:val="0"/>
      </w:pPr>
      <w:r>
        <w:rPr>
          <w:rFonts w:ascii="Times New Roman" w:hAnsi="Times New Roman"/>
          <w:color w:val="000000"/>
          <w:sz w:val="22"/>
        </w:rPr>
        <w:t>7.1 Dataset and preprocessing</w:t>
      </w:r>
    </w:p>
    <w:p>
      <w:r>
        <w:rPr>
          <w:rFonts w:ascii="Times New Roman" w:hAnsi="Times New Roman"/>
          <w:color w:val="000000"/>
          <w:sz w:val="22"/>
        </w:rPr>
      </w:r>
      <w:r>
        <w:rPr>
          <w:color w:val="000000"/>
        </w:rPr>
        <w:t>The reference study uses the CRED EM-DAT disaster database with 5,091 records and 45 raw input features, focusing on three disaster categories: wildfire, flood, and earthquake. In the present implementation, additional identifier and taxonomy fields that can trivially reveal the target are excluded before model training. The preprocessing pipeline includes median imputation for missing numerical values, mode imputation for missing categorical values, label encoding for categorical variables, and StandardScaler-based normalization. The data are then partitioned for learning and evaluation, and SMOTE is applied only to the training data so that minority disaster classes are represented more adequately.</w:t>
      </w:r>
    </w:p>
    <w:tbl>
      <w:tblPr>
        <w:tblStyle w:val="TableGrid"/>
        <w:tblW w:type="auto" w:w="0"/>
        <w:jc w:val="center"/>
        <w:tblLook w:firstColumn="1" w:firstRow="1" w:lastColumn="0" w:lastRow="0" w:noHBand="0" w:noVBand="1" w:val="04A0"/>
      </w:tblPr>
      <w:tblGrid>
        <w:gridCol w:w="3264"/>
        <w:gridCol w:w="3264"/>
        <w:gridCol w:w="3264"/>
      </w:tblGrid>
      <w:tr>
        <w:tc>
          <w:tcPr>
            <w:tcW w:type="dxa" w:w="1152"/>
            <w:vAlign w:val="center"/>
            <w:shd w:fill="FFFFFF"/>
          </w:tcPr>
          <w:p>
            <w:r>
              <w:rPr>
                <w:rFonts w:ascii="Times New Roman" w:hAnsi="Times New Roman"/>
                <w:color w:val="000000"/>
                <w:sz w:val="20"/>
              </w:rPr>
            </w:r>
            <w:r>
              <w:rPr>
                <w:rFonts w:ascii="Times New Roman" w:hAnsi="Times New Roman"/>
                <w:b/>
                <w:color w:val="000000"/>
                <w:sz w:val="20"/>
              </w:rPr>
              <w:t>Stage</w:t>
            </w:r>
          </w:p>
        </w:tc>
        <w:tc>
          <w:tcPr>
            <w:tcW w:type="dxa" w:w="3312"/>
            <w:vAlign w:val="center"/>
            <w:shd w:fill="FFFFFF"/>
          </w:tcPr>
          <w:p>
            <w:r>
              <w:rPr>
                <w:rFonts w:ascii="Times New Roman" w:hAnsi="Times New Roman"/>
                <w:color w:val="000000"/>
                <w:sz w:val="20"/>
              </w:rPr>
            </w:r>
            <w:r>
              <w:rPr>
                <w:rFonts w:ascii="Times New Roman" w:hAnsi="Times New Roman"/>
                <w:b/>
                <w:color w:val="000000"/>
                <w:sz w:val="20"/>
              </w:rPr>
              <w:t>Operation</w:t>
            </w:r>
          </w:p>
        </w:tc>
        <w:tc>
          <w:tcPr>
            <w:tcW w:type="dxa" w:w="5472"/>
            <w:vAlign w:val="center"/>
            <w:shd w:fill="FFFFFF"/>
          </w:tcPr>
          <w:p>
            <w:r>
              <w:rPr>
                <w:rFonts w:ascii="Times New Roman" w:hAnsi="Times New Roman"/>
                <w:color w:val="000000"/>
                <w:sz w:val="20"/>
              </w:rPr>
            </w:r>
            <w:r>
              <w:rPr>
                <w:rFonts w:ascii="Times New Roman" w:hAnsi="Times New Roman"/>
                <w:b/>
                <w:color w:val="000000"/>
                <w:sz w:val="20"/>
              </w:rPr>
              <w:t>Purpose</w:t>
            </w:r>
          </w:p>
        </w:tc>
      </w:tr>
      <w:tr>
        <w:tc>
          <w:tcPr>
            <w:tcW w:type="dxa" w:w="3264"/>
          </w:tcPr>
          <w:p>
            <w:r>
              <w:rPr>
                <w:rFonts w:ascii="Times New Roman" w:hAnsi="Times New Roman"/>
                <w:color w:val="000000"/>
                <w:sz w:val="20"/>
              </w:rPr>
              <w:t>1</w:t>
            </w:r>
          </w:p>
        </w:tc>
        <w:tc>
          <w:tcPr>
            <w:tcW w:type="dxa" w:w="3264"/>
          </w:tcPr>
          <w:p>
            <w:r>
              <w:rPr>
                <w:rFonts w:ascii="Times New Roman" w:hAnsi="Times New Roman"/>
                <w:color w:val="000000"/>
                <w:sz w:val="20"/>
              </w:rPr>
              <w:t>Filter target classes</w:t>
            </w:r>
          </w:p>
        </w:tc>
        <w:tc>
          <w:tcPr>
            <w:tcW w:type="dxa" w:w="3264"/>
          </w:tcPr>
          <w:p>
            <w:r>
              <w:rPr>
                <w:rFonts w:ascii="Times New Roman" w:hAnsi="Times New Roman"/>
                <w:color w:val="000000"/>
                <w:sz w:val="20"/>
              </w:rPr>
              <w:t>Keep wildfire, flood, and earthquake records</w:t>
            </w:r>
          </w:p>
        </w:tc>
      </w:tr>
      <w:tr>
        <w:tc>
          <w:tcPr>
            <w:tcW w:type="dxa" w:w="3264"/>
          </w:tcPr>
          <w:p>
            <w:r>
              <w:rPr>
                <w:rFonts w:ascii="Times New Roman" w:hAnsi="Times New Roman"/>
                <w:color w:val="000000"/>
                <w:sz w:val="20"/>
              </w:rPr>
              <w:t>2</w:t>
            </w:r>
          </w:p>
        </w:tc>
        <w:tc>
          <w:tcPr>
            <w:tcW w:type="dxa" w:w="3264"/>
          </w:tcPr>
          <w:p>
            <w:r>
              <w:rPr>
                <w:rFonts w:ascii="Times New Roman" w:hAnsi="Times New Roman"/>
                <w:color w:val="000000"/>
                <w:sz w:val="20"/>
              </w:rPr>
              <w:t>Median/mode imputation</w:t>
            </w:r>
          </w:p>
        </w:tc>
        <w:tc>
          <w:tcPr>
            <w:tcW w:type="dxa" w:w="3264"/>
          </w:tcPr>
          <w:p>
            <w:r>
              <w:rPr>
                <w:rFonts w:ascii="Times New Roman" w:hAnsi="Times New Roman"/>
                <w:color w:val="000000"/>
                <w:sz w:val="20"/>
              </w:rPr>
              <w:t>Handle missing numerical and categorical entries</w:t>
            </w:r>
          </w:p>
        </w:tc>
      </w:tr>
      <w:tr>
        <w:tc>
          <w:tcPr>
            <w:tcW w:type="dxa" w:w="3264"/>
          </w:tcPr>
          <w:p>
            <w:r>
              <w:rPr>
                <w:rFonts w:ascii="Times New Roman" w:hAnsi="Times New Roman"/>
                <w:color w:val="000000"/>
                <w:sz w:val="20"/>
              </w:rPr>
              <w:t>3</w:t>
            </w:r>
          </w:p>
        </w:tc>
        <w:tc>
          <w:tcPr>
            <w:tcW w:type="dxa" w:w="3264"/>
          </w:tcPr>
          <w:p>
            <w:r>
              <w:rPr>
                <w:rFonts w:ascii="Times New Roman" w:hAnsi="Times New Roman"/>
                <w:color w:val="000000"/>
                <w:sz w:val="20"/>
              </w:rPr>
              <w:t>Label encoding</w:t>
            </w:r>
          </w:p>
        </w:tc>
        <w:tc>
          <w:tcPr>
            <w:tcW w:type="dxa" w:w="3264"/>
          </w:tcPr>
          <w:p>
            <w:r>
              <w:rPr>
                <w:rFonts w:ascii="Times New Roman" w:hAnsi="Times New Roman"/>
                <w:color w:val="000000"/>
                <w:sz w:val="20"/>
              </w:rPr>
              <w:t>Convert categorical inputs into numerical form</w:t>
            </w:r>
          </w:p>
        </w:tc>
      </w:tr>
      <w:tr>
        <w:tc>
          <w:tcPr>
            <w:tcW w:type="dxa" w:w="3264"/>
          </w:tcPr>
          <w:p>
            <w:r>
              <w:rPr>
                <w:rFonts w:ascii="Times New Roman" w:hAnsi="Times New Roman"/>
                <w:color w:val="000000"/>
                <w:sz w:val="20"/>
              </w:rPr>
              <w:t>4</w:t>
            </w:r>
          </w:p>
        </w:tc>
        <w:tc>
          <w:tcPr>
            <w:tcW w:type="dxa" w:w="3264"/>
          </w:tcPr>
          <w:p>
            <w:r>
              <w:rPr>
                <w:rFonts w:ascii="Times New Roman" w:hAnsi="Times New Roman"/>
                <w:color w:val="000000"/>
                <w:sz w:val="20"/>
              </w:rPr>
              <w:t>StandardScaler</w:t>
            </w:r>
          </w:p>
        </w:tc>
        <w:tc>
          <w:tcPr>
            <w:tcW w:type="dxa" w:w="3264"/>
          </w:tcPr>
          <w:p>
            <w:r>
              <w:rPr>
                <w:rFonts w:ascii="Times New Roman" w:hAnsi="Times New Roman"/>
                <w:color w:val="000000"/>
                <w:sz w:val="20"/>
              </w:rPr>
              <w:t>Put numerical variables on a comparable scale</w:t>
            </w:r>
          </w:p>
        </w:tc>
      </w:tr>
      <w:tr>
        <w:tc>
          <w:tcPr>
            <w:tcW w:type="dxa" w:w="3264"/>
          </w:tcPr>
          <w:p>
            <w:r>
              <w:rPr>
                <w:rFonts w:ascii="Times New Roman" w:hAnsi="Times New Roman"/>
                <w:color w:val="000000"/>
                <w:sz w:val="20"/>
              </w:rPr>
              <w:t>5</w:t>
            </w:r>
          </w:p>
        </w:tc>
        <w:tc>
          <w:tcPr>
            <w:tcW w:type="dxa" w:w="3264"/>
          </w:tcPr>
          <w:p>
            <w:r>
              <w:rPr>
                <w:rFonts w:ascii="Times New Roman" w:hAnsi="Times New Roman"/>
                <w:color w:val="000000"/>
                <w:sz w:val="20"/>
              </w:rPr>
              <w:t>Train/test partition and SMOTE on training data</w:t>
            </w:r>
          </w:p>
        </w:tc>
        <w:tc>
          <w:tcPr>
            <w:tcW w:type="dxa" w:w="3264"/>
          </w:tcPr>
          <w:p>
            <w:r>
              <w:rPr>
                <w:rFonts w:ascii="Times New Roman" w:hAnsi="Times New Roman"/>
                <w:color w:val="000000"/>
                <w:sz w:val="20"/>
              </w:rPr>
              <w:t>Balance the training set without changing the held-out evaluation data</w:t>
            </w:r>
          </w:p>
        </w:tc>
      </w:tr>
    </w:tbl>
    <w:p/>
    <w:p>
      <w:pPr>
        <w:pStyle w:val="Heading2"/>
      </w:pPr>
      <w:r>
        <w:rPr>
          <w:rFonts w:ascii="Times New Roman" w:hAnsi="Times New Roman"/>
          <w:color w:val="000000"/>
          <w:sz w:val="22"/>
        </w:rPr>
        <w:t>7.2 Neural feature extraction</w:t>
      </w:r>
    </w:p>
    <w:p>
      <w:r>
        <w:rPr>
          <w:rFonts w:ascii="Times New Roman" w:hAnsi="Times New Roman"/>
          <w:color w:val="000000"/>
          <w:sz w:val="22"/>
        </w:rPr>
        <w:t>The preprocessed input D' is passed through a fully connected neural network with ReLU activation and dropout regularization. The network maps the original input into a lower-dimensional embedding H:</w:t>
      </w:r>
    </w:p>
    <w:p>
      <w:pPr>
        <w:jc w:val="center"/>
      </w:pPr>
      <w:r>
        <w:rPr>
          <w:rFonts w:ascii="Times New Roman" w:hAnsi="Times New Roman"/>
          <w:b/>
          <w:color w:val="000000"/>
          <w:sz w:val="24"/>
        </w:rPr>
        <w:t>H = f_NN(D')</w:t>
      </w:r>
    </w:p>
    <w:p>
      <w:r>
        <w:rPr>
          <w:rFonts w:ascii="Times New Roman" w:hAnsi="Times New Roman"/>
          <w:color w:val="000000"/>
          <w:sz w:val="22"/>
        </w:rPr>
        <w:t>The extracted representation H is then used as the feature matrix for XGBoost. In the proposed project, the NN training procedure is still the same model described in the reference paper, but its selected hyperparameters become part of the outer MGO search. Thus, the NN architecture is not replaced; only its training settings are selected adaptively.</w:t>
      </w:r>
    </w:p>
    <w:p>
      <w:pPr>
        <w:pStyle w:val="Heading2"/>
      </w:pPr>
      <w:r>
        <w:rPr>
          <w:rFonts w:ascii="Times New Roman" w:hAnsi="Times New Roman"/>
          <w:color w:val="000000"/>
          <w:sz w:val="22"/>
        </w:rPr>
        <w:t>7.3 XGBoost classification</w:t>
      </w:r>
    </w:p>
    <w:p>
      <w:r>
        <w:rPr>
          <w:rFonts w:ascii="Times New Roman" w:hAnsi="Times New Roman"/>
          <w:color w:val="000000"/>
          <w:sz w:val="22"/>
        </w:rPr>
        <w:t>XGBoost performs the final multi-class classification using the extracted feature vectors. The reference paper expresses its training objective as minimizing the sample loss plus a regularization term:</w:t>
      </w:r>
    </w:p>
    <w:p>
      <w:pPr>
        <w:jc w:val="center"/>
      </w:pPr>
      <w:r>
        <w:rPr>
          <w:rFonts w:ascii="Times New Roman" w:hAnsi="Times New Roman"/>
          <w:b/>
          <w:color w:val="000000"/>
          <w:sz w:val="24"/>
        </w:rPr>
        <w:t>min_w Σ_i ℓ(y_i, f(h_i; w)) + Ω(f)</w:t>
      </w:r>
    </w:p>
    <w:p>
      <w:r>
        <w:rPr>
          <w:rFonts w:ascii="Times New Roman" w:hAnsi="Times New Roman"/>
          <w:color w:val="000000"/>
          <w:sz w:val="22"/>
        </w:rPr>
        <w:t>Here, w represents the learned tree parameters, l is the classification loss, h_i is the extracted feature vector, and Omega(f) controls model complexity. This internal optimization is performed by XGBoost itself. It is not replaced by MGO; MGO operates at a higher level by selecting the hyperparameters that define how the NN and XGBoost are trained.</w:t>
      </w:r>
    </w:p>
    <w:p>
      <w:pPr>
        <w:pStyle w:val="Heading2"/>
      </w:pPr>
      <w:r>
        <w:rPr>
          <w:rFonts w:ascii="Times New Roman" w:hAnsi="Times New Roman"/>
          <w:color w:val="000000"/>
          <w:sz w:val="22"/>
        </w:rPr>
        <w:t>7.4 Baseline grid-search tuning</w:t>
      </w:r>
    </w:p>
    <w:p>
      <w:r>
        <w:rPr>
          <w:rFonts w:ascii="Times New Roman" w:hAnsi="Times New Roman"/>
          <w:color w:val="000000"/>
          <w:sz w:val="22"/>
        </w:rPr>
      </w:r>
      <w:r>
        <w:rPr>
          <w:color w:val="000000"/>
        </w:rPr>
        <w:t>The reference paper searches learning rate (α), maximum tree depth (d), and number of estimators (n) using the values shown below. The current project implementation also uses a 27-combination grid, but its learning-rate values are 0.01, 0.10, and 0.20. This difference is one reason the current implementation should be treated as an implementation-specific baseline rather than an exact reproduction of the published experiment.</w:t>
      </w:r>
    </w:p>
    <w:tbl>
      <w:tblPr>
        <w:tblStyle w:val="TableGrid"/>
        <w:tblW w:type="auto" w:w="0"/>
        <w:jc w:val="center"/>
        <w:tblLook w:firstColumn="1" w:firstRow="1" w:lastColumn="0" w:lastRow="0" w:noHBand="0" w:noVBand="1" w:val="04A0"/>
      </w:tblPr>
      <w:tblGrid>
        <w:gridCol w:w="4896"/>
        <w:gridCol w:w="4896"/>
      </w:tblGrid>
      <w:tr>
        <w:tc>
          <w:tcPr>
            <w:tcW w:type="dxa" w:w="4032"/>
            <w:vAlign w:val="center"/>
            <w:shd w:fill="FFFFFF"/>
          </w:tcPr>
          <w:p>
            <w:r>
              <w:rPr>
                <w:rFonts w:ascii="Times New Roman" w:hAnsi="Times New Roman"/>
                <w:color w:val="000000"/>
                <w:sz w:val="20"/>
              </w:rPr>
            </w:r>
            <w:r>
              <w:rPr>
                <w:rFonts w:ascii="Times New Roman" w:hAnsi="Times New Roman"/>
                <w:b/>
                <w:color w:val="000000"/>
                <w:sz w:val="20"/>
              </w:rPr>
              <w:t>Hyperparameter</w:t>
            </w:r>
          </w:p>
        </w:tc>
        <w:tc>
          <w:tcPr>
            <w:tcW w:type="dxa" w:w="5904"/>
            <w:vAlign w:val="center"/>
            <w:shd w:fill="FFFFFF"/>
          </w:tcPr>
          <w:p>
            <w:r>
              <w:rPr>
                <w:color w:val="000000"/>
              </w:rPr>
              <w:t>Reference paper values</w:t>
            </w:r>
          </w:p>
        </w:tc>
      </w:tr>
      <w:tr>
        <w:tc>
          <w:tcPr>
            <w:tcW w:type="dxa" w:w="4032"/>
            <w:vAlign w:val="center"/>
          </w:tcPr>
          <w:p>
            <w:r>
              <w:rPr>
                <w:color w:val="000000"/>
                <w:sz w:val="20"/>
              </w:rPr>
              <w:t>Learning rate (α)</w:t>
            </w:r>
          </w:p>
        </w:tc>
        <w:tc>
          <w:tcPr>
            <w:tcW w:type="dxa" w:w="5904"/>
            <w:vAlign w:val="center"/>
          </w:tcPr>
          <w:p>
            <w:r>
              <w:rPr>
                <w:color w:val="000000"/>
                <w:sz w:val="20"/>
              </w:rPr>
              <w:t>0.01, 0.05, 0.10</w:t>
            </w:r>
          </w:p>
        </w:tc>
      </w:tr>
      <w:tr>
        <w:tc>
          <w:tcPr>
            <w:tcW w:type="dxa" w:w="4032"/>
            <w:vAlign w:val="center"/>
          </w:tcPr>
          <w:p>
            <w:r>
              <w:rPr>
                <w:color w:val="000000"/>
                <w:sz w:val="20"/>
              </w:rPr>
              <w:t>Maximum depth (d)</w:t>
            </w:r>
          </w:p>
        </w:tc>
        <w:tc>
          <w:tcPr>
            <w:tcW w:type="dxa" w:w="5904"/>
            <w:vAlign w:val="center"/>
          </w:tcPr>
          <w:p>
            <w:r>
              <w:rPr>
                <w:color w:val="000000"/>
                <w:sz w:val="20"/>
              </w:rPr>
              <w:t>5, 7, 9</w:t>
            </w:r>
          </w:p>
        </w:tc>
      </w:tr>
      <w:tr>
        <w:tc>
          <w:tcPr>
            <w:tcW w:type="dxa" w:w="4032"/>
            <w:vAlign w:val="center"/>
          </w:tcPr>
          <w:p>
            <w:r>
              <w:rPr>
                <w:color w:val="000000"/>
                <w:sz w:val="20"/>
              </w:rPr>
              <w:t>Number of estimators (n)</w:t>
            </w:r>
          </w:p>
        </w:tc>
        <w:tc>
          <w:tcPr>
            <w:tcW w:type="dxa" w:w="5904"/>
            <w:vAlign w:val="center"/>
          </w:tcPr>
          <w:p>
            <w:r>
              <w:rPr>
                <w:color w:val="000000"/>
                <w:sz w:val="20"/>
              </w:rPr>
              <w:t>100, 200, 300</w:t>
            </w:r>
          </w:p>
        </w:tc>
      </w:tr>
      <w:tr>
        <w:tc>
          <w:tcPr>
            <w:tcW w:type="dxa" w:w="4896"/>
          </w:tcPr>
          <w:p>
            <w:r>
              <w:rPr>
                <w:color w:val="000000"/>
              </w:rPr>
              <w:t>Current implementation learning rate</w:t>
            </w:r>
          </w:p>
        </w:tc>
        <w:tc>
          <w:tcPr>
            <w:tcW w:type="dxa" w:w="4896"/>
          </w:tcPr>
          <w:p>
            <w:r>
              <w:rPr>
                <w:color w:val="000000"/>
              </w:rPr>
              <w:t>0.01, 0.10, 0.20</w:t>
            </w:r>
          </w:p>
        </w:tc>
      </w:tr>
    </w:tbl>
    <w:p/>
    <w:p>
      <w:r>
        <w:rPr>
          <w:rFonts w:ascii="Times New Roman" w:hAnsi="Times New Roman"/>
          <w:color w:val="000000"/>
          <w:sz w:val="22"/>
        </w:rPr>
        <w:t>This produces 27 combinations. Each combination is trained and evaluated, and the best-performing configuration is retained.</w:t>
      </w:r>
    </w:p>
    <w:p>
      <w:pPr>
        <w:pStyle w:val="Heading2"/>
      </w:pPr>
      <w:r>
        <w:rPr>
          <w:rFonts w:ascii="Times New Roman" w:hAnsi="Times New Roman"/>
          <w:color w:val="000000"/>
          <w:sz w:val="22"/>
        </w:rPr>
        <w:t>7.5 Proposed MGO-based optimization</w:t>
      </w:r>
    </w:p>
    <w:p>
      <w:r>
        <w:rPr>
          <w:rFonts w:ascii="Times New Roman" w:hAnsi="Times New Roman"/>
          <w:color w:val="000000"/>
          <w:sz w:val="22"/>
        </w:rPr>
        <w:t>The proposed method adds an outer optimization problem above the original N-XGB training process. Let theta denote one complete candidate hyperparameter vector containing selected NN and XGBoost settings. MGO seeks the candidate that maximizes the chosen validation fitness:</w:t>
      </w:r>
    </w:p>
    <w:p>
      <w:pPr/>
      <w:r>
        <w:rPr>
          <w:rFonts w:ascii="Times New Roman" w:hAnsi="Times New Roman"/>
          <w:color w:val="000000"/>
          <w:sz w:val="22"/>
        </w:rPr>
        <w:t>In the notation used here, MGO does not directly optimize the internal XGBoost tree parameters w. It searches the outer hyperparameter vector theta, and each candidate fitness evaluation trains the NN and XGBoost using that theta before measuring validation macro-F1.</w:t>
      </w:r>
    </w:p>
    <w:p>
      <w:pPr>
        <w:jc w:val="center"/>
      </w:pPr>
      <w:r>
        <w:rPr>
          <w:rFonts w:ascii="Times New Roman" w:hAnsi="Times New Roman"/>
          <w:color w:val="000000"/>
          <w:sz w:val="22"/>
        </w:rPr>
        <w:t>θ* = argmax_θ F(θ)</w:t>
      </w:r>
    </w:p>
    <w:p>
      <w:r>
        <w:rPr>
          <w:rFonts w:ascii="Times New Roman" w:hAnsi="Times New Roman"/>
          <w:color w:val="000000"/>
          <w:sz w:val="22"/>
        </w:rPr>
        <w:t>For this project, the joint search vector is defined conceptually as theta = [lr_NN, dropout, batch_size, epochs, hidden_1, hidden_2, hidden_3, alpha, max_depth, n_estimators, subsample, colsample_bytree, gamma, min_child_weight]. Continuous variables are searched within specified bounds, while discrete/integer variables such as batch size, epochs, hidden-layer sizes, tree depth, and estimator count must be mapped or rounded to valid values before model training. The final bounds and encoding used in the implementation should be reported explicitly for reproducibility.</w:t>
      </w:r>
    </w:p>
    <w:p>
      <w:pPr>
        <w:jc w:val="center"/>
      </w:pPr>
      <w:r>
        <w:rPr>
          <w:rFonts w:ascii="Times New Roman" w:hAnsi="Times New Roman"/>
          <w:color w:val="000000"/>
          <w:sz w:val="22"/>
        </w:rPr>
        <w:t>Each candidate theta is evaluated by running the complete N-XGB pipeline: the NN is built and trained using theta_NN; its extracted representation H is generated; SMOTE is applied to the training data according to the reference workflow; XGBoost is trained using theta_XGB; and the complete model is evaluated on validation data. The resulting validation macro-F1 is returned to MGO as the fitness value.</w:t>
      </w:r>
    </w:p>
    <w:p>
      <w:r>
        <w:rPr>
          <w:rFonts w:ascii="Times New Roman" w:hAnsi="Times New Roman"/>
          <w:color w:val="000000"/>
          <w:sz w:val="22"/>
        </w:rPr>
        <w:t>The primary fitness function is defined as the macro-F1 score of the complete N-XGB pipeline on validation data:</w:t>
      </w:r>
    </w:p>
    <w:p>
      <w:pPr>
        <w:pStyle w:val="Heading2"/>
      </w:pPr>
      <w:r>
        <w:rPr>
          <w:rFonts w:ascii="Times New Roman" w:hAnsi="Times New Roman"/>
          <w:color w:val="000000"/>
          <w:sz w:val="22"/>
        </w:rPr>
        <w:t>7.6 Optimization workflow</w:t>
      </w:r>
    </w:p>
    <w:p>
      <w:r>
        <w:rPr>
          <w:rFonts w:ascii="Times New Roman" w:hAnsi="Times New Roman"/>
          <w:color w:val="000000"/>
          <w:sz w:val="22"/>
        </w:rPr>
        <w:t>Step 1: Initialize a population of candidate joint NN + XGBoost hyperparameter vectors within predefined bounds.</w:t>
      </w:r>
    </w:p>
    <w:p>
      <w:r>
        <w:rPr>
          <w:rFonts w:ascii="Times New Roman" w:hAnsi="Times New Roman"/>
          <w:color w:val="000000"/>
          <w:sz w:val="22"/>
        </w:rPr>
        <w:t>Step 2: For each candidate, train the NN with its candidate settings, generate H, train XGBoost with its candidate settings, and compute the validation fitness.</w:t>
      </w:r>
    </w:p>
    <w:p>
      <w:r>
        <w:rPr>
          <w:rFonts w:ascii="Times New Roman" w:hAnsi="Times New Roman"/>
          <w:color w:val="000000"/>
          <w:sz w:val="22"/>
        </w:rPr>
        <w:t>Step 3: Rank the complete NN + XGBoost configurations and identify the current best solution.</w:t>
      </w:r>
    </w:p>
    <w:p>
      <w:r>
        <w:rPr>
          <w:rFonts w:ascii="Times New Roman" w:hAnsi="Times New Roman"/>
          <w:color w:val="000000"/>
          <w:sz w:val="22"/>
        </w:rPr>
        <w:t>Step 4: Update the population using the MGO movement mechanisms.</w:t>
      </w:r>
    </w:p>
    <w:p>
      <w:r>
        <w:rPr>
          <w:rFonts w:ascii="Times New Roman" w:hAnsi="Times New Roman"/>
          <w:color w:val="000000"/>
          <w:sz w:val="22"/>
        </w:rPr>
        <w:t>Step 5: Repeat evaluation and updating for the chosen number of iterations.</w:t>
      </w:r>
    </w:p>
    <w:p>
      <w:r>
        <w:rPr>
          <w:rFonts w:ascii="Times New Roman" w:hAnsi="Times New Roman"/>
          <w:color w:val="000000"/>
          <w:sz w:val="22"/>
        </w:rPr>
        <w:t>Step 6: Return the best complete NN + XGBoost hyperparameter vector encountered across all iterations.</w:t>
      </w:r>
    </w:p>
    <w:p>
      <w:r>
        <w:rPr>
          <w:rFonts w:ascii="Times New Roman" w:hAnsi="Times New Roman"/>
          <w:color w:val="000000"/>
          <w:sz w:val="22"/>
        </w:rPr>
        <w:t>Step 7: Retrain and evaluate the final N-XGB model using the selected joint configuration on the prescribed train/test protocol.</w:t>
      </w:r>
    </w:p>
    <w:p>
      <w:pPr>
        <w:pStyle w:val="Heading2"/>
      </w:pPr>
      <w:r>
        <w:rPr>
          <w:rFonts w:ascii="Times New Roman" w:hAnsi="Times New Roman"/>
          <w:color w:val="000000"/>
          <w:sz w:val="22"/>
        </w:rPr>
        <w:t>7.7 First objective implementation: baseline reproduction</w:t>
      </w:r>
    </w:p>
    <w:p>
      <w:r>
        <w:rPr>
          <w:rFonts w:ascii="Times New Roman" w:hAnsi="Times New Roman"/>
          <w:color w:val="000000"/>
          <w:sz w:val="22"/>
        </w:rPr>
        <w:t>The first project objective is to reproduce the original N-XGB model before introducing MGO. The reproduction follows the reference paper's preprocessing, neural feature extraction, training-data balancing with SMOTE, XGBoost classification, and evaluation sequence. The paper reports Python 3.9 on Windows 11, an Intel Core i9 processor, 32 GB RAM, and an NVIDIA GPU; the NN is reported with batch size 64, learning rate 0.001, and 50 epochs, while the XGBoost hyperparameters are tuned with GridSearchCV. These reported settings are used as reproduction targets, not as independently measured project results.</w:t>
      </w:r>
    </w:p>
    <w:p>
      <w:pPr>
        <w:pStyle w:val="Heading1"/>
      </w:pPr>
      <w:r>
        <w:rPr>
          <w:rFonts w:ascii="Times New Roman" w:hAnsi="Times New Roman"/>
          <w:color w:val="000000"/>
          <w:sz w:val="22"/>
        </w:rPr>
        <w:t>8. First Objective Implementation Results</w:t>
      </w:r>
    </w:p>
    <w:p>
      <w:r>
        <w:rPr>
          <w:rFonts w:ascii="Times New Roman" w:hAnsi="Times New Roman"/>
          <w:b w:val="0"/>
          <w:i w:val="0"/>
          <w:color w:val="000000"/>
          <w:sz w:val="22"/>
        </w:rPr>
        <w:t>The baseline N-XGB pipeline has now been implemented and evaluated using the updated experimental outputs. The current implementation includes both balanced (SMOTE on training data) and imbalanced (raw training data) experiments, with 5-fold StratifiedKFold GridSearchCV for the downstream classifiers. The test set remains untouched during classifier tuning. The results below supersede the earlier placeholder/reference-only result values.</w:t>
      </w:r>
    </w:p>
    <w:p>
      <w:pPr>
        <w:pStyle w:val="Heading2"/>
      </w:pPr>
      <w:r>
        <w:rPr>
          <w:rFonts w:ascii="Times New Roman" w:hAnsi="Times New Roman"/>
          <w:color w:val="000000"/>
        </w:rPr>
        <w:t>8.1 Implementation Status</w:t>
      </w:r>
    </w:p>
    <w:p>
      <w:r>
        <w:rPr>
          <w:rFonts w:ascii="Times New Roman" w:hAnsi="Times New Roman"/>
          <w:b w:val="0"/>
          <w:i w:val="0"/>
          <w:color w:val="000000"/>
          <w:sz w:val="22"/>
        </w:rPr>
        <w:t>The implementation reproduces the intended baseline workflow: EM-DAT preprocessing, separate neural feature extraction for the balanced and imbalanced training sets, downstream model tuning, and evaluation on a held-out test set. The current implementation-specific results are reported below rather than using the reference paper's published 94.8% N-XGB accuracy as though it were independently reproduced.</w:t>
      </w:r>
    </w:p>
    <w:p>
      <w:pPr>
        <w:pStyle w:val="Heading2"/>
      </w:pPr>
      <w:r>
        <w:rPr>
          <w:rFonts w:ascii="Times New Roman" w:hAnsi="Times New Roman"/>
          <w:color w:val="000000"/>
        </w:rPr>
        <w:t>8.2 Balanced Experiment Results</w:t>
      </w:r>
    </w:p>
    <w:p>
      <w:r>
        <w:rPr>
          <w:rFonts w:ascii="Times New Roman" w:hAnsi="Times New Roman"/>
          <w:b w:val="0"/>
          <w:i w:val="0"/>
          <w:color w:val="000000"/>
          <w:sz w:val="22"/>
        </w:rPr>
        <w:t>SMOTE is applied only to the training data. The held-out test set contains 1,602 observations and retains the original class distribution. The updated confusion matrices compare Logistic Regression, SVM, Random Forest, k-NN, and N-XGB.</w:t>
      </w:r>
    </w:p>
    <w:tbl>
      <w:tblPr>
        <w:tblStyle w:val="TableGrid"/>
        <w:tblW w:type="auto" w:w="0"/>
        <w:jc w:val="center"/>
        <w:tblLook w:firstColumn="1" w:firstRow="1" w:lastColumn="0" w:lastRow="0" w:noHBand="0" w:noVBand="1" w:val="04A0"/>
      </w:tblPr>
      <w:tblGrid>
        <w:gridCol w:w="3264"/>
        <w:gridCol w:w="3264"/>
        <w:gridCol w:w="3264"/>
      </w:tblGrid>
      <w:tr>
        <w:tc>
          <w:tcPr>
            <w:tcW w:type="dxa" w:w="3744"/>
            <w:vAlign w:val="center"/>
            <w:shd w:fill="FFFFFF"/>
          </w:tcPr>
          <w:p>
            <w:r>
              <w:rPr>
                <w:rFonts w:ascii="Times New Roman" w:hAnsi="Times New Roman"/>
                <w:b/>
                <w:color w:val="000000"/>
                <w:sz w:val="19"/>
              </w:rPr>
              <w:t>Model</w:t>
            </w:r>
          </w:p>
        </w:tc>
        <w:tc>
          <w:tcPr>
            <w:tcW w:type="dxa" w:w="2592"/>
            <w:vAlign w:val="center"/>
            <w:shd w:fill="FFFFFF"/>
          </w:tcPr>
          <w:p>
            <w:r>
              <w:rPr>
                <w:rFonts w:ascii="Times New Roman" w:hAnsi="Times New Roman"/>
                <w:b/>
                <w:color w:val="000000"/>
                <w:sz w:val="19"/>
              </w:rPr>
              <w:t>Accuracy</w:t>
            </w:r>
          </w:p>
        </w:tc>
        <w:tc>
          <w:tcPr>
            <w:tcW w:type="dxa" w:w="2880"/>
            <w:vAlign w:val="center"/>
            <w:shd w:fill="FFFFFF"/>
          </w:tcPr>
          <w:p>
            <w:r>
              <w:rPr>
                <w:rFonts w:ascii="Times New Roman" w:hAnsi="Times New Roman"/>
                <w:b/>
                <w:color w:val="000000"/>
                <w:sz w:val="19"/>
              </w:rPr>
              <w:t>Macro ROC-AUC</w:t>
            </w:r>
          </w:p>
        </w:tc>
      </w:tr>
      <w:tr>
        <w:tc>
          <w:tcPr>
            <w:tcW w:type="dxa" w:w="3744"/>
          </w:tcPr>
          <w:p>
            <w:r>
              <w:rPr>
                <w:rFonts w:ascii="Times New Roman" w:hAnsi="Times New Roman"/>
                <w:color w:val="000000"/>
                <w:sz w:val="19"/>
              </w:rPr>
              <w:t>Logistic Regression</w:t>
            </w:r>
          </w:p>
        </w:tc>
        <w:tc>
          <w:tcPr>
            <w:tcW w:type="dxa" w:w="2592"/>
          </w:tcPr>
          <w:p>
            <w:r>
              <w:rPr>
                <w:rFonts w:ascii="Times New Roman" w:hAnsi="Times New Roman"/>
                <w:color w:val="000000"/>
                <w:sz w:val="19"/>
              </w:rPr>
              <w:t>73.16%</w:t>
            </w:r>
          </w:p>
        </w:tc>
        <w:tc>
          <w:tcPr>
            <w:tcW w:type="dxa" w:w="2880"/>
          </w:tcPr>
          <w:p>
            <w:r>
              <w:rPr>
                <w:rFonts w:ascii="Times New Roman" w:hAnsi="Times New Roman"/>
                <w:color w:val="000000"/>
                <w:sz w:val="19"/>
              </w:rPr>
              <w:t>0.88009</w:t>
            </w:r>
          </w:p>
        </w:tc>
      </w:tr>
      <w:tr>
        <w:tc>
          <w:tcPr>
            <w:tcW w:type="dxa" w:w="3744"/>
          </w:tcPr>
          <w:p>
            <w:r>
              <w:rPr>
                <w:rFonts w:ascii="Times New Roman" w:hAnsi="Times New Roman"/>
                <w:color w:val="000000"/>
                <w:sz w:val="19"/>
              </w:rPr>
              <w:t>SVM</w:t>
            </w:r>
          </w:p>
        </w:tc>
        <w:tc>
          <w:tcPr>
            <w:tcW w:type="dxa" w:w="2592"/>
          </w:tcPr>
          <w:p>
            <w:r>
              <w:rPr>
                <w:rFonts w:ascii="Times New Roman" w:hAnsi="Times New Roman"/>
                <w:color w:val="000000"/>
                <w:sz w:val="19"/>
              </w:rPr>
              <w:t>81.46%</w:t>
            </w:r>
          </w:p>
        </w:tc>
        <w:tc>
          <w:tcPr>
            <w:tcW w:type="dxa" w:w="2880"/>
          </w:tcPr>
          <w:p>
            <w:r>
              <w:rPr>
                <w:rFonts w:ascii="Times New Roman" w:hAnsi="Times New Roman"/>
                <w:color w:val="000000"/>
                <w:sz w:val="19"/>
              </w:rPr>
              <w:t>0.90270</w:t>
            </w:r>
          </w:p>
        </w:tc>
      </w:tr>
      <w:tr>
        <w:tc>
          <w:tcPr>
            <w:tcW w:type="dxa" w:w="3744"/>
          </w:tcPr>
          <w:p>
            <w:r>
              <w:rPr>
                <w:rFonts w:ascii="Times New Roman" w:hAnsi="Times New Roman"/>
                <w:color w:val="000000"/>
                <w:sz w:val="19"/>
              </w:rPr>
              <w:t>Random Forest</w:t>
            </w:r>
          </w:p>
        </w:tc>
        <w:tc>
          <w:tcPr>
            <w:tcW w:type="dxa" w:w="2592"/>
          </w:tcPr>
          <w:p>
            <w:r>
              <w:rPr>
                <w:rFonts w:ascii="Times New Roman" w:hAnsi="Times New Roman"/>
                <w:color w:val="000000"/>
                <w:sz w:val="19"/>
              </w:rPr>
              <w:t>92.57%</w:t>
            </w:r>
          </w:p>
        </w:tc>
        <w:tc>
          <w:tcPr>
            <w:tcW w:type="dxa" w:w="2880"/>
          </w:tcPr>
          <w:p>
            <w:r>
              <w:rPr>
                <w:rFonts w:ascii="Times New Roman" w:hAnsi="Times New Roman"/>
                <w:color w:val="000000"/>
                <w:sz w:val="19"/>
              </w:rPr>
              <w:t>0.95843</w:t>
            </w:r>
          </w:p>
        </w:tc>
      </w:tr>
      <w:tr>
        <w:tc>
          <w:tcPr>
            <w:tcW w:type="dxa" w:w="3744"/>
          </w:tcPr>
          <w:p>
            <w:r>
              <w:rPr>
                <w:rFonts w:ascii="Times New Roman" w:hAnsi="Times New Roman"/>
                <w:color w:val="000000"/>
                <w:sz w:val="19"/>
              </w:rPr>
              <w:t>k-NN</w:t>
            </w:r>
          </w:p>
        </w:tc>
        <w:tc>
          <w:tcPr>
            <w:tcW w:type="dxa" w:w="2592"/>
          </w:tcPr>
          <w:p>
            <w:r>
              <w:rPr>
                <w:rFonts w:ascii="Times New Roman" w:hAnsi="Times New Roman"/>
                <w:color w:val="000000"/>
                <w:sz w:val="19"/>
              </w:rPr>
              <w:t>79.46%</w:t>
            </w:r>
          </w:p>
        </w:tc>
        <w:tc>
          <w:tcPr>
            <w:tcW w:type="dxa" w:w="2880"/>
          </w:tcPr>
          <w:p>
            <w:r>
              <w:rPr>
                <w:rFonts w:ascii="Times New Roman" w:hAnsi="Times New Roman"/>
                <w:color w:val="000000"/>
                <w:sz w:val="19"/>
              </w:rPr>
              <w:t>0.83879</w:t>
            </w:r>
          </w:p>
        </w:tc>
      </w:tr>
      <w:tr>
        <w:tc>
          <w:tcPr>
            <w:tcW w:type="dxa" w:w="3744"/>
          </w:tcPr>
          <w:p>
            <w:r>
              <w:rPr>
                <w:rFonts w:ascii="Times New Roman" w:hAnsi="Times New Roman"/>
                <w:color w:val="000000"/>
                <w:sz w:val="19"/>
              </w:rPr>
              <w:t>N-XGB (Hybrid)</w:t>
            </w:r>
          </w:p>
        </w:tc>
        <w:tc>
          <w:tcPr>
            <w:tcW w:type="dxa" w:w="2592"/>
          </w:tcPr>
          <w:p>
            <w:r>
              <w:rPr>
                <w:rFonts w:ascii="Times New Roman" w:hAnsi="Times New Roman"/>
                <w:color w:val="000000"/>
                <w:sz w:val="19"/>
              </w:rPr>
              <w:t>89.64%</w:t>
            </w:r>
          </w:p>
        </w:tc>
        <w:tc>
          <w:tcPr>
            <w:tcW w:type="dxa" w:w="2880"/>
          </w:tcPr>
          <w:p>
            <w:r>
              <w:rPr>
                <w:rFonts w:ascii="Times New Roman" w:hAnsi="Times New Roman"/>
                <w:color w:val="000000"/>
                <w:sz w:val="19"/>
              </w:rPr>
              <w:t>0.91082</w:t>
            </w:r>
          </w:p>
        </w:tc>
      </w:tr>
    </w:tbl>
    <w:p>
      <w:r>
        <w:rPr>
          <w:rFonts w:ascii="Times New Roman" w:hAnsi="Times New Roman"/>
          <w:b w:val="0"/>
          <w:i w:val="0"/>
          <w:color w:val="000000"/>
          <w:sz w:val="22"/>
        </w:rPr>
        <w:t>For N-XGB, the measured weighted F1-score is 0.89843 and the macro ROC-AUC is 0.91082. The model correctly classifies 201/212 wildfire cases, 1,198/1,286 flood cases, and 37/104 earthquake cases. The dominant error is the misclassification of earthquake cases as flood events.</w:t>
      </w:r>
    </w:p>
    <w:p>
      <w:pPr>
        <w:jc w:val="center"/>
      </w:pPr>
      <w:r>
        <w:rPr>
          <w:color w:val="000000"/>
        </w:rPr>
        <w:drawing>
          <wp:inline xmlns:a="http://schemas.openxmlformats.org/drawingml/2006/main" xmlns:pic="http://schemas.openxmlformats.org/drawingml/2006/picture">
            <wp:extent cx="6400800" cy="1328291"/>
            <wp:docPr id="1" name="Picture 1"/>
            <wp:cNvGraphicFramePr>
              <a:graphicFrameLocks noChangeAspect="1"/>
            </wp:cNvGraphicFramePr>
            <a:graphic>
              <a:graphicData uri="http://schemas.openxmlformats.org/drawingml/2006/picture">
                <pic:pic>
                  <pic:nvPicPr>
                    <pic:cNvPr id="0" name="80c65a3b-74c0-4038-8a2e-f91840abbf54.png"/>
                    <pic:cNvPicPr/>
                  </pic:nvPicPr>
                  <pic:blipFill>
                    <a:blip r:embed="rId13"/>
                    <a:stretch>
                      <a:fillRect/>
                    </a:stretch>
                  </pic:blipFill>
                  <pic:spPr>
                    <a:xfrm>
                      <a:off x="0" y="0"/>
                      <a:ext cx="6400800" cy="1328291"/>
                    </a:xfrm>
                    <a:prstGeom prst="rect"/>
                  </pic:spPr>
                </pic:pic>
              </a:graphicData>
            </a:graphic>
          </wp:inline>
        </w:drawing>
      </w:r>
    </w:p>
    <w:p>
      <w:pPr>
        <w:jc w:val="center"/>
      </w:pPr>
      <w:r>
        <w:rPr>
          <w:rFonts w:ascii="Times New Roman" w:hAnsi="Times New Roman"/>
          <w:b w:val="0"/>
          <w:i/>
          <w:color w:val="000000"/>
          <w:sz w:val="19"/>
        </w:rPr>
        <w:t>Figure 1. Confusion matrices for the balanced experiment.</w:t>
      </w:r>
    </w:p>
    <w:p>
      <w:pPr>
        <w:jc w:val="center"/>
      </w:pPr>
      <w:r>
        <w:rPr>
          <w:color w:val="000000"/>
        </w:rPr>
        <w:drawing>
          <wp:inline xmlns:a="http://schemas.openxmlformats.org/drawingml/2006/main" xmlns:pic="http://schemas.openxmlformats.org/drawingml/2006/picture">
            <wp:extent cx="6035040" cy="4828032"/>
            <wp:docPr id="2" name="Picture 2"/>
            <wp:cNvGraphicFramePr>
              <a:graphicFrameLocks noChangeAspect="1"/>
            </wp:cNvGraphicFramePr>
            <a:graphic>
              <a:graphicData uri="http://schemas.openxmlformats.org/drawingml/2006/picture">
                <pic:pic>
                  <pic:nvPicPr>
                    <pic:cNvPr id="0" name="75a33018-edac-4f20-9501-590809747102.png"/>
                    <pic:cNvPicPr/>
                  </pic:nvPicPr>
                  <pic:blipFill>
                    <a:blip r:embed="rId14"/>
                    <a:stretch>
                      <a:fillRect/>
                    </a:stretch>
                  </pic:blipFill>
                  <pic:spPr>
                    <a:xfrm>
                      <a:off x="0" y="0"/>
                      <a:ext cx="6035040" cy="4828032"/>
                    </a:xfrm>
                    <a:prstGeom prst="rect"/>
                  </pic:spPr>
                </pic:pic>
              </a:graphicData>
            </a:graphic>
          </wp:inline>
        </w:drawing>
      </w:r>
    </w:p>
    <w:p>
      <w:pPr>
        <w:jc w:val="center"/>
      </w:pPr>
      <w:r>
        <w:rPr>
          <w:rFonts w:ascii="Times New Roman" w:hAnsi="Times New Roman"/>
          <w:b w:val="0"/>
          <w:i/>
          <w:color w:val="000000"/>
          <w:sz w:val="19"/>
        </w:rPr>
        <w:t>Figure 2. Multiclass ROC-AUC comparison on the balanced experiment.</w:t>
      </w:r>
    </w:p>
    <w:p>
      <w:pPr>
        <w:jc w:val="center"/>
      </w:pPr>
      <w:r>
        <w:rPr>
          <w:color w:val="000000"/>
        </w:rPr>
        <w:drawing>
          <wp:inline xmlns:a="http://schemas.openxmlformats.org/drawingml/2006/main" xmlns:pic="http://schemas.openxmlformats.org/drawingml/2006/picture">
            <wp:extent cx="5669280" cy="4251960"/>
            <wp:docPr id="3" name="Picture 3"/>
            <wp:cNvGraphicFramePr>
              <a:graphicFrameLocks noChangeAspect="1"/>
            </wp:cNvGraphicFramePr>
            <a:graphic>
              <a:graphicData uri="http://schemas.openxmlformats.org/drawingml/2006/picture">
                <pic:pic>
                  <pic:nvPicPr>
                    <pic:cNvPr id="0" name="1999b12c-9d2e-4549-90b0-a5285c4e9f9f.png"/>
                    <pic:cNvPicPr/>
                  </pic:nvPicPr>
                  <pic:blipFill>
                    <a:blip r:embed="rId15"/>
                    <a:stretch>
                      <a:fillRect/>
                    </a:stretch>
                  </pic:blipFill>
                  <pic:spPr>
                    <a:xfrm>
                      <a:off x="0" y="0"/>
                      <a:ext cx="5669280" cy="4251960"/>
                    </a:xfrm>
                    <a:prstGeom prst="rect"/>
                  </pic:spPr>
                </pic:pic>
              </a:graphicData>
            </a:graphic>
          </wp:inline>
        </w:drawing>
      </w:r>
    </w:p>
    <w:p>
      <w:pPr>
        <w:jc w:val="center"/>
      </w:pPr>
      <w:r>
        <w:rPr>
          <w:rFonts w:ascii="Times New Roman" w:hAnsi="Times New Roman"/>
          <w:b w:val="0"/>
          <w:i/>
          <w:color w:val="000000"/>
          <w:sz w:val="19"/>
        </w:rPr>
        <w:t>Figure 3. Class-wise ROC curves for N-XGB on the balanced experiment.</w:t>
      </w:r>
    </w:p>
    <w:p>
      <w:r>
        <w:rPr>
          <w:rFonts w:ascii="Times New Roman" w:hAnsi="Times New Roman"/>
          <w:b w:val="0"/>
          <w:i w:val="0"/>
          <w:color w:val="000000"/>
          <w:sz w:val="22"/>
        </w:rPr>
        <w:t>The class-wise N-XGB ROC-AUC values are 0.99161 for wildfire, 0.91779 for flood, and 0.82307 for earthquake. This confirms that earthquake discrimination is the weakest part of the hybrid model, consistent with the confusion matrix.</w:t>
      </w:r>
    </w:p>
    <w:p>
      <w:pPr>
        <w:pStyle w:val="Heading2"/>
      </w:pPr>
      <w:r>
        <w:rPr>
          <w:rFonts w:ascii="Times New Roman" w:hAnsi="Times New Roman"/>
          <w:color w:val="000000"/>
        </w:rPr>
        <w:t>8.3 Imbalanced Experiment Results</w:t>
      </w:r>
    </w:p>
    <w:p>
      <w:r>
        <w:rPr>
          <w:rFonts w:ascii="Times New Roman" w:hAnsi="Times New Roman"/>
          <w:b w:val="0"/>
          <w:i w:val="0"/>
          <w:color w:val="000000"/>
          <w:sz w:val="22"/>
        </w:rPr>
        <w:t>The imbalanced experiment uses the raw training distribution without SMOTE. The same 1,602-observation test set is used for evaluation.</w:t>
      </w:r>
    </w:p>
    <w:tbl>
      <w:tblPr>
        <w:tblStyle w:val="TableGrid"/>
        <w:tblW w:type="auto" w:w="0"/>
        <w:jc w:val="center"/>
        <w:tblLook w:firstColumn="1" w:firstRow="1" w:lastColumn="0" w:lastRow="0" w:noHBand="0" w:noVBand="1" w:val="04A0"/>
      </w:tblPr>
      <w:tblGrid>
        <w:gridCol w:w="3264"/>
        <w:gridCol w:w="3264"/>
        <w:gridCol w:w="3264"/>
      </w:tblGrid>
      <w:tr>
        <w:tc>
          <w:tcPr>
            <w:tcW w:type="dxa" w:w="3744"/>
            <w:vAlign w:val="center"/>
            <w:shd w:fill="FFFFFF"/>
          </w:tcPr>
          <w:p>
            <w:r>
              <w:rPr>
                <w:rFonts w:ascii="Times New Roman" w:hAnsi="Times New Roman"/>
                <w:b/>
                <w:color w:val="000000"/>
                <w:sz w:val="19"/>
              </w:rPr>
              <w:t>Model</w:t>
            </w:r>
          </w:p>
        </w:tc>
        <w:tc>
          <w:tcPr>
            <w:tcW w:type="dxa" w:w="2592"/>
            <w:vAlign w:val="center"/>
            <w:shd w:fill="FFFFFF"/>
          </w:tcPr>
          <w:p>
            <w:r>
              <w:rPr>
                <w:rFonts w:ascii="Times New Roman" w:hAnsi="Times New Roman"/>
                <w:b/>
                <w:color w:val="000000"/>
                <w:sz w:val="19"/>
              </w:rPr>
              <w:t>Accuracy</w:t>
            </w:r>
          </w:p>
        </w:tc>
        <w:tc>
          <w:tcPr>
            <w:tcW w:type="dxa" w:w="2880"/>
            <w:vAlign w:val="center"/>
            <w:shd w:fill="FFFFFF"/>
          </w:tcPr>
          <w:p>
            <w:r>
              <w:rPr>
                <w:rFonts w:ascii="Times New Roman" w:hAnsi="Times New Roman"/>
                <w:b/>
                <w:color w:val="000000"/>
                <w:sz w:val="19"/>
              </w:rPr>
              <w:t>Macro ROC-AUC</w:t>
            </w:r>
          </w:p>
        </w:tc>
      </w:tr>
      <w:tr>
        <w:tc>
          <w:tcPr>
            <w:tcW w:type="dxa" w:w="3744"/>
          </w:tcPr>
          <w:p>
            <w:r>
              <w:rPr>
                <w:rFonts w:ascii="Times New Roman" w:hAnsi="Times New Roman"/>
                <w:color w:val="000000"/>
                <w:sz w:val="19"/>
              </w:rPr>
              <w:t>Logistic Regression</w:t>
            </w:r>
          </w:p>
        </w:tc>
        <w:tc>
          <w:tcPr>
            <w:tcW w:type="dxa" w:w="2592"/>
          </w:tcPr>
          <w:p>
            <w:r>
              <w:rPr>
                <w:rFonts w:ascii="Times New Roman" w:hAnsi="Times New Roman"/>
                <w:color w:val="000000"/>
                <w:sz w:val="19"/>
              </w:rPr>
              <w:t>88.39%</w:t>
            </w:r>
          </w:p>
        </w:tc>
        <w:tc>
          <w:tcPr>
            <w:tcW w:type="dxa" w:w="2880"/>
          </w:tcPr>
          <w:p>
            <w:r>
              <w:rPr>
                <w:rFonts w:ascii="Times New Roman" w:hAnsi="Times New Roman"/>
                <w:color w:val="000000"/>
                <w:sz w:val="19"/>
              </w:rPr>
              <w:t>0.87072</w:t>
            </w:r>
          </w:p>
        </w:tc>
      </w:tr>
      <w:tr>
        <w:tc>
          <w:tcPr>
            <w:tcW w:type="dxa" w:w="3744"/>
          </w:tcPr>
          <w:p>
            <w:r>
              <w:rPr>
                <w:rFonts w:ascii="Times New Roman" w:hAnsi="Times New Roman"/>
                <w:color w:val="000000"/>
                <w:sz w:val="19"/>
              </w:rPr>
              <w:t>SVM</w:t>
            </w:r>
          </w:p>
        </w:tc>
        <w:tc>
          <w:tcPr>
            <w:tcW w:type="dxa" w:w="2592"/>
          </w:tcPr>
          <w:p>
            <w:r>
              <w:rPr>
                <w:rFonts w:ascii="Times New Roman" w:hAnsi="Times New Roman"/>
                <w:color w:val="000000"/>
                <w:sz w:val="19"/>
              </w:rPr>
              <w:t>89.14%</w:t>
            </w:r>
          </w:p>
        </w:tc>
        <w:tc>
          <w:tcPr>
            <w:tcW w:type="dxa" w:w="2880"/>
          </w:tcPr>
          <w:p>
            <w:r>
              <w:rPr>
                <w:rFonts w:ascii="Times New Roman" w:hAnsi="Times New Roman"/>
                <w:color w:val="000000"/>
                <w:sz w:val="19"/>
              </w:rPr>
              <w:t>0.83327</w:t>
            </w:r>
          </w:p>
        </w:tc>
      </w:tr>
      <w:tr>
        <w:tc>
          <w:tcPr>
            <w:tcW w:type="dxa" w:w="3744"/>
          </w:tcPr>
          <w:p>
            <w:r>
              <w:rPr>
                <w:rFonts w:ascii="Times New Roman" w:hAnsi="Times New Roman"/>
                <w:color w:val="000000"/>
                <w:sz w:val="19"/>
              </w:rPr>
              <w:t>Random Forest</w:t>
            </w:r>
          </w:p>
        </w:tc>
        <w:tc>
          <w:tcPr>
            <w:tcW w:type="dxa" w:w="2592"/>
          </w:tcPr>
          <w:p>
            <w:r>
              <w:rPr>
                <w:rFonts w:ascii="Times New Roman" w:hAnsi="Times New Roman"/>
                <w:color w:val="000000"/>
                <w:sz w:val="19"/>
              </w:rPr>
              <w:t>94.57%</w:t>
            </w:r>
          </w:p>
        </w:tc>
        <w:tc>
          <w:tcPr>
            <w:tcW w:type="dxa" w:w="2880"/>
          </w:tcPr>
          <w:p>
            <w:r>
              <w:rPr>
                <w:rFonts w:ascii="Times New Roman" w:hAnsi="Times New Roman"/>
                <w:color w:val="000000"/>
                <w:sz w:val="19"/>
              </w:rPr>
              <w:t>0.96251</w:t>
            </w:r>
          </w:p>
        </w:tc>
      </w:tr>
      <w:tr>
        <w:tc>
          <w:tcPr>
            <w:tcW w:type="dxa" w:w="3744"/>
          </w:tcPr>
          <w:p>
            <w:r>
              <w:rPr>
                <w:rFonts w:ascii="Times New Roman" w:hAnsi="Times New Roman"/>
                <w:color w:val="000000"/>
                <w:sz w:val="19"/>
              </w:rPr>
              <w:t>k-NN</w:t>
            </w:r>
          </w:p>
        </w:tc>
        <w:tc>
          <w:tcPr>
            <w:tcW w:type="dxa" w:w="2592"/>
          </w:tcPr>
          <w:p>
            <w:r>
              <w:rPr>
                <w:rFonts w:ascii="Times New Roman" w:hAnsi="Times New Roman"/>
                <w:color w:val="000000"/>
                <w:sz w:val="19"/>
              </w:rPr>
              <w:t>85.27%</w:t>
            </w:r>
          </w:p>
        </w:tc>
        <w:tc>
          <w:tcPr>
            <w:tcW w:type="dxa" w:w="2880"/>
          </w:tcPr>
          <w:p>
            <w:r>
              <w:rPr>
                <w:rFonts w:ascii="Times New Roman" w:hAnsi="Times New Roman"/>
                <w:color w:val="000000"/>
                <w:sz w:val="19"/>
              </w:rPr>
              <w:t>0.81448</w:t>
            </w:r>
          </w:p>
        </w:tc>
      </w:tr>
      <w:tr>
        <w:tc>
          <w:tcPr>
            <w:tcW w:type="dxa" w:w="3744"/>
          </w:tcPr>
          <w:p>
            <w:r>
              <w:rPr>
                <w:rFonts w:ascii="Times New Roman" w:hAnsi="Times New Roman"/>
                <w:color w:val="000000"/>
                <w:sz w:val="19"/>
              </w:rPr>
              <w:t>N-XGB (Hybrid)</w:t>
            </w:r>
          </w:p>
        </w:tc>
        <w:tc>
          <w:tcPr>
            <w:tcW w:type="dxa" w:w="2592"/>
          </w:tcPr>
          <w:p>
            <w:r>
              <w:rPr>
                <w:rFonts w:ascii="Times New Roman" w:hAnsi="Times New Roman"/>
                <w:color w:val="000000"/>
                <w:sz w:val="19"/>
              </w:rPr>
              <w:t>91.57%</w:t>
            </w:r>
          </w:p>
        </w:tc>
        <w:tc>
          <w:tcPr>
            <w:tcW w:type="dxa" w:w="2880"/>
          </w:tcPr>
          <w:p>
            <w:r>
              <w:rPr>
                <w:rFonts w:ascii="Times New Roman" w:hAnsi="Times New Roman"/>
                <w:color w:val="000000"/>
                <w:sz w:val="19"/>
              </w:rPr>
              <w:t>0.91535</w:t>
            </w:r>
          </w:p>
        </w:tc>
      </w:tr>
    </w:tbl>
    <w:p>
      <w:r>
        <w:rPr>
          <w:rFonts w:ascii="Times New Roman" w:hAnsi="Times New Roman"/>
          <w:b w:val="0"/>
          <w:i w:val="0"/>
          <w:color w:val="000000"/>
          <w:sz w:val="22"/>
        </w:rPr>
        <w:t>For N-XGB, the measured weighted F1-score is 0.90469 and the macro ROC-AUC is 0.91535. The N-XGB confusion matrix shows 194/212 wildfire cases, 1,251/1,286 flood cases, and 22/104 earthquake cases correctly classified. Earthquake recognition remains the major weakness, with most earthquake errors being predicted as flood.</w:t>
      </w:r>
    </w:p>
    <w:p>
      <w:pPr>
        <w:jc w:val="center"/>
      </w:pPr>
      <w:r>
        <w:rPr>
          <w:color w:val="000000"/>
        </w:rPr>
        <w:drawing>
          <wp:inline xmlns:a="http://schemas.openxmlformats.org/drawingml/2006/main" xmlns:pic="http://schemas.openxmlformats.org/drawingml/2006/picture">
            <wp:extent cx="6400800" cy="1328291"/>
            <wp:docPr id="4" name="Picture 4"/>
            <wp:cNvGraphicFramePr>
              <a:graphicFrameLocks noChangeAspect="1"/>
            </wp:cNvGraphicFramePr>
            <a:graphic>
              <a:graphicData uri="http://schemas.openxmlformats.org/drawingml/2006/picture">
                <pic:pic>
                  <pic:nvPicPr>
                    <pic:cNvPr id="0" name="c05f1a26-5700-4465-b9eb-aa32f269c3ae.png"/>
                    <pic:cNvPicPr/>
                  </pic:nvPicPr>
                  <pic:blipFill>
                    <a:blip r:embed="rId16"/>
                    <a:stretch>
                      <a:fillRect/>
                    </a:stretch>
                  </pic:blipFill>
                  <pic:spPr>
                    <a:xfrm>
                      <a:off x="0" y="0"/>
                      <a:ext cx="6400800" cy="1328291"/>
                    </a:xfrm>
                    <a:prstGeom prst="rect"/>
                  </pic:spPr>
                </pic:pic>
              </a:graphicData>
            </a:graphic>
          </wp:inline>
        </w:drawing>
      </w:r>
    </w:p>
    <w:p>
      <w:pPr>
        <w:jc w:val="center"/>
      </w:pPr>
      <w:r>
        <w:rPr>
          <w:rFonts w:ascii="Times New Roman" w:hAnsi="Times New Roman"/>
          <w:b w:val="0"/>
          <w:i/>
          <w:color w:val="000000"/>
          <w:sz w:val="19"/>
        </w:rPr>
        <w:t>Figure 4. Confusion matrices for the imbalanced experiment.</w:t>
      </w:r>
    </w:p>
    <w:p>
      <w:pPr>
        <w:jc w:val="center"/>
      </w:pPr>
      <w:r>
        <w:rPr>
          <w:color w:val="000000"/>
        </w:rPr>
        <w:drawing>
          <wp:inline xmlns:a="http://schemas.openxmlformats.org/drawingml/2006/main" xmlns:pic="http://schemas.openxmlformats.org/drawingml/2006/picture">
            <wp:extent cx="6035040" cy="4828032"/>
            <wp:docPr id="5" name="Picture 5"/>
            <wp:cNvGraphicFramePr>
              <a:graphicFrameLocks noChangeAspect="1"/>
            </wp:cNvGraphicFramePr>
            <a:graphic>
              <a:graphicData uri="http://schemas.openxmlformats.org/drawingml/2006/picture">
                <pic:pic>
                  <pic:nvPicPr>
                    <pic:cNvPr id="0" name="731b2d77-63dd-48d0-b469-f2266b292f59.png"/>
                    <pic:cNvPicPr/>
                  </pic:nvPicPr>
                  <pic:blipFill>
                    <a:blip r:embed="rId17"/>
                    <a:stretch>
                      <a:fillRect/>
                    </a:stretch>
                  </pic:blipFill>
                  <pic:spPr>
                    <a:xfrm>
                      <a:off x="0" y="0"/>
                      <a:ext cx="6035040" cy="4828032"/>
                    </a:xfrm>
                    <a:prstGeom prst="rect"/>
                  </pic:spPr>
                </pic:pic>
              </a:graphicData>
            </a:graphic>
          </wp:inline>
        </w:drawing>
      </w:r>
    </w:p>
    <w:p>
      <w:pPr>
        <w:jc w:val="center"/>
      </w:pPr>
      <w:r>
        <w:rPr>
          <w:rFonts w:ascii="Times New Roman" w:hAnsi="Times New Roman"/>
          <w:b w:val="0"/>
          <w:i/>
          <w:color w:val="000000"/>
          <w:sz w:val="19"/>
        </w:rPr>
        <w:t>Figure 5. Multiclass ROC-AUC comparison on the imbalanced experiment.</w:t>
      </w:r>
    </w:p>
    <w:p>
      <w:pPr>
        <w:jc w:val="center"/>
      </w:pPr>
      <w:r>
        <w:rPr>
          <w:color w:val="000000"/>
        </w:rPr>
        <w:drawing>
          <wp:inline xmlns:a="http://schemas.openxmlformats.org/drawingml/2006/main" xmlns:pic="http://schemas.openxmlformats.org/drawingml/2006/picture">
            <wp:extent cx="5669280" cy="4251960"/>
            <wp:docPr id="6" name="Picture 6"/>
            <wp:cNvGraphicFramePr>
              <a:graphicFrameLocks noChangeAspect="1"/>
            </wp:cNvGraphicFramePr>
            <a:graphic>
              <a:graphicData uri="http://schemas.openxmlformats.org/drawingml/2006/picture">
                <pic:pic>
                  <pic:nvPicPr>
                    <pic:cNvPr id="0" name="5bfe9cee-541d-497b-aeca-5c55827bae8c.png"/>
                    <pic:cNvPicPr/>
                  </pic:nvPicPr>
                  <pic:blipFill>
                    <a:blip r:embed="rId18"/>
                    <a:stretch>
                      <a:fillRect/>
                    </a:stretch>
                  </pic:blipFill>
                  <pic:spPr>
                    <a:xfrm>
                      <a:off x="0" y="0"/>
                      <a:ext cx="5669280" cy="4251960"/>
                    </a:xfrm>
                    <a:prstGeom prst="rect"/>
                  </pic:spPr>
                </pic:pic>
              </a:graphicData>
            </a:graphic>
          </wp:inline>
        </w:drawing>
      </w:r>
    </w:p>
    <w:p>
      <w:pPr>
        <w:jc w:val="center"/>
      </w:pPr>
      <w:r>
        <w:rPr>
          <w:rFonts w:ascii="Times New Roman" w:hAnsi="Times New Roman"/>
          <w:b w:val="0"/>
          <w:i/>
          <w:color w:val="000000"/>
          <w:sz w:val="19"/>
        </w:rPr>
        <w:t>Figure 6. Class-wise ROC curves for N-XGB on the imbalanced experiment.</w:t>
      </w:r>
    </w:p>
    <w:p>
      <w:r>
        <w:rPr>
          <w:rFonts w:ascii="Times New Roman" w:hAnsi="Times New Roman"/>
          <w:b w:val="0"/>
          <w:i w:val="0"/>
          <w:color w:val="000000"/>
          <w:sz w:val="22"/>
        </w:rPr>
        <w:t>The class-wise N-XGB ROC-AUC values are 0.98704 for wildfire, 0.92304 for flood, and 0.83598 for earthquake. Although the imbalanced experiment retains the original class proportions, N-XGB still shows substantially weaker separation for earthquakes than for the other two disaster classes.</w:t>
      </w:r>
    </w:p>
    <w:p>
      <w:pPr>
        <w:pStyle w:val="Heading2"/>
      </w:pPr>
      <w:r>
        <w:rPr>
          <w:rFonts w:ascii="Times New Roman" w:hAnsi="Times New Roman"/>
          <w:color w:val="000000"/>
        </w:rPr>
        <w:t>8.4 Interpretation and Implications for the Project</w:t>
      </w:r>
    </w:p>
    <w:p>
      <w:r>
        <w:rPr>
          <w:rFonts w:ascii="Times New Roman" w:hAnsi="Times New Roman"/>
          <w:b w:val="0"/>
          <w:i w:val="0"/>
          <w:color w:val="000000"/>
          <w:sz w:val="22"/>
        </w:rPr>
        <w:t>The updated implementation does not reproduce the reference paper's reported 94.8% N-XGB accuracy. In the current baseline, Random Forest is the strongest classifier by test accuracy in the imbalanced experiment (94.57%) and by macro ROC-AUC in both experiments (0.95843 balanced; 0.96251 imbalanced). N-XGB achieves 89.64% balanced accuracy and 91.57% imbalanced accuracy, with macro ROC-AUC values of 0.91082 and 0.91535, respectively.</w:t>
      </w:r>
    </w:p>
    <w:p>
      <w:r>
        <w:rPr>
          <w:rFonts w:ascii="Times New Roman" w:hAnsi="Times New Roman"/>
          <w:b w:val="0"/>
          <w:i w:val="0"/>
          <w:color w:val="000000"/>
          <w:sz w:val="22"/>
        </w:rPr>
        <w:t>These results establish the implementation-specific baseline for the MGO stage. The principal weakness to monitor during optimization is earthquake classification, particularly the tendency to classify earthquake observations as floods. MGO will therefore be evaluated using validation performance of the complete NN + XGBoost pipeline, with macro-F1 as the primary fitness metric, while the test set remains isolated for the final comparison.</w:t>
      </w:r>
    </w:p>
    <w:p>
      <w:r>
        <w:rPr>
          <w:rFonts w:ascii="Times New Roman" w:hAnsi="Times New Roman"/>
          <w:b w:val="0"/>
          <w:i w:val="0"/>
          <w:color w:val="000000"/>
          <w:sz w:val="22"/>
        </w:rPr>
        <w:t>Implementation verification note: the current code fits numerical imputers and categorical encoders before the train/test split, while StandardScaler and SMOTE are correctly restricted to training data. For the final reported MGO experiments, imputation and categorical encoding should be moved inside the training split (or implemented in a leakage-safe pipeline) before the final model comparison.</w:t>
      </w:r>
    </w:p>
    <w:p>
      <w:pPr>
        <w:pStyle w:val="Heading2"/>
      </w:pPr>
      <w:r>
        <w:rPr>
          <w:rFonts w:ascii="Times New Roman" w:hAnsi="Times New Roman"/>
          <w:color w:val="000000"/>
        </w:rPr>
        <w:t>8.5 Baseline-to-MGO Comparison</w:t>
      </w:r>
    </w:p>
    <w:tbl>
      <w:tblPr>
        <w:tblStyle w:val="TableGrid"/>
        <w:tblW w:type="auto" w:w="0"/>
        <w:jc w:val="center"/>
        <w:tblLook w:firstColumn="1" w:firstRow="1" w:lastColumn="0" w:lastRow="0" w:noHBand="0" w:noVBand="1" w:val="04A0"/>
      </w:tblPr>
      <w:tblGrid>
        <w:gridCol w:w="3264"/>
        <w:gridCol w:w="3264"/>
        <w:gridCol w:w="3264"/>
      </w:tblGrid>
      <w:tr>
        <w:tc>
          <w:tcPr>
            <w:tcW w:type="dxa" w:w="2304"/>
            <w:vAlign w:val="center"/>
            <w:shd w:fill="FFFFFF"/>
          </w:tcPr>
          <w:p>
            <w:r>
              <w:rPr>
                <w:rFonts w:ascii="Times New Roman" w:hAnsi="Times New Roman"/>
                <w:b/>
                <w:color w:val="000000"/>
                <w:sz w:val="19"/>
              </w:rPr>
              <w:t>Aspect</w:t>
            </w:r>
          </w:p>
        </w:tc>
        <w:tc>
          <w:tcPr>
            <w:tcW w:type="dxa" w:w="3888"/>
            <w:vAlign w:val="center"/>
            <w:shd w:fill="FFFFFF"/>
          </w:tcPr>
          <w:p>
            <w:r>
              <w:rPr>
                <w:rFonts w:ascii="Times New Roman" w:hAnsi="Times New Roman"/>
                <w:b/>
                <w:color w:val="000000"/>
                <w:sz w:val="19"/>
              </w:rPr>
              <w:t>Current Baseline N-XGB</w:t>
            </w:r>
          </w:p>
        </w:tc>
        <w:tc>
          <w:tcPr>
            <w:tcW w:type="dxa" w:w="3888"/>
            <w:vAlign w:val="center"/>
            <w:shd w:fill="FFFFFF"/>
          </w:tcPr>
          <w:p>
            <w:r>
              <w:rPr>
                <w:rFonts w:ascii="Times New Roman" w:hAnsi="Times New Roman"/>
                <w:b/>
                <w:color w:val="000000"/>
                <w:sz w:val="19"/>
              </w:rPr>
              <w:t>Proposed N-XGB + MGO</w:t>
            </w:r>
          </w:p>
        </w:tc>
      </w:tr>
      <w:tr>
        <w:tc>
          <w:tcPr>
            <w:tcW w:type="dxa" w:w="2304"/>
          </w:tcPr>
          <w:p>
            <w:r>
              <w:rPr>
                <w:rFonts w:ascii="Times New Roman" w:hAnsi="Times New Roman"/>
                <w:color w:val="000000"/>
                <w:sz w:val="19"/>
              </w:rPr>
              <w:t>Hyperparameter search</w:t>
            </w:r>
          </w:p>
        </w:tc>
        <w:tc>
          <w:tcPr>
            <w:tcW w:type="dxa" w:w="3888"/>
          </w:tcPr>
          <w:p>
            <w:r>
              <w:rPr>
                <w:rFonts w:ascii="Times New Roman" w:hAnsi="Times New Roman"/>
                <w:color w:val="000000"/>
                <w:sz w:val="19"/>
              </w:rPr>
              <w:t>GridSearchCV for selected XGBoost parameters</w:t>
            </w:r>
          </w:p>
        </w:tc>
        <w:tc>
          <w:tcPr>
            <w:tcW w:type="dxa" w:w="3888"/>
          </w:tcPr>
          <w:p>
            <w:r>
              <w:rPr>
                <w:rFonts w:ascii="Times New Roman" w:hAnsi="Times New Roman"/>
                <w:color w:val="000000"/>
                <w:sz w:val="19"/>
              </w:rPr>
              <w:t>MGO jointly searches selected NN + XGBoost parameters</w:t>
            </w:r>
          </w:p>
        </w:tc>
      </w:tr>
      <w:tr>
        <w:tc>
          <w:tcPr>
            <w:tcW w:type="dxa" w:w="2304"/>
          </w:tcPr>
          <w:p>
            <w:r>
              <w:rPr>
                <w:rFonts w:ascii="Times New Roman" w:hAnsi="Times New Roman"/>
                <w:color w:val="000000"/>
                <w:sz w:val="19"/>
              </w:rPr>
              <w:t>Search space</w:t>
            </w:r>
          </w:p>
        </w:tc>
        <w:tc>
          <w:tcPr>
            <w:tcW w:type="dxa" w:w="3888"/>
          </w:tcPr>
          <w:p>
            <w:r>
              <w:rPr>
                <w:rFonts w:ascii="Times New Roman" w:hAnsi="Times New Roman"/>
                <w:color w:val="000000"/>
                <w:sz w:val="19"/>
              </w:rPr>
              <w:t>27 fixed XGBoost combinations</w:t>
            </w:r>
          </w:p>
        </w:tc>
        <w:tc>
          <w:tcPr>
            <w:tcW w:type="dxa" w:w="3888"/>
          </w:tcPr>
          <w:p>
            <w:r>
              <w:rPr>
                <w:rFonts w:ascii="Times New Roman" w:hAnsi="Times New Roman"/>
                <w:color w:val="000000"/>
                <w:sz w:val="19"/>
              </w:rPr>
              <w:t>Joint continuous/discrete search space</w:t>
            </w:r>
          </w:p>
        </w:tc>
      </w:tr>
      <w:tr>
        <w:tc>
          <w:tcPr>
            <w:tcW w:type="dxa" w:w="2304"/>
          </w:tcPr>
          <w:p>
            <w:r>
              <w:rPr>
                <w:rFonts w:ascii="Times New Roman" w:hAnsi="Times New Roman"/>
                <w:color w:val="000000"/>
                <w:sz w:val="19"/>
              </w:rPr>
              <w:t>Primary fitness</w:t>
            </w:r>
          </w:p>
        </w:tc>
        <w:tc>
          <w:tcPr>
            <w:tcW w:type="dxa" w:w="3888"/>
          </w:tcPr>
          <w:p>
            <w:r>
              <w:rPr>
                <w:rFonts w:ascii="Times New Roman" w:hAnsi="Times New Roman"/>
                <w:color w:val="000000"/>
                <w:sz w:val="19"/>
              </w:rPr>
              <w:t>Weighted-F1 CV score in current baseline</w:t>
            </w:r>
          </w:p>
        </w:tc>
        <w:tc>
          <w:tcPr>
            <w:tcW w:type="dxa" w:w="3888"/>
          </w:tcPr>
          <w:p>
            <w:r>
              <w:rPr>
                <w:rFonts w:ascii="Times New Roman" w:hAnsi="Times New Roman"/>
                <w:color w:val="000000"/>
                <w:sz w:val="19"/>
              </w:rPr>
              <w:t>Validation macro-F1 of complete N-XGB pipeline</w:t>
            </w:r>
          </w:p>
        </w:tc>
      </w:tr>
      <w:tr>
        <w:tc>
          <w:tcPr>
            <w:tcW w:type="dxa" w:w="2304"/>
          </w:tcPr>
          <w:p>
            <w:r>
              <w:rPr>
                <w:rFonts w:ascii="Times New Roman" w:hAnsi="Times New Roman"/>
                <w:color w:val="000000"/>
                <w:sz w:val="19"/>
              </w:rPr>
              <w:t>Model architecture</w:t>
            </w:r>
          </w:p>
        </w:tc>
        <w:tc>
          <w:tcPr>
            <w:tcW w:type="dxa" w:w="3888"/>
          </w:tcPr>
          <w:p>
            <w:r>
              <w:rPr>
                <w:rFonts w:ascii="Times New Roman" w:hAnsi="Times New Roman"/>
                <w:color w:val="000000"/>
                <w:sz w:val="19"/>
              </w:rPr>
              <w:t>NN + XGBoost</w:t>
            </w:r>
          </w:p>
        </w:tc>
        <w:tc>
          <w:tcPr>
            <w:tcW w:type="dxa" w:w="3888"/>
          </w:tcPr>
          <w:p>
            <w:r>
              <w:rPr>
                <w:rFonts w:ascii="Times New Roman" w:hAnsi="Times New Roman"/>
                <w:color w:val="000000"/>
                <w:sz w:val="19"/>
              </w:rPr>
              <w:t>Same NN + XGBoost architecture</w:t>
            </w:r>
          </w:p>
        </w:tc>
      </w:tr>
      <w:tr>
        <w:tc>
          <w:tcPr>
            <w:tcW w:type="dxa" w:w="2304"/>
          </w:tcPr>
          <w:p>
            <w:r>
              <w:rPr>
                <w:rFonts w:ascii="Times New Roman" w:hAnsi="Times New Roman"/>
                <w:color w:val="000000"/>
                <w:sz w:val="19"/>
              </w:rPr>
              <w:t>SMOTE</w:t>
            </w:r>
          </w:p>
        </w:tc>
        <w:tc>
          <w:tcPr>
            <w:tcW w:type="dxa" w:w="3888"/>
          </w:tcPr>
          <w:p>
            <w:r>
              <w:rPr>
                <w:rFonts w:ascii="Times New Roman" w:hAnsi="Times New Roman"/>
                <w:color w:val="000000"/>
                <w:sz w:val="19"/>
              </w:rPr>
              <w:t>Training data only</w:t>
            </w:r>
          </w:p>
        </w:tc>
        <w:tc>
          <w:tcPr>
            <w:tcW w:type="dxa" w:w="3888"/>
          </w:tcPr>
          <w:p>
            <w:r>
              <w:rPr>
                <w:rFonts w:ascii="Times New Roman" w:hAnsi="Times New Roman"/>
                <w:color w:val="000000"/>
                <w:sz w:val="19"/>
              </w:rPr>
              <w:t>Same training-data procedure</w:t>
            </w:r>
          </w:p>
        </w:tc>
      </w:tr>
      <w:tr>
        <w:tc>
          <w:tcPr>
            <w:tcW w:type="dxa" w:w="2304"/>
          </w:tcPr>
          <w:p>
            <w:r>
              <w:rPr>
                <w:rFonts w:ascii="Times New Roman" w:hAnsi="Times New Roman"/>
                <w:color w:val="000000"/>
                <w:sz w:val="19"/>
              </w:rPr>
              <w:t>Balanced accuracy</w:t>
            </w:r>
          </w:p>
        </w:tc>
        <w:tc>
          <w:tcPr>
            <w:tcW w:type="dxa" w:w="3888"/>
          </w:tcPr>
          <w:p>
            <w:r>
              <w:rPr>
                <w:rFonts w:ascii="Times New Roman" w:hAnsi="Times New Roman"/>
                <w:color w:val="000000"/>
                <w:sz w:val="19"/>
              </w:rPr>
              <w:t>89.64% (N-XGB)</w:t>
            </w:r>
          </w:p>
        </w:tc>
        <w:tc>
          <w:tcPr>
            <w:tcW w:type="dxa" w:w="3888"/>
          </w:tcPr>
          <w:p>
            <w:r>
              <w:rPr>
                <w:rFonts w:ascii="Times New Roman" w:hAnsi="Times New Roman"/>
                <w:color w:val="000000"/>
                <w:sz w:val="19"/>
              </w:rPr>
              <w:t>To be measured after MGO</w:t>
            </w:r>
          </w:p>
        </w:tc>
      </w:tr>
      <w:tr>
        <w:tc>
          <w:tcPr>
            <w:tcW w:type="dxa" w:w="2304"/>
          </w:tcPr>
          <w:p>
            <w:r>
              <w:rPr>
                <w:rFonts w:ascii="Times New Roman" w:hAnsi="Times New Roman"/>
                <w:color w:val="000000"/>
                <w:sz w:val="19"/>
              </w:rPr>
              <w:t>Balanced macro ROC-AUC</w:t>
            </w:r>
          </w:p>
        </w:tc>
        <w:tc>
          <w:tcPr>
            <w:tcW w:type="dxa" w:w="3888"/>
          </w:tcPr>
          <w:p>
            <w:r>
              <w:rPr>
                <w:rFonts w:ascii="Times New Roman" w:hAnsi="Times New Roman"/>
                <w:color w:val="000000"/>
                <w:sz w:val="19"/>
              </w:rPr>
              <w:t>0.91082 (N-XGB)</w:t>
            </w:r>
          </w:p>
        </w:tc>
        <w:tc>
          <w:tcPr>
            <w:tcW w:type="dxa" w:w="3888"/>
          </w:tcPr>
          <w:p>
            <w:r>
              <w:rPr>
                <w:rFonts w:ascii="Times New Roman" w:hAnsi="Times New Roman"/>
                <w:color w:val="000000"/>
                <w:sz w:val="19"/>
              </w:rPr>
              <w:t>To be measured after MGO</w:t>
            </w:r>
          </w:p>
        </w:tc>
      </w:tr>
      <w:tr>
        <w:tc>
          <w:tcPr>
            <w:tcW w:type="dxa" w:w="2304"/>
          </w:tcPr>
          <w:p>
            <w:r>
              <w:rPr>
                <w:rFonts w:ascii="Times New Roman" w:hAnsi="Times New Roman"/>
                <w:color w:val="000000"/>
                <w:sz w:val="19"/>
              </w:rPr>
              <w:t>Imbalanced accuracy</w:t>
            </w:r>
          </w:p>
        </w:tc>
        <w:tc>
          <w:tcPr>
            <w:tcW w:type="dxa" w:w="3888"/>
          </w:tcPr>
          <w:p>
            <w:r>
              <w:rPr>
                <w:rFonts w:ascii="Times New Roman" w:hAnsi="Times New Roman"/>
                <w:color w:val="000000"/>
                <w:sz w:val="19"/>
              </w:rPr>
              <w:t>91.57% (N-XGB)</w:t>
            </w:r>
          </w:p>
        </w:tc>
        <w:tc>
          <w:tcPr>
            <w:tcW w:type="dxa" w:w="3888"/>
          </w:tcPr>
          <w:p>
            <w:r>
              <w:rPr>
                <w:rFonts w:ascii="Times New Roman" w:hAnsi="Times New Roman"/>
                <w:color w:val="000000"/>
                <w:sz w:val="19"/>
              </w:rPr>
              <w:t>To be measured after MGO</w:t>
            </w:r>
          </w:p>
        </w:tc>
      </w:tr>
      <w:tr>
        <w:tc>
          <w:tcPr>
            <w:tcW w:type="dxa" w:w="2304"/>
          </w:tcPr>
          <w:p>
            <w:r>
              <w:rPr>
                <w:rFonts w:ascii="Times New Roman" w:hAnsi="Times New Roman"/>
                <w:color w:val="000000"/>
                <w:sz w:val="19"/>
              </w:rPr>
              <w:t>Imbalanced macro ROC-AUC</w:t>
            </w:r>
          </w:p>
        </w:tc>
        <w:tc>
          <w:tcPr>
            <w:tcW w:type="dxa" w:w="3888"/>
          </w:tcPr>
          <w:p>
            <w:r>
              <w:rPr>
                <w:rFonts w:ascii="Times New Roman" w:hAnsi="Times New Roman"/>
                <w:color w:val="000000"/>
                <w:sz w:val="19"/>
              </w:rPr>
              <w:t>0.91535 (N-XGB)</w:t>
            </w:r>
          </w:p>
        </w:tc>
        <w:tc>
          <w:tcPr>
            <w:tcW w:type="dxa" w:w="3888"/>
          </w:tcPr>
          <w:p>
            <w:r>
              <w:rPr>
                <w:rFonts w:ascii="Times New Roman" w:hAnsi="Times New Roman"/>
                <w:color w:val="000000"/>
                <w:sz w:val="19"/>
              </w:rPr>
              <w:t>To be measured after MGO</w:t>
            </w:r>
          </w:p>
        </w:tc>
      </w:tr>
    </w:tbl>
    <w:p>
      <w:pPr>
        <w:pStyle w:val="Heading1"/>
      </w:pPr>
      <w:r>
        <w:rPr>
          <w:rFonts w:ascii="Times New Roman" w:hAnsi="Times New Roman"/>
          <w:color w:val="000000"/>
          <w:sz w:val="22"/>
        </w:rPr>
        <w:t>9. References</w:t>
      </w:r>
    </w:p>
    <w:p>
      <w:r>
        <w:rPr>
          <w:rFonts w:ascii="Times New Roman" w:hAnsi="Times New Roman"/>
          <w:color w:val="000000"/>
          <w:sz w:val="22"/>
        </w:rPr>
        <w:t>M. A. Saleem, A. Javeed, W. Benjapolakul, W. Srisiri, S. Chaitusaney, and P. Kaewplung, “Neural-XGBoost: A Hybrid Approach for Disaster Prediction and Management Using Machine Learning,” IEEE Access, vol. 13, 2025, DOI: 10.1109/ACCESS.2025.3569499.</w:t>
      </w:r>
    </w:p>
    <w:p>
      <w:r>
        <w:rPr>
          <w:rFonts w:ascii="Times New Roman" w:hAnsi="Times New Roman"/>
          <w:color w:val="000000"/>
          <w:sz w:val="22"/>
        </w:rPr>
        <w:t>T. Chen and C. Guestrin, “XGBoost: A Scalable Tree Boosting System,” Proceedings of the 22nd ACM SIGKDD International Conference on Knowledge Discovery and Data Mining, 2016, pp. 785-794.</w:t>
      </w:r>
    </w:p>
    <w:p>
      <w:r>
        <w:rPr>
          <w:rFonts w:ascii="Times New Roman" w:hAnsi="Times New Roman"/>
          <w:color w:val="000000"/>
          <w:sz w:val="22"/>
        </w:rPr>
        <w:t>N. V. Chawla, K. W. Bowyer, L. O. Hall, and W. P. Kegelmeyer, “SMOTE: Synthetic Minority Over-sampling Technique,” Journal of Artificial Intelligence Research, vol. 16, pp. 321-357, 2002.</w:t>
      </w:r>
    </w:p>
    <w:p/>
    <w:p>
      <w:pPr>
        <w:pStyle w:val="Note"/>
      </w:pPr>
      <w:r>
        <w:rPr>
          <w:color w:val="000000"/>
        </w:rPr>
        <w:t>Source note: This report was drafted from the uploaded Neural-XGBoost paper, the project discussion, the implementation code, and the measured model outputs supplied for this project. Published results are used as reference targets where appropriate; the confusion matrices and ROC-AUC values in Section 8 are from the current implementation.</w:t>
      </w:r>
    </w:p>
    <w:sectPr w:rsidR="00FC693F" w:rsidRPr="0006063C" w:rsidSect="00034616">
      <w:footerReference w:type="default" r:id="rId9"/>
      <w:headerReference w:type="default" r:id="rId1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000000"/>
      </w:rPr>
      <w:t xml:space="preserve">Page </w:t>
    </w:r>
    <w:r>
      <w:rPr>
        <w:color w:val="000000"/>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
    <w:name w:val="Note"/>
    <w:rPr>
      <w:rFonts w:ascii="Times New Roman" w:hAnsi="Times New Roman"/>
      <w:i/>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