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6ve59z89bkn" w:id="0"/>
      <w:bookmarkEnd w:id="0"/>
      <w:r w:rsidDel="00000000" w:rsidR="00000000" w:rsidRPr="00000000">
        <w:rPr>
          <w:b w:val="1"/>
          <w:bCs w:val="1"/>
          <w:sz w:val="46"/>
          <w:szCs w:val="46"/>
          <w:rtl w:val="0"/>
        </w:rPr>
        <w:t xml:space="preserve">Delego Wallet Dapp - ITERATION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ddfmpafx41o"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A lightweight, client-side Ethereum-compatible wallet DApp for the Sepolia test network. Users can connect their wallet (MetaMask or WalletConnect), view their Sepolia balance, and send a basic transaction. The app uses the provided Sepolia RPC URL to initialize the provider and perform read/write operations on Sepolia.</w:t>
      </w:r>
    </w:p>
    <w:p w:rsidR="00000000" w:rsidDel="00000000" w:rsidP="00000000" w:rsidRDefault="00000000" w:rsidRPr="00000000" w14:paraId="00000004">
      <w:pPr>
        <w:spacing w:after="240" w:before="240" w:lineRule="auto"/>
        <w:rPr/>
      </w:pPr>
      <w:r w:rsidDel="00000000" w:rsidR="00000000" w:rsidRPr="00000000">
        <w:rPr>
          <w:rtl w:val="0"/>
        </w:rPr>
        <w:t xml:space="preserve">In addition, this enhancement introduces integration with a factory contract that can create or expose a user-specific smart wallet. Users can create a new wallet via the factory or import an existing wallet address associated with their account. The app will listen for WalletCreated events from the factory and map owners to their wallets for quick access.</w:t>
      </w:r>
    </w:p>
    <w:p w:rsidR="00000000" w:rsidDel="00000000" w:rsidP="00000000" w:rsidRDefault="00000000" w:rsidRPr="00000000" w14:paraId="00000005">
      <w:pPr>
        <w:spacing w:after="240" w:before="240" w:lineRule="auto"/>
        <w:rPr/>
      </w:pPr>
      <w:r w:rsidDel="00000000" w:rsidR="00000000" w:rsidRPr="00000000">
        <w:rPr>
          <w:rtl w:val="0"/>
        </w:rPr>
        <w:t xml:space="preserve">This update also adds enhanced access control for smart wallets: the owner of a smart wallet (EOA) can grant or revoke access to other EOAs, allowing them to use the smart wallet for transfers. Delegated access is powered by the wallet's ABI (WALLET_ABI) and is reflected in the UI, state management, and transaction flow.</w:t>
      </w:r>
    </w:p>
    <w:p w:rsidR="00000000" w:rsidDel="00000000" w:rsidP="00000000" w:rsidRDefault="00000000" w:rsidRPr="00000000" w14:paraId="00000006">
      <w:pPr>
        <w:spacing w:after="240" w:before="240" w:lineRule="auto"/>
        <w:rPr/>
      </w:pPr>
      <w:r w:rsidDel="00000000" w:rsidR="00000000" w:rsidRPr="00000000">
        <w:rPr>
          <w:rtl w:val="0"/>
        </w:rPr>
        <w:t xml:space="preserve">The provider initialization now uses the following Sepolia RPC URL:</w:t>
      </w:r>
    </w:p>
    <w:p w:rsidR="00000000" w:rsidDel="00000000" w:rsidP="00000000" w:rsidRDefault="00000000" w:rsidRPr="00000000" w14:paraId="00000007">
      <w:pPr>
        <w:numPr>
          <w:ilvl w:val="0"/>
          <w:numId w:val="8"/>
        </w:numPr>
        <w:spacing w:after="240" w:before="240" w:lineRule="auto"/>
        <w:ind w:left="720" w:hanging="360"/>
      </w:pPr>
      <w:r w:rsidDel="00000000" w:rsidR="00000000" w:rsidRPr="00000000">
        <w:rPr>
          <w:rtl w:val="0"/>
        </w:rPr>
        <w:t xml:space="preserve">https://eth-sepolia.g.alchemy.com/v2/apikey</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sc5cv70sefw" w:id="2"/>
      <w:bookmarkEnd w:id="2"/>
      <w:r w:rsidDel="00000000" w:rsidR="00000000" w:rsidRPr="00000000">
        <w:rPr>
          <w:b w:val="1"/>
          <w:bCs w:val="1"/>
          <w:sz w:val="34"/>
          <w:szCs w:val="34"/>
          <w:rtl w:val="0"/>
        </w:rPr>
        <w:t xml:space="preserve">App Shell</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Layout:</w:t>
      </w:r>
      <w:r w:rsidDel="00000000" w:rsidR="00000000" w:rsidRPr="00000000">
        <w:rPr>
          <w:rtl w:val="0"/>
        </w:rPr>
        <w:t xml:space="preserve"> Single-page interface with a header (app name and network status), a left sidebar for wallet actions and status, and a main content area for account details and transaction workflow.</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Clean, minimal UI with a dark header, light content area, accent color (blue/teal) for primary actions, system fonts.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3v3wz57l17dk" w:id="3"/>
      <w:bookmarkEnd w:id="3"/>
      <w:r w:rsidDel="00000000" w:rsidR="00000000" w:rsidRPr="00000000">
        <w:rPr>
          <w:b w:val="1"/>
          <w:bCs w:val="1"/>
          <w:sz w:val="34"/>
          <w:szCs w:val="34"/>
          <w:rtl w:val="0"/>
        </w:rPr>
        <w:t xml:space="preserve">Features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g6600wtxoze" w:id="4"/>
      <w:bookmarkEnd w:id="4"/>
      <w:r w:rsidDel="00000000" w:rsidR="00000000" w:rsidRPr="00000000">
        <w:rPr>
          <w:b w:val="1"/>
          <w:bCs w:val="1"/>
          <w:color w:val="000000"/>
          <w:sz w:val="26"/>
          <w:szCs w:val="26"/>
          <w:rtl w:val="0"/>
        </w:rPr>
        <w:t xml:space="preserve">Connect Wallet</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Establish a wallet connection to Sepolia via the provided RPC, supporting MetaMask and WalletConnect.</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Wallet connector panel in the sidebar showing a prominent “Connect Wallet” button and a status badge (Disconnected / Connected to [account]).</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Flow:</w:t>
      </w:r>
    </w:p>
    <w:p w:rsidR="00000000" w:rsidDel="00000000" w:rsidP="00000000" w:rsidRDefault="00000000" w:rsidRPr="00000000" w14:paraId="00000010">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User clicks Connect Wallet → prompts wallet selection (MetaMask/WalletConnect) → user approves → app stores and displays connected account address.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ofbz9uotw3jf" w:id="5"/>
      <w:bookmarkEnd w:id="5"/>
      <w:r w:rsidDel="00000000" w:rsidR="00000000" w:rsidRPr="00000000">
        <w:rPr>
          <w:b w:val="1"/>
          <w:bCs w:val="1"/>
          <w:color w:val="000000"/>
          <w:sz w:val="26"/>
          <w:szCs w:val="26"/>
          <w:rtl w:val="0"/>
        </w:rPr>
        <w:t xml:space="preserve">View Account &amp; Network</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Display connected account, Sepolia network status, and chain ID.</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Card in main content showing: Address (shortened), Balance (ETH), Network name, Chain ID.</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On connection or network change, update account address, balance, and network info.</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3ps0cjl9tq1" w:id="6"/>
      <w:bookmarkEnd w:id="6"/>
      <w:r w:rsidDel="00000000" w:rsidR="00000000" w:rsidRPr="00000000">
        <w:rPr>
          <w:b w:val="1"/>
          <w:bCs w:val="1"/>
          <w:color w:val="000000"/>
          <w:sz w:val="26"/>
          <w:szCs w:val="26"/>
          <w:rtl w:val="0"/>
        </w:rPr>
        <w:t xml:space="preserve">Read Balance</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Retrieve and display the current ETH balance for the connected account on Sepolia.</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Balance field in account card with real-time (or on-demand) refresh button.</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Fonts w:ascii="Arial Unicode MS" w:cs="Arial Unicode MS" w:eastAsia="Arial Unicode MS" w:hAnsi="Arial Unicode MS"/>
          <w:rtl w:val="0"/>
        </w:rPr>
        <w:t xml:space="preserve"> User opens app or clicks Refresh → app queries balance via Sepolia RPC → balance displayed in ETH with 6 decimals.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o923spzek59" w:id="7"/>
      <w:bookmarkEnd w:id="7"/>
      <w:r w:rsidDel="00000000" w:rsidR="00000000" w:rsidRPr="00000000">
        <w:rPr>
          <w:b w:val="1"/>
          <w:bCs w:val="1"/>
          <w:color w:val="000000"/>
          <w:sz w:val="26"/>
          <w:szCs w:val="26"/>
          <w:rtl w:val="0"/>
        </w:rPr>
        <w:t xml:space="preserve">Send Transaction (Basic)</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Send a basic ETH transfer on Sepolia from the connected account.</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Send form in a dedicated panel with fields: Recipient Address, Amount (ETH), Gas (optional presets), and Send button.</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Flow:</w:t>
      </w:r>
    </w:p>
    <w:p w:rsidR="00000000" w:rsidDel="00000000" w:rsidP="00000000" w:rsidRDefault="00000000" w:rsidRPr="00000000" w14:paraId="0000001D">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User enters recipient and amount → clicks Send → app prompts wallet for confirmation via connected provider → user approves → transaction hash is displayed and pending status tracked.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lmdlbomwji" w:id="8"/>
      <w:bookmarkEnd w:id="8"/>
      <w:r w:rsidDel="00000000" w:rsidR="00000000" w:rsidRPr="00000000">
        <w:rPr>
          <w:b w:val="1"/>
          <w:bCs w:val="1"/>
          <w:color w:val="000000"/>
          <w:sz w:val="26"/>
          <w:szCs w:val="26"/>
          <w:rtl w:val="0"/>
        </w:rPr>
        <w:t xml:space="preserve">Transaction Status &amp; Receipt</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Show basic transaction status after sending.</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Status line with transaction hash (link to Sepolia explorer), status indicator (Pending / Confirmed), and a “Copy” option.</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Fonts w:ascii="Arial Unicode MS" w:cs="Arial Unicode MS" w:eastAsia="Arial Unicode MS" w:hAnsi="Arial Unicode MS"/>
          <w:rtl w:val="0"/>
        </w:rPr>
        <w:t xml:space="preserve"> After Send, poll or listen for confirmation → update status and show receipt link.</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ub1vqrn0ou1w" w:id="9"/>
      <w:bookmarkEnd w:id="9"/>
      <w:r w:rsidDel="00000000" w:rsidR="00000000" w:rsidRPr="00000000">
        <w:rPr>
          <w:b w:val="1"/>
          <w:bCs w:val="1"/>
          <w:color w:val="000000"/>
          <w:sz w:val="26"/>
          <w:szCs w:val="26"/>
          <w:rtl w:val="0"/>
        </w:rPr>
        <w:t xml:space="preserve">Pending Network &amp; Provider Initialization</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Initialize a provider using the given Sepolia RPC URL and ensure all operations run on Sepolia.</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Network badge in header showing Sepolia; error messages if provider cannot be reached.</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Fonts w:ascii="Arial Unicode MS" w:cs="Arial Unicode MS" w:eastAsia="Arial Unicode MS" w:hAnsi="Arial Unicode MS"/>
          <w:rtl w:val="0"/>
        </w:rPr>
        <w:t xml:space="preserve"> On app load, configure provider with the supplied RPC URL → verify network → proceed with wallet connection.</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