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29261b"/>
          <w:sz w:val="23"/>
          <w:szCs w:val="23"/>
        </w:rPr>
      </w:pPr>
      <w:sdt>
        <w:sdtPr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color w:val="29261b"/>
              <w:sz w:val="23"/>
              <w:szCs w:val="23"/>
              <w:rtl w:val="0"/>
            </w:rPr>
            <w:t xml:space="preserve">1️⃣ Executive Summary (Consumer 360)</w:t>
          </w:r>
        </w:sdtContent>
      </w:sdt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29261b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9261b"/>
          <w:sz w:val="23"/>
          <w:szCs w:val="23"/>
          <w:rtl w:val="0"/>
        </w:rPr>
        <w:t xml:space="preserve">KPI Type           KPIs  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29261b"/>
          <w:sz w:val="23"/>
          <w:szCs w:val="23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9261b"/>
              <w:sz w:val="23"/>
              <w:szCs w:val="23"/>
              <w:rtl w:val="0"/>
            </w:rPr>
            <w:t xml:space="preserve">Card KPIs ✅    Total Consumers, New Consumers (MoM Growth), Repeat Purchase Rate, </w:t>
          </w:r>
        </w:sdtContent>
      </w:sdt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Customer Lifetime Value(</w:t>
      </w:r>
      <w:r w:rsidDel="00000000" w:rsidR="00000000" w:rsidRPr="00000000">
        <w:rPr>
          <w:rFonts w:ascii="Roboto" w:cs="Roboto" w:eastAsia="Roboto" w:hAnsi="Roboto"/>
          <w:color w:val="29261b"/>
          <w:sz w:val="23"/>
          <w:szCs w:val="23"/>
          <w:rtl w:val="0"/>
        </w:rPr>
        <w:t xml:space="preserve">CLV), Average Basket Size, Average Order Value (AOV), Net Promoter Score (NPS), Churn Rate  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9261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9261b"/>
          <w:sz w:val="23"/>
          <w:szCs w:val="23"/>
          <w:rtl w:val="0"/>
        </w:rPr>
        <w:t xml:space="preserve">Graph  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      Channel Preference (Pie Chart ) , Consumer Segmentation ( Stacked Bar Chart) , </w:t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KPIs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     Purchase Frequency Trend (Line Chart) , Geo-wise consumer  Distribution (Map </w:t>
      </w:r>
    </w:p>
    <w:p w:rsidR="00000000" w:rsidDel="00000000" w:rsidP="00000000" w:rsidRDefault="00000000" w:rsidRPr="00000000" w14:paraId="0000000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                 Chart)           </w:t>
      </w:r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2️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Category Summary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1155"/>
        <w:gridCol w:w="8205"/>
        <w:tblGridChange w:id="0">
          <w:tblGrid>
            <w:gridCol w:w="1155"/>
            <w:gridCol w:w="8205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Top Performing Categories, Category with Highest Growth, Most Purchased Product in 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Category Contribution to Revenue (Pie+ Chart), Category-wise Purchase Frequency (Line Chart), Category Switching Behavior (Sankey Diagram), Category-wise AOV (Stacked Bar Chart), Top Consumer Segments per Category (Heatmap)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3️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Regional Summary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1015"/>
        <w:gridCol w:w="8345"/>
        <w:tblGridChange w:id="0">
          <w:tblGrid>
            <w:gridCol w:w="1015"/>
            <w:gridCol w:w="83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Top Performing Region (Revenue), Highest Repeat Customers Region, Region with Highest New Customers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Region-wise Sales Performance (Map Chart), Region-wise AOV &amp; Basket Size (Bar Chart), Top Regions for Repeat Customers (Stacked Bar Chart), Sales Trend by Region (Line Chart)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Ind w:w="195.0" w:type="dxa"/>
        <w:tblLayout w:type="fixed"/>
        <w:tblLook w:val="0400"/>
      </w:tblPr>
      <w:tblGrid>
        <w:gridCol w:w="1125"/>
        <w:gridCol w:w="8040"/>
        <w:tblGridChange w:id="0">
          <w:tblGrid>
            <w:gridCol w:w="1125"/>
            <w:gridCol w:w="80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4️</w:t>
            </w: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⃣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Chanel         Summary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837890625000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KPIs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Top Revenue-Generating Channel, Channel with Highest AOV, Highest Growth Channel (MoM%)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Sales Split by Channel (Pie Chart), Repeat Purchase Rate per Channel (Stacked Bar Chart), Avg. Basket Size per Channel (Column Chart), Marketing Effectiveness per Channel (Heatmap)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5️</w:t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 </w:t>
          </w:r>
        </w:sdtContent>
      </w:sdt>
      <w:r w:rsidDel="00000000" w:rsidR="00000000" w:rsidRPr="00000000">
        <w:rPr>
          <w:b w:val="1"/>
          <w:rtl w:val="0"/>
        </w:rPr>
        <w:t xml:space="preserve">Consumer Behavior Insights</w:t>
      </w:r>
    </w:p>
    <w:tbl>
      <w:tblPr>
        <w:tblStyle w:val="Table4"/>
        <w:tblW w:w="9585.0" w:type="dxa"/>
        <w:jc w:val="left"/>
        <w:tblInd w:w="-225.0" w:type="dxa"/>
        <w:tblLayout w:type="fixed"/>
        <w:tblLook w:val="0400"/>
      </w:tblPr>
      <w:tblGrid>
        <w:gridCol w:w="1380"/>
        <w:gridCol w:w="8205"/>
        <w:tblGridChange w:id="0">
          <w:tblGrid>
            <w:gridCol w:w="1380"/>
            <w:gridCol w:w="8205"/>
          </w:tblGrid>
        </w:tblGridChange>
      </w:tblGrid>
      <w:tr>
        <w:trPr>
          <w:cantSplit w:val="0"/>
          <w:trHeight w:val="553.837890625000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Most Engaged Consumer Segment, Highest Spending Consumer Segment, Top Cross-Purchased Product, Cart Abandonment Rate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Time of Day Analysis (Bar Chart), Promo Sensitivity (Histogram)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color w:val="29261b"/>
        </w:rPr>
      </w:pPr>
      <w:r w:rsidDel="00000000" w:rsidR="00000000" w:rsidRPr="00000000">
        <w:rPr>
          <w:b w:val="1"/>
          <w:rtl w:val="0"/>
        </w:rPr>
        <w:t xml:space="preserve">6️</w:t>
      </w: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  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color w:val="29261b"/>
          <w:rtl w:val="0"/>
        </w:rPr>
        <w:t xml:space="preserve">Consumer Sentiment Analysis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color w:val="29261b"/>
        </w:rPr>
      </w:pPr>
      <w:r w:rsidDel="00000000" w:rsidR="00000000" w:rsidRPr="00000000">
        <w:rPr>
          <w:rFonts w:ascii="Arial" w:cs="Arial" w:eastAsia="Arial" w:hAnsi="Arial"/>
          <w:b w:val="1"/>
          <w:color w:val="29261b"/>
          <w:rtl w:val="0"/>
        </w:rPr>
        <w:t xml:space="preserve">KPI Type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color w:val="29261b"/>
        </w:rPr>
      </w:pPr>
      <w:r w:rsidDel="00000000" w:rsidR="00000000" w:rsidRPr="00000000">
        <w:rPr>
          <w:rFonts w:ascii="Arial" w:cs="Arial" w:eastAsia="Arial" w:hAnsi="Arial"/>
          <w:b w:val="1"/>
          <w:color w:val="29261b"/>
          <w:rtl w:val="0"/>
        </w:rPr>
        <w:t xml:space="preserve">KPIs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color w:val="29261b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29261b"/>
              <w:rtl w:val="0"/>
            </w:rPr>
            <w:t xml:space="preserve">Card KPIs ✅</w:t>
          </w:r>
        </w:sdtContent>
      </w:sdt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color w:val="29261b"/>
        </w:rPr>
      </w:pPr>
      <w:r w:rsidDel="00000000" w:rsidR="00000000" w:rsidRPr="00000000">
        <w:rPr>
          <w:rFonts w:ascii="Arial" w:cs="Arial" w:eastAsia="Arial" w:hAnsi="Arial"/>
          <w:b w:val="1"/>
          <w:color w:val="29261b"/>
          <w:rtl w:val="0"/>
        </w:rPr>
        <w:t xml:space="preserve">Overall Sentiment Score, Most Positive Reviewed Product, Most Negative Reviewed Product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color w:val="29261b"/>
        </w:rPr>
      </w:pPr>
      <w:r w:rsidDel="00000000" w:rsidR="00000000" w:rsidRPr="00000000">
        <w:rPr>
          <w:rFonts w:ascii="Arial" w:cs="Arial" w:eastAsia="Arial" w:hAnsi="Arial"/>
          <w:b w:val="1"/>
          <w:color w:val="29261b"/>
          <w:rtl w:val="0"/>
        </w:rPr>
        <w:t xml:space="preserve">Graph KPIs 📊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color w:val="29261b"/>
        </w:rPr>
      </w:pPr>
      <w:r w:rsidDel="00000000" w:rsidR="00000000" w:rsidRPr="00000000">
        <w:rPr>
          <w:rFonts w:ascii="Arial" w:cs="Arial" w:eastAsia="Arial" w:hAnsi="Arial"/>
          <w:b w:val="1"/>
          <w:color w:val="29261b"/>
          <w:rtl w:val="0"/>
        </w:rPr>
        <w:t xml:space="preserve">Positive vs. Negative Reviews (Pie Chart), Social Media Engagement (Line Chart), Most Discussed Products (Word Cloud)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7️</w:t>
      </w: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Loyalty &amp; Retention Analysis</w:t>
      </w:r>
    </w:p>
    <w:tbl>
      <w:tblPr>
        <w:tblStyle w:val="Table5"/>
        <w:tblW w:w="9165.0" w:type="dxa"/>
        <w:jc w:val="left"/>
        <w:tblLayout w:type="fixed"/>
        <w:tblLook w:val="0400"/>
      </w:tblPr>
      <w:tblGrid>
        <w:gridCol w:w="1545"/>
        <w:gridCol w:w="7620"/>
        <w:tblGridChange w:id="0">
          <w:tblGrid>
            <w:gridCol w:w="1545"/>
            <w:gridCol w:w="76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Loyalty Program Participation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Redemption Rate</w:t>
            </w:r>
            <w:r w:rsidDel="00000000" w:rsidR="00000000" w:rsidRPr="00000000">
              <w:rPr>
                <w:rtl w:val="0"/>
              </w:rPr>
              <w:t xml:space="preserve">, Top Benefit Used in Loyalty Program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Churn Rate by Segment (Line Chart) ,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Win-back Campaign Success Rate (Column Chart)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8️</w:t>
      </w: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Profit &amp; Loss (P&amp;L)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400"/>
      </w:tblPr>
      <w:tblGrid>
        <w:gridCol w:w="974"/>
        <w:gridCol w:w="8386"/>
        <w:tblGridChange w:id="0">
          <w:tblGrid>
            <w:gridCol w:w="974"/>
            <w:gridCol w:w="8386"/>
          </w:tblGrid>
        </w:tblGridChange>
      </w:tblGrid>
      <w:tr>
        <w:trPr>
          <w:cantSplit w:val="0"/>
          <w:trHeight w:val="1198.837890625000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KPIs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Total Revenue, Gross Profit, Net Profit, Cost of Goods Sold (COGS), Operating Expenses, Profit Margin 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Revenue Trend Over Time (Line Chart), Expense Breakdown (Pie Chart), Gross vs. Net Profit Trend (Stacked Area Chart), Region-wise Revenue Contribution (Bar Chart), Top Cost Drivers (Column Chart)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9️</w:t>
      </w: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Additional Consumer 360 Insights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Demographic Insights</w:t>
      </w:r>
    </w:p>
    <w:tbl>
      <w:tblPr>
        <w:tblStyle w:val="Table7"/>
        <w:tblW w:w="9435.0" w:type="dxa"/>
        <w:jc w:val="left"/>
        <w:tblInd w:w="-75.0" w:type="dxa"/>
        <w:tblLayout w:type="fixed"/>
        <w:tblLook w:val="0400"/>
      </w:tblPr>
      <w:tblGrid>
        <w:gridCol w:w="1290"/>
        <w:gridCol w:w="8145"/>
        <w:tblGridChange w:id="0">
          <w:tblGrid>
            <w:gridCol w:w="1290"/>
            <w:gridCol w:w="8145"/>
          </w:tblGrid>
        </w:tblGridChange>
      </w:tblGrid>
      <w:tr>
        <w:trPr>
          <w:cantSplit w:val="0"/>
          <w:trHeight w:val="808.837890625000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Age Group Distribution, Gender Ratio, Income Level Breakdown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Age &amp; Gender Split (Pie Chart), Income Level Distribution (Bar Chart), Geographic Consumer Spread (Heatmap)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 Acquisition Cost (CAC)</w:t>
      </w:r>
    </w:p>
    <w:tbl>
      <w:tblPr>
        <w:tblStyle w:val="Table8"/>
        <w:tblW w:w="9360.0" w:type="dxa"/>
        <w:jc w:val="left"/>
        <w:tblLayout w:type="fixed"/>
        <w:tblLook w:val="0400"/>
      </w:tblPr>
      <w:tblGrid>
        <w:gridCol w:w="1290"/>
        <w:gridCol w:w="8070"/>
        <w:tblGridChange w:id="0">
          <w:tblGrid>
            <w:gridCol w:w="1290"/>
            <w:gridCol w:w="80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Cost per Acquisition (CPA), Cost per Channel, ROI on Marketing Spend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CAC Trend Over Time (Line Chart), CAC by Channel (Stacked Bar Chart), ROI per Campaign (Column Chart)</w:t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 Journey Mapping</w:t>
      </w:r>
    </w:p>
    <w:tbl>
      <w:tblPr>
        <w:tblStyle w:val="Table9"/>
        <w:tblW w:w="9360.0" w:type="dxa"/>
        <w:jc w:val="left"/>
        <w:tblLayout w:type="fixed"/>
        <w:tblLook w:val="0400"/>
      </w:tblPr>
      <w:tblGrid>
        <w:gridCol w:w="1275"/>
        <w:gridCol w:w="8085"/>
        <w:tblGridChange w:id="0">
          <w:tblGrid>
            <w:gridCol w:w="1275"/>
            <w:gridCol w:w="808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KPIs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Most Common Touchpoints, Average Time to Conversion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Graph KPIs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Journey Flow from Awareness to Purchase (Sankey Diagram), Drop-off Rates at Each Stage (Funnel Chart)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Summary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structured KPI framework ensures </w:t>
      </w:r>
      <w:r w:rsidDel="00000000" w:rsidR="00000000" w:rsidRPr="00000000">
        <w:rPr>
          <w:b w:val="1"/>
          <w:rtl w:val="0"/>
        </w:rPr>
        <w:t xml:space="preserve">each tab</w:t>
      </w:r>
      <w:r w:rsidDel="00000000" w:rsidR="00000000" w:rsidRPr="00000000">
        <w:rPr>
          <w:rtl w:val="0"/>
        </w:rPr>
        <w:t xml:space="preserve"> has:</w:t>
        <w:br w:type="textWrapping"/>
      </w: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Quick Insights with Card KPIs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Detailed Trends with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document is ready for implementation in your dashboard!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 Unicode MS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144F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144F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144F7"/>
    <w:pPr>
      <w:keepNext w:val="1"/>
      <w:keepLines w:val="1"/>
      <w:spacing w:after="80" w:before="160"/>
      <w:outlineLvl w:val="2"/>
    </w:pPr>
    <w:rPr>
      <w:rFonts w:cstheme="majorBidi" w:eastAsiaTheme="majorEastAsia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144F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365f9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144F7"/>
    <w:pPr>
      <w:keepNext w:val="1"/>
      <w:keepLines w:val="1"/>
      <w:spacing w:after="40" w:before="80"/>
      <w:outlineLvl w:val="4"/>
    </w:pPr>
    <w:rPr>
      <w:rFonts w:cstheme="majorBidi" w:eastAsiaTheme="majorEastAsia"/>
      <w:color w:val="365f9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144F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44F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44F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44F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44F7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144F7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44F7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44F7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44F7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44F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44F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44F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44F7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144F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44F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144F7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44F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44F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44F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144F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44F7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44F7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44F7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44F7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2" Type="http://schemas.openxmlformats.org/officeDocument/2006/relationships/font" Target="fonts/QuattrocentoSans-boldItalic.ttf"/><Relationship Id="rId9" Type="http://schemas.openxmlformats.org/officeDocument/2006/relationships/font" Target="fonts/Quattrocento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zmOkhIMFuEmiSLc0OH+1yWGUUg==">CgMxLjAaGwoBMBIWChQIB0IQCgZSb2JvdG8SBkFuZGlrYRolCgExEiAKHggHQhoKBlJvYm90b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JQoCMTESHwodCAdCGQoFQXJpYWw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2025-03-13T10:05:00Z</dcterms:created>
  <dc:creator>Aritra Sengupta</dc:creator>
</cp:coreProperties>
</file>