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Arial" w:cs="Arial" w:eastAsia="Arial" w:hAnsi="Arial"/>
          <w:b/>
          <w:bCs/>
          <w:color w:val="1F3864"/>
          <w:sz w:val="44"/>
          <w:szCs w:val="44"/>
        </w:rPr>
        <w:t xml:space="preserve">Multi-Stage RF Downscaling Framework</w:t>
      </w:r>
    </w:p>
    <w:p>
      <w:pPr>
        <w:spacing w:before="0" w:after="80"/>
      </w:pPr>
      <w:r>
        <w:rPr>
          <w:rFonts w:ascii="Arial" w:cs="Arial" w:eastAsia="Arial" w:hAnsi="Arial"/>
          <w:color w:val="595959"/>
          <w:sz w:val="24"/>
          <w:szCs w:val="24"/>
        </w:rPr>
        <w:t xml:space="preserve">Workflow Document — Nepal Daily Precipitation (1990–2019)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6E4F0" w:val="clear"/>
            <w:tcMar>
              <w:top w:type="dxa" w:w="80"/>
              <w:left w:type="dxa" w:w="110"/>
              <w:bottom w:type="dxa" w:w="80"/>
              <w:right w:type="dxa" w:w="80"/>
            </w:tcMar>
          </w:tcPr>
          <w:p>
            <w:pPr>
              <w:spacing w:before="0" w:after="20"/>
            </w:pPr>
            <w:r>
              <w:rPr>
                <w:rFonts w:ascii="Arial" w:cs="Arial" w:eastAsia="Arial" w:hAnsi="Arial"/>
                <w:b/>
                <w:bCs/>
                <w:color w:val="1F3864"/>
                <w:sz w:val="17"/>
                <w:szCs w:val="17"/>
              </w:rPr>
              <w:t xml:space="preserve">Study Area</w:t>
            </w:r>
          </w:p>
          <w:p>
            <w:pPr>
              <w:spacing w:before="0" w:after="0"/>
            </w:pPr>
            <w:r>
              <w:rPr>
                <w:rFonts w:ascii="Arial" w:cs="Arial" w:eastAsia="Arial" w:hAnsi="Arial"/>
                <w:sz w:val="17"/>
                <w:szCs w:val="17"/>
              </w:rPr>
              <w:t xml:space="preserve">Nepal  26.3°–30.5°N, 80.0°–88.2°E</w:t>
            </w:r>
          </w:p>
        </w:tc>
        <w:tc>
          <w:tcPr>
            <w:tcW w:type="dxa" w:w="2340"/>
            <w:tcBorders>
              <w:top w:val="single" w:color="CCCCCC" w:sz="1"/>
              <w:left w:val="single" w:color="CCCCCC" w:sz="1"/>
              <w:bottom w:val="single" w:color="CCCCCC" w:sz="1"/>
              <w:right w:val="single" w:color="CCCCCC" w:sz="1"/>
            </w:tcBorders>
            <w:shd w:fill="D6E4F0" w:val="clear"/>
            <w:tcMar>
              <w:top w:type="dxa" w:w="80"/>
              <w:left w:type="dxa" w:w="110"/>
              <w:bottom w:type="dxa" w:w="80"/>
              <w:right w:type="dxa" w:w="80"/>
            </w:tcMar>
          </w:tcPr>
          <w:p>
            <w:pPr>
              <w:spacing w:before="0" w:after="20"/>
            </w:pPr>
            <w:r>
              <w:rPr>
                <w:rFonts w:ascii="Arial" w:cs="Arial" w:eastAsia="Arial" w:hAnsi="Arial"/>
                <w:b/>
                <w:bCs/>
                <w:color w:val="1F3864"/>
                <w:sz w:val="17"/>
                <w:szCs w:val="17"/>
              </w:rPr>
              <w:t xml:space="preserve">Period</w:t>
            </w:r>
          </w:p>
          <w:p>
            <w:pPr>
              <w:spacing w:before="0" w:after="0"/>
            </w:pPr>
            <w:r>
              <w:rPr>
                <w:rFonts w:ascii="Arial" w:cs="Arial" w:eastAsia="Arial" w:hAnsi="Arial"/>
                <w:sz w:val="17"/>
                <w:szCs w:val="17"/>
              </w:rPr>
              <w:t xml:space="preserve">1990–2019  (30 years, daily)</w:t>
            </w:r>
          </w:p>
        </w:tc>
        <w:tc>
          <w:tcPr>
            <w:tcW w:type="dxa" w:w="2340"/>
            <w:tcBorders>
              <w:top w:val="single" w:color="CCCCCC" w:sz="1"/>
              <w:left w:val="single" w:color="CCCCCC" w:sz="1"/>
              <w:bottom w:val="single" w:color="CCCCCC" w:sz="1"/>
              <w:right w:val="single" w:color="CCCCCC" w:sz="1"/>
            </w:tcBorders>
            <w:shd w:fill="D6E4F0" w:val="clear"/>
            <w:tcMar>
              <w:top w:type="dxa" w:w="80"/>
              <w:left w:type="dxa" w:w="110"/>
              <w:bottom w:type="dxa" w:w="80"/>
              <w:right w:type="dxa" w:w="80"/>
            </w:tcMar>
          </w:tcPr>
          <w:p>
            <w:pPr>
              <w:spacing w:before="0" w:after="20"/>
            </w:pPr>
            <w:r>
              <w:rPr>
                <w:rFonts w:ascii="Arial" w:cs="Arial" w:eastAsia="Arial" w:hAnsi="Arial"/>
                <w:b/>
                <w:bCs/>
                <w:color w:val="1F3864"/>
                <w:sz w:val="17"/>
                <w:szCs w:val="17"/>
              </w:rPr>
              <w:t xml:space="preserve">Target Output</w:t>
            </w:r>
          </w:p>
          <w:p>
            <w:pPr>
              <w:spacing w:before="0" w:after="0"/>
            </w:pPr>
            <w:r>
              <w:rPr>
                <w:rFonts w:ascii="Arial" w:cs="Arial" w:eastAsia="Arial" w:hAnsi="Arial"/>
                <w:sz w:val="17"/>
                <w:szCs w:val="17"/>
              </w:rPr>
              <w:t xml:space="preserve">1 km daily precipitation</w:t>
            </w:r>
          </w:p>
        </w:tc>
        <w:tc>
          <w:tcPr>
            <w:tcW w:type="dxa" w:w="2340"/>
            <w:tcBorders>
              <w:top w:val="single" w:color="CCCCCC" w:sz="1"/>
              <w:left w:val="single" w:color="CCCCCC" w:sz="1"/>
              <w:bottom w:val="single" w:color="CCCCCC" w:sz="1"/>
              <w:right w:val="single" w:color="CCCCCC" w:sz="1"/>
            </w:tcBorders>
            <w:shd w:fill="D6E4F0" w:val="clear"/>
            <w:tcMar>
              <w:top w:type="dxa" w:w="80"/>
              <w:left w:type="dxa" w:w="110"/>
              <w:bottom w:type="dxa" w:w="80"/>
              <w:right w:type="dxa" w:w="80"/>
            </w:tcMar>
          </w:tcPr>
          <w:p>
            <w:pPr>
              <w:spacing w:before="0" w:after="20"/>
            </w:pPr>
            <w:r>
              <w:rPr>
                <w:rFonts w:ascii="Arial" w:cs="Arial" w:eastAsia="Arial" w:hAnsi="Arial"/>
                <w:b/>
                <w:bCs/>
                <w:color w:val="1F3864"/>
                <w:sz w:val="17"/>
                <w:szCs w:val="17"/>
              </w:rPr>
              <w:t xml:space="preserve">Core Method</w:t>
            </w:r>
          </w:p>
          <w:p>
            <w:pPr>
              <w:spacing w:before="0" w:after="0"/>
            </w:pPr>
            <w:r>
              <w:rPr>
                <w:rFonts w:ascii="Arial" w:cs="Arial" w:eastAsia="Arial" w:hAnsi="Arial"/>
                <w:sz w:val="17"/>
                <w:szCs w:val="17"/>
              </w:rPr>
              <w:t xml:space="preserve">Cluster → Classify → Regress + Residual Kriging</w:t>
            </w:r>
          </w:p>
        </w:tc>
      </w:tr>
    </w:tbl>
    <w:p>
      <w:pPr>
        <w:spacing w:before="120" w:after="0"/>
      </w:pPr>
      <w:r>
        <w:rPr>
          <w:rFonts w:ascii="Arial" w:cs="Arial" w:eastAsia="Arial" w:hAnsi="Arial"/>
          <w:sz w:val="20"/>
          <w:szCs w:val="20"/>
        </w:rPr>
        <w:t xml:space="preserve"/>
      </w:r>
    </w:p>
    <w:p>
      <w:pPr>
        <w:pStyle w:val="Heading1"/>
      </w:pPr>
      <w:r>
        <w:rPr>
          <w:rFonts w:ascii="Arial" w:cs="Arial" w:eastAsia="Arial" w:hAnsi="Arial"/>
          <w:b/>
          <w:bCs/>
          <w:color w:val="1F3864"/>
          <w:sz w:val="26"/>
          <w:szCs w:val="26"/>
        </w:rPr>
        <w:t xml:space="preserve">1.  Overview &amp; Design Rationale</w:t>
      </w:r>
    </w:p>
    <w:p>
      <w:pPr>
        <w:spacing w:before="60" w:after="80"/>
        <w:jc w:val="both"/>
      </w:pPr>
      <w:r>
        <w:rPr>
          <w:rFonts w:ascii="Arial" w:cs="Arial" w:eastAsia="Arial" w:hAnsi="Arial"/>
          <w:sz w:val="20"/>
          <w:szCs w:val="20"/>
        </w:rPr>
        <w:t xml:space="preserve">This framework produces a 1 km daily gridded precipitation dataset for Nepal by fusing five multi-source products — ERA5-Land (11 km), CHIRPS v2.0 (5 km), HARv2 (10 km), MSWEP v2.8 (10 km), PERSIANN-CDR (25 km) — with in-situ gauge observations through a hierarchical Random Forest pipeline. The pipeline comprises </w:t>
      </w:r>
      <w:r>
        <w:rPr>
          <w:rFonts w:ascii="Arial" w:cs="Arial" w:eastAsia="Arial" w:hAnsi="Arial"/>
          <w:b/>
          <w:bCs/>
          <w:color w:val="1F3864"/>
          <w:sz w:val="20"/>
          <w:szCs w:val="20"/>
        </w:rPr>
        <w:t xml:space="preserve">five modules</w:t>
      </w:r>
      <w:r>
        <w:rPr>
          <w:rFonts w:ascii="Arial" w:cs="Arial" w:eastAsia="Arial" w:hAnsi="Arial"/>
          <w:sz w:val="20"/>
          <w:szCs w:val="20"/>
        </w:rPr>
        <w:t xml:space="preserve">: M1 (QC &amp; acquisition), M2 (accuracy assessment &amp; predictor prep), M3 (clustering, geostatistics &amp; kriging), M4 (downscaled product validation), and M5 (multi-stage RF/XGBoost downscaling &amp; calibration). Modules 1–3 are complete.</w:t>
      </w:r>
    </w:p>
    <w:p>
      <w:pPr>
        <w:spacing w:before="60" w:after="80"/>
        <w:jc w:val="both"/>
      </w:pPr>
      <w:r>
        <w:rPr>
          <w:rFonts w:ascii="Arial" w:cs="Arial" w:eastAsia="Arial" w:hAnsi="Arial"/>
          <w:sz w:val="20"/>
          <w:szCs w:val="20"/>
        </w:rPr>
        <w:t xml:space="preserve">Accuracy assessment (Script 4_1) identified </w:t>
      </w:r>
      <w:r>
        <w:rPr>
          <w:rFonts w:ascii="Arial" w:cs="Arial" w:eastAsia="Arial" w:hAnsi="Arial"/>
          <w:b/>
          <w:bCs/>
          <w:color w:val="1F3864"/>
          <w:sz w:val="20"/>
          <w:szCs w:val="20"/>
        </w:rPr>
        <w:t xml:space="preserve">ERA5-Land as the best-performing product at daily scale</w:t>
      </w:r>
      <w:r>
        <w:rPr>
          <w:rFonts w:ascii="Arial" w:cs="Arial" w:eastAsia="Arial" w:hAnsi="Arial"/>
          <w:sz w:val="20"/>
          <w:szCs w:val="20"/>
        </w:rPr>
        <w:t xml:space="preserve"> over Nepal. Accordingly, daily ERA5-Land fields kriged to 1 km serve as the spatial autocorrelation predictor (X_s) in all RF models — a gridded, station-independent field that encodes background precipitation structure without target-leakage (Chen et al., 2021; Hengl et al., 2018). Residual calibration follows standard Regression Kriging (Waongo et al.,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5"/>
              <w:left w:val="single" w:color="2E75B6" w:sz="5"/>
              <w:bottom w:val="single" w:color="2E75B6" w:sz="5"/>
              <w:right w:val="single" w:color="2E75B6" w:sz="5"/>
            </w:tcBorders>
            <w:shd w:fill="D6E4F0" w:val="clear"/>
            <w:tcMar>
              <w:top w:type="dxa" w:w="90"/>
              <w:left w:type="dxa" w:w="160"/>
              <w:bottom w:type="dxa" w:w="90"/>
              <w:right w:type="dxa" w:w="160"/>
            </w:tcMar>
          </w:tcPr>
          <w:p>
            <w:r>
              <w:rPr>
                <w:rFonts w:ascii="Arial" w:cs="Arial" w:eastAsia="Arial" w:hAnsi="Arial"/>
                <w:b/>
                <w:bCs/>
                <w:color w:val="2E75B6"/>
                <w:sz w:val="20"/>
                <w:szCs w:val="20"/>
              </w:rPr>
              <w:t xml:space="preserve">Architecture: </w:t>
            </w:r>
            <w:r>
              <w:rPr>
                <w:rFonts w:ascii="Arial" w:cs="Arial" w:eastAsia="Arial" w:hAnsi="Arial"/>
                <w:sz w:val="19"/>
                <w:szCs w:val="19"/>
              </w:rPr>
              <w:t xml:space="preserve">Spatial clustering (M3) → Intensity classification RF/XGB (M5-Step 1) → Per-stratum RF regression (M5-Step 2) → Residual kriging calibration (M5-Step 3) → Final validation against held-out test stations (M4).</w:t>
            </w:r>
          </w:p>
        </w:tc>
      </w:tr>
    </w:tbl>
    <w:p>
      <w:pPr>
        <w:spacing w:before="120" w:after="0"/>
      </w:pPr>
      <w:r>
        <w:rPr>
          <w:rFonts w:ascii="Arial" w:cs="Arial" w:eastAsia="Arial" w:hAnsi="Arial"/>
          <w:sz w:val="20"/>
          <w:szCs w:val="20"/>
        </w:rPr>
        <w:t xml:space="preserve"/>
      </w:r>
    </w:p>
    <w:p>
      <w:pPr>
        <w:pStyle w:val="Heading1"/>
      </w:pPr>
      <w:r>
        <w:rPr>
          <w:rFonts w:ascii="Arial" w:cs="Arial" w:eastAsia="Arial" w:hAnsi="Arial"/>
          <w:b/>
          <w:bCs/>
          <w:color w:val="1F3864"/>
          <w:sz w:val="26"/>
          <w:szCs w:val="26"/>
        </w:rPr>
        <w:t xml:space="preserve">2.  Module 1 — In-Situ QC &amp; Multi-Source Acquisition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6360"/>
        <w:gridCol w:w="1900"/>
      </w:tblGrid>
      <w:tr>
        <w:tc>
          <w:tcPr>
            <w:tcW w:type="dxa" w:w="1100"/>
            <w:tcBorders>
              <w:top w:val="none" w:color="FFFFFF" w:sz="0"/>
              <w:left w:val="none" w:color="FFFFFF" w:sz="0"/>
              <w:bottom w:val="none" w:color="FFFFFF" w:sz="0"/>
              <w:right w:val="none" w:color="FFFFFF" w:sz="0"/>
            </w:tcBorders>
            <w:shd w:fill="1E6B3C" w:val="clear"/>
            <w:tcMar>
              <w:top w:type="dxa" w:w="100"/>
              <w:left w:type="dxa" w:w="140"/>
              <w:bottom w:type="dxa" w:w="100"/>
              <w:right w:type="dxa" w:w="80"/>
            </w:tcMar>
          </w:tcPr>
          <w:p>
            <w:pPr>
              <w:jc w:val="center"/>
            </w:pPr>
            <w:r>
              <w:rPr>
                <w:rFonts w:ascii="Arial" w:cs="Arial" w:eastAsia="Arial" w:hAnsi="Arial"/>
                <w:b/>
                <w:bCs/>
                <w:color w:val="FFFFFF"/>
                <w:sz w:val="28"/>
                <w:szCs w:val="28"/>
              </w:rPr>
              <w:t xml:space="preserve">M1</w:t>
            </w:r>
          </w:p>
        </w:tc>
        <w:tc>
          <w:tcPr>
            <w:tcW w:type="dxa" w:w="6360"/>
            <w:tcBorders>
              <w:top w:val="none" w:color="FFFFFF" w:sz="0"/>
              <w:left w:val="none" w:color="FFFFFF" w:sz="0"/>
              <w:bottom w:val="none" w:color="FFFFFF" w:sz="0"/>
              <w:right w:val="none" w:color="FFFFFF" w:sz="0"/>
            </w:tcBorders>
            <w:shd w:fill="1E6B3C" w:val="clear"/>
            <w:tcMar>
              <w:top w:type="dxa" w:w="100"/>
              <w:left w:type="dxa" w:w="80"/>
              <w:bottom w:type="dxa" w:w="100"/>
              <w:right w:type="dxa" w:w="80"/>
            </w:tcMar>
          </w:tcPr>
          <w:p>
            <w:r>
              <w:rPr>
                <w:rFonts w:ascii="Arial" w:cs="Arial" w:eastAsia="Arial" w:hAnsi="Arial"/>
                <w:b/>
                <w:bCs/>
                <w:color w:val="FFFFFF"/>
                <w:sz w:val="22"/>
                <w:szCs w:val="22"/>
              </w:rPr>
              <w:t xml:space="preserve">In-Situ Quality Control &amp; Multi-Source Data Acquisition</w:t>
            </w:r>
          </w:p>
        </w:tc>
        <w:tc>
          <w:tcPr>
            <w:tcW w:type="dxa" w:w="1900"/>
            <w:tcBorders>
              <w:top w:val="none" w:color="FFFFFF" w:sz="0"/>
              <w:left w:val="none" w:color="FFFFFF" w:sz="0"/>
              <w:bottom w:val="none" w:color="FFFFFF" w:sz="0"/>
              <w:right w:val="none" w:color="FFFFFF" w:sz="0"/>
            </w:tcBorders>
            <w:shd w:fill="1E6B3C" w:val="clear"/>
            <w:tcMar>
              <w:top w:type="dxa" w:w="100"/>
              <w:left w:type="dxa" w:w="80"/>
              <w:bottom w:type="dxa" w:w="100"/>
              <w:right w:type="dxa" w:w="140"/>
            </w:tcMar>
          </w:tcPr>
          <w:p>
            <w:pPr>
              <w:jc w:val="right"/>
            </w:pPr>
            <w:r>
              <w:rPr>
                <w:rFonts w:ascii="Arial" w:cs="Arial" w:eastAsia="Arial" w:hAnsi="Arial"/>
                <w:i/>
                <w:iCs/>
                <w:color w:val="FFFFFF"/>
                <w:sz w:val="18"/>
                <w:szCs w:val="18"/>
              </w:rPr>
              <w:t xml:space="preserve">✓ Complete</w:t>
            </w:r>
          </w:p>
        </w:tc>
      </w:tr>
    </w:tbl>
    <w:p>
      <w:pPr>
        <w:spacing w:before="6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
        <w:gridCol w:w="1700"/>
        <w:gridCol w:w="1900"/>
        <w:gridCol w:w="3880"/>
        <w:gridCol w:w="1600"/>
      </w:tblGrid>
      <w:tr>
        <w:tc>
          <w:tcPr>
            <w:tcW w:type="dxa" w:w="28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w:t>
            </w:r>
          </w:p>
        </w:tc>
        <w:tc>
          <w:tcPr>
            <w:tcW w:type="dxa" w:w="17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Script</w:t>
            </w:r>
          </w:p>
        </w:tc>
        <w:tc>
          <w:tcPr>
            <w:tcW w:type="dxa" w:w="19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Step</w:t>
            </w:r>
          </w:p>
        </w:tc>
        <w:tc>
          <w:tcPr>
            <w:tcW w:type="dxa" w:w="388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Description</w:t>
            </w:r>
          </w:p>
        </w:tc>
        <w:tc>
          <w:tcPr>
            <w:tcW w:type="dxa" w:w="16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Key Literature</w:t>
            </w:r>
          </w:p>
        </w:tc>
      </w:tr>
      <w:tr>
        <w:tc>
          <w:tcPr>
            <w:tcW w:type="dxa" w:w="2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center"/>
            </w:pPr>
            <w:r>
              <w:rPr>
                <w:rFonts w:ascii="Arial" w:cs="Arial" w:eastAsia="Arial" w:hAnsi="Arial"/>
                <w:b/>
                <w:bCs/>
                <w:color w:val="2E75B6"/>
                <w:sz w:val="20"/>
                <w:szCs w:val="20"/>
              </w:rPr>
              <w:t xml:space="preserve">1</w:t>
            </w:r>
          </w:p>
        </w:tc>
        <w:tc>
          <w:tcPr>
            <w:tcW w:type="dxa" w:w="17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1_1_qc_insitu_prec.ipynb</w:t>
            </w:r>
          </w:p>
        </w:tc>
        <w:tc>
          <w:tcPr>
            <w:tcW w:type="dxa" w:w="19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9"/>
                <w:szCs w:val="19"/>
              </w:rPr>
              <w:t xml:space="preserve">Station QC</w:t>
            </w:r>
          </w:p>
        </w:tc>
        <w:tc>
          <w:tcPr>
            <w:tcW w:type="dxa" w:w="38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sz w:val="18"/>
                <w:szCs w:val="18"/>
              </w:rPr>
              <w:t xml:space="preserve">Missing value imputation, statistical outlier detection (IQR + spatial consistency), and temporal homogeneity testing across Nepal gauge network. Flags and removes unreliable station-days before any modelling.</w:t>
            </w:r>
          </w:p>
        </w:tc>
        <w:tc>
          <w:tcPr>
            <w:tcW w:type="dxa" w:w="16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i/>
                <w:iCs/>
                <w:color w:val="595959"/>
                <w:sz w:val="16"/>
                <w:szCs w:val="16"/>
              </w:rPr>
              <w:t xml:space="preserve">WMO Guidelines; Dangol et al. (2022)</w:t>
            </w:r>
          </w:p>
        </w:tc>
      </w:tr>
      <w:tr>
        <w:tc>
          <w:tcPr>
            <w:tcW w:type="dxa" w:w="2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center"/>
            </w:pPr>
            <w:r>
              <w:rPr>
                <w:rFonts w:ascii="Arial" w:cs="Arial" w:eastAsia="Arial" w:hAnsi="Arial"/>
                <w:b/>
                <w:bCs/>
                <w:color w:val="2E75B6"/>
                <w:sz w:val="20"/>
                <w:szCs w:val="20"/>
              </w:rPr>
              <w:t xml:space="preserve">2</w:t>
            </w:r>
          </w:p>
        </w:tc>
        <w:tc>
          <w:tcPr>
            <w:tcW w:type="dxa" w:w="17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2_1 to 2_5 downloads</w:t>
            </w:r>
          </w:p>
        </w:tc>
        <w:tc>
          <w:tcPr>
            <w:tcW w:type="dxa" w:w="19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9"/>
                <w:szCs w:val="19"/>
              </w:rPr>
              <w:t xml:space="preserve">Multi-Source Acquisition</w:t>
            </w:r>
          </w:p>
        </w:tc>
        <w:tc>
          <w:tcPr>
            <w:tcW w:type="dxa" w:w="38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sz w:val="18"/>
                <w:szCs w:val="18"/>
              </w:rPr>
              <w:t xml:space="preserve">Parallel download of all five gridded products via GEE (ERA5-Land, CHIRPS, PERSIANN-CDR, HARv2) and Google Drive (MSWEP). Daily GeoTIFF stacks clipped to Nepal extent (26.3°–30.5°N, 80.0°–88.2°E). Resumable pipeline avoids redundant API calls.</w:t>
            </w:r>
          </w:p>
        </w:tc>
        <w:tc>
          <w:tcPr>
            <w:tcW w:type="dxa" w:w="16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i/>
                <w:iCs/>
                <w:color w:val="595959"/>
                <w:sz w:val="16"/>
                <w:szCs w:val="16"/>
              </w:rPr>
              <w:t xml:space="preserve">Beck et al. (2019); Funk et al. (2015); Ashouri et al. (2015)</w:t>
            </w:r>
          </w:p>
        </w:tc>
      </w:tr>
      <w:tr>
        <w:tc>
          <w:tcPr>
            <w:tcW w:type="dxa" w:w="2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center"/>
            </w:pPr>
            <w:r>
              <w:rPr>
                <w:rFonts w:ascii="Arial" w:cs="Arial" w:eastAsia="Arial" w:hAnsi="Arial"/>
                <w:b/>
                <w:bCs/>
                <w:color w:val="2E75B6"/>
                <w:sz w:val="20"/>
                <w:szCs w:val="20"/>
              </w:rPr>
              <w:t xml:space="preserve">3</w:t>
            </w:r>
          </w:p>
        </w:tc>
        <w:tc>
          <w:tcPr>
            <w:tcW w:type="dxa" w:w="17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2_6_download_era5L_sec.py</w:t>
            </w:r>
          </w:p>
        </w:tc>
        <w:tc>
          <w:tcPr>
            <w:tcW w:type="dxa" w:w="19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9"/>
                <w:szCs w:val="19"/>
              </w:rPr>
              <w:t xml:space="preserve">Atmospheric Predictors</w:t>
            </w:r>
          </w:p>
        </w:tc>
        <w:tc>
          <w:tcPr>
            <w:tcW w:type="dxa" w:w="38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sz w:val="18"/>
                <w:szCs w:val="18"/>
              </w:rPr>
              <w:t xml:space="preserve">ERA5-Land secondary variables: 10m wind components (u, v), dewpoint temperature, surface pressure. Provide synoptic forcing signals — critical for monsoon onset/withdrawal prediction in RF feature set.</w:t>
            </w:r>
          </w:p>
        </w:tc>
        <w:tc>
          <w:tcPr>
            <w:tcW w:type="dxa" w:w="16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i/>
                <w:iCs/>
                <w:color w:val="595959"/>
                <w:sz w:val="16"/>
                <w:szCs w:val="16"/>
              </w:rPr>
              <w:t xml:space="preserve">Muñoz-Sabater et al. (2021)</w:t>
            </w:r>
          </w:p>
        </w:tc>
      </w:tr>
      <w:tr>
        <w:tc>
          <w:tcPr>
            <w:tcW w:type="dxa" w:w="2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center"/>
            </w:pPr>
            <w:r>
              <w:rPr>
                <w:rFonts w:ascii="Arial" w:cs="Arial" w:eastAsia="Arial" w:hAnsi="Arial"/>
                <w:b/>
                <w:bCs/>
                <w:color w:val="2E75B6"/>
                <w:sz w:val="20"/>
                <w:szCs w:val="20"/>
              </w:rPr>
              <w:t xml:space="preserve">4</w:t>
            </w:r>
          </w:p>
        </w:tc>
        <w:tc>
          <w:tcPr>
            <w:tcW w:type="dxa" w:w="17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2_7_download_modis_sec.py</w:t>
            </w:r>
          </w:p>
        </w:tc>
        <w:tc>
          <w:tcPr>
            <w:tcW w:type="dxa" w:w="19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9"/>
                <w:szCs w:val="19"/>
              </w:rPr>
              <w:t xml:space="preserve">MODIS EVI &amp; LST</w:t>
            </w:r>
          </w:p>
        </w:tc>
        <w:tc>
          <w:tcPr>
            <w:tcW w:type="dxa" w:w="38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sz w:val="18"/>
                <w:szCs w:val="18"/>
              </w:rPr>
              <w:t xml:space="preserve">8-day LST (MOD11A2) and 16-day EVI at 1 km via GEE; aggregated to daily/monthly. LST (day/night/difference) outranks NDVI as a precipitation predictor (Jing et al., 2016). EVI preferred over NDVI for Nepal's mixed vegetation.</w:t>
            </w:r>
          </w:p>
        </w:tc>
        <w:tc>
          <w:tcPr>
            <w:tcW w:type="dxa" w:w="16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i/>
                <w:iCs/>
                <w:color w:val="595959"/>
                <w:sz w:val="16"/>
                <w:szCs w:val="16"/>
              </w:rPr>
              <w:t xml:space="preserve">Jing et al. (2016); Wan et al. (2015)</w:t>
            </w:r>
          </w:p>
        </w:tc>
      </w:tr>
      <w:tr>
        <w:tc>
          <w:tcPr>
            <w:tcW w:type="dxa" w:w="2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center"/>
            </w:pPr>
            <w:r>
              <w:rPr>
                <w:rFonts w:ascii="Arial" w:cs="Arial" w:eastAsia="Arial" w:hAnsi="Arial"/>
                <w:b/>
                <w:bCs/>
                <w:color w:val="2E75B6"/>
                <w:sz w:val="20"/>
                <w:szCs w:val="20"/>
              </w:rPr>
              <w:t xml:space="preserve">5</w:t>
            </w:r>
          </w:p>
        </w:tc>
        <w:tc>
          <w:tcPr>
            <w:tcW w:type="dxa" w:w="17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2_9 + 2_10</w:t>
            </w:r>
          </w:p>
        </w:tc>
        <w:tc>
          <w:tcPr>
            <w:tcW w:type="dxa" w:w="19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9"/>
                <w:szCs w:val="19"/>
              </w:rPr>
              <w:t xml:space="preserve">DEM &amp; Wind-Fetch Variables</w:t>
            </w:r>
          </w:p>
        </w:tc>
        <w:tc>
          <w:tcPr>
            <w:tcW w:type="dxa" w:w="38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sz w:val="18"/>
                <w:szCs w:val="18"/>
              </w:rPr>
              <w:t xml:space="preserve">SRTM 90m processed to 1 km: mean/std/min/max elevation, slope, aspect. WhiteboxTools computes local relief and wind-fetch (distance + direction to ridgelines) to capture orographic precipitation enhancement — especially important for Nepal's steep south-facing slopes.</w:t>
            </w:r>
          </w:p>
        </w:tc>
        <w:tc>
          <w:tcPr>
            <w:tcW w:type="dxa" w:w="16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i/>
                <w:iCs/>
                <w:color w:val="595959"/>
                <w:sz w:val="16"/>
                <w:szCs w:val="16"/>
              </w:rPr>
              <w:t xml:space="preserve">Yin et al. (2008); Zhang et al. (2019)</w:t>
            </w:r>
          </w:p>
        </w:tc>
      </w:tr>
    </w:tbl>
    <w:p>
      <w:pPr>
        <w:spacing w:before="140" w:after="0"/>
      </w:pPr>
      <w:r>
        <w:rPr>
          <w:rFonts w:ascii="Arial" w:cs="Arial" w:eastAsia="Arial" w:hAnsi="Arial"/>
          <w:sz w:val="20"/>
          <w:szCs w:val="20"/>
        </w:rPr>
        <w:t xml:space="preserve"/>
      </w:r>
    </w:p>
    <w:p>
      <w:pPr>
        <w:pStyle w:val="Heading1"/>
      </w:pPr>
      <w:r>
        <w:rPr>
          <w:rFonts w:ascii="Arial" w:cs="Arial" w:eastAsia="Arial" w:hAnsi="Arial"/>
          <w:b/>
          <w:bCs/>
          <w:color w:val="1F3864"/>
          <w:sz w:val="26"/>
          <w:szCs w:val="26"/>
        </w:rPr>
        <w:t xml:space="preserve">3.  Module 2 — Accuracy Assessment &amp; Predictor Preparation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6360"/>
        <w:gridCol w:w="1900"/>
      </w:tblGrid>
      <w:tr>
        <w:tc>
          <w:tcPr>
            <w:tcW w:type="dxa" w:w="1100"/>
            <w:tcBorders>
              <w:top w:val="none" w:color="FFFFFF" w:sz="0"/>
              <w:left w:val="none" w:color="FFFFFF" w:sz="0"/>
              <w:bottom w:val="none" w:color="FFFFFF" w:sz="0"/>
              <w:right w:val="none" w:color="FFFFFF" w:sz="0"/>
            </w:tcBorders>
            <w:shd w:fill="2E75B6" w:val="clear"/>
            <w:tcMar>
              <w:top w:type="dxa" w:w="100"/>
              <w:left w:type="dxa" w:w="140"/>
              <w:bottom w:type="dxa" w:w="100"/>
              <w:right w:type="dxa" w:w="80"/>
            </w:tcMar>
          </w:tcPr>
          <w:p>
            <w:pPr>
              <w:jc w:val="center"/>
            </w:pPr>
            <w:r>
              <w:rPr>
                <w:rFonts w:ascii="Arial" w:cs="Arial" w:eastAsia="Arial" w:hAnsi="Arial"/>
                <w:b/>
                <w:bCs/>
                <w:color w:val="FFFFFF"/>
                <w:sz w:val="28"/>
                <w:szCs w:val="28"/>
              </w:rPr>
              <w:t xml:space="preserve">M2</w:t>
            </w:r>
          </w:p>
        </w:tc>
        <w:tc>
          <w:tcPr>
            <w:tcW w:type="dxa" w:w="6360"/>
            <w:tcBorders>
              <w:top w:val="none" w:color="FFFFFF" w:sz="0"/>
              <w:left w:val="none" w:color="FFFFFF" w:sz="0"/>
              <w:bottom w:val="none" w:color="FFFFFF" w:sz="0"/>
              <w:right w:val="none" w:color="FFFFFF" w:sz="0"/>
            </w:tcBorders>
            <w:shd w:fill="2E75B6" w:val="clear"/>
            <w:tcMar>
              <w:top w:type="dxa" w:w="100"/>
              <w:left w:type="dxa" w:w="80"/>
              <w:bottom w:type="dxa" w:w="100"/>
              <w:right w:type="dxa" w:w="80"/>
            </w:tcMar>
          </w:tcPr>
          <w:p>
            <w:r>
              <w:rPr>
                <w:rFonts w:ascii="Arial" w:cs="Arial" w:eastAsia="Arial" w:hAnsi="Arial"/>
                <w:b/>
                <w:bCs/>
                <w:color w:val="FFFFFF"/>
                <w:sz w:val="22"/>
                <w:szCs w:val="22"/>
              </w:rPr>
              <w:t xml:space="preserve">Accuracy Assessment &amp; Predictor Preparation</w:t>
            </w:r>
          </w:p>
        </w:tc>
        <w:tc>
          <w:tcPr>
            <w:tcW w:type="dxa" w:w="1900"/>
            <w:tcBorders>
              <w:top w:val="none" w:color="FFFFFF" w:sz="0"/>
              <w:left w:val="none" w:color="FFFFFF" w:sz="0"/>
              <w:bottom w:val="none" w:color="FFFFFF" w:sz="0"/>
              <w:right w:val="none" w:color="FFFFFF" w:sz="0"/>
            </w:tcBorders>
            <w:shd w:fill="2E75B6" w:val="clear"/>
            <w:tcMar>
              <w:top w:type="dxa" w:w="100"/>
              <w:left w:type="dxa" w:w="80"/>
              <w:bottom w:type="dxa" w:w="100"/>
              <w:right w:type="dxa" w:w="140"/>
            </w:tcMar>
          </w:tcPr>
          <w:p>
            <w:pPr>
              <w:jc w:val="right"/>
            </w:pPr>
            <w:r>
              <w:rPr>
                <w:rFonts w:ascii="Arial" w:cs="Arial" w:eastAsia="Arial" w:hAnsi="Arial"/>
                <w:i/>
                <w:iCs/>
                <w:color w:val="FFFFFF"/>
                <w:sz w:val="18"/>
                <w:szCs w:val="18"/>
              </w:rPr>
              <w:t xml:space="preserve">✓ Complete</w:t>
            </w:r>
          </w:p>
        </w:tc>
      </w:tr>
    </w:tbl>
    <w:p>
      <w:pPr>
        <w:spacing w:before="6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
        <w:gridCol w:w="1700"/>
        <w:gridCol w:w="1900"/>
        <w:gridCol w:w="3880"/>
        <w:gridCol w:w="1600"/>
      </w:tblGrid>
      <w:tr>
        <w:tc>
          <w:tcPr>
            <w:tcW w:type="dxa" w:w="28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w:t>
            </w:r>
          </w:p>
        </w:tc>
        <w:tc>
          <w:tcPr>
            <w:tcW w:type="dxa" w:w="17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Script</w:t>
            </w:r>
          </w:p>
        </w:tc>
        <w:tc>
          <w:tcPr>
            <w:tcW w:type="dxa" w:w="19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Step</w:t>
            </w:r>
          </w:p>
        </w:tc>
        <w:tc>
          <w:tcPr>
            <w:tcW w:type="dxa" w:w="388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Description</w:t>
            </w:r>
          </w:p>
        </w:tc>
        <w:tc>
          <w:tcPr>
            <w:tcW w:type="dxa" w:w="16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Key Literature</w:t>
            </w:r>
          </w:p>
        </w:tc>
      </w:tr>
      <w:tr>
        <w:tc>
          <w:tcPr>
            <w:tcW w:type="dxa" w:w="2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center"/>
            </w:pPr>
            <w:r>
              <w:rPr>
                <w:rFonts w:ascii="Arial" w:cs="Arial" w:eastAsia="Arial" w:hAnsi="Arial"/>
                <w:b/>
                <w:bCs/>
                <w:color w:val="2E75B6"/>
                <w:sz w:val="20"/>
                <w:szCs w:val="20"/>
              </w:rPr>
              <w:t xml:space="preserve">6</w:t>
            </w:r>
          </w:p>
        </w:tc>
        <w:tc>
          <w:tcPr>
            <w:tcW w:type="dxa" w:w="17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4_1_assess_accuracy.ipynb</w:t>
            </w:r>
          </w:p>
        </w:tc>
        <w:tc>
          <w:tcPr>
            <w:tcW w:type="dxa" w:w="19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9"/>
                <w:szCs w:val="19"/>
              </w:rPr>
              <w:t xml:space="preserve">Multi-Product Accuracy Assessment</w:t>
            </w:r>
          </w:p>
        </w:tc>
        <w:tc>
          <w:tcPr>
            <w:tcW w:type="dxa" w:w="38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sz w:val="18"/>
                <w:szCs w:val="18"/>
              </w:rPr>
              <w:t xml:space="preserve">Continuous (RMSE, R², NSE, KGE, MAE) and categorical (POD, FAR, CSI) evaluation of all five gridded products against gauge observations at daily, monthly, and annual scales. ERA5-Land confirmed as top performer — the key result that justifies its use as the spatial autocorrelation predictor in M5.</w:t>
            </w:r>
          </w:p>
        </w:tc>
        <w:tc>
          <w:tcPr>
            <w:tcW w:type="dxa" w:w="16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i/>
                <w:iCs/>
                <w:color w:val="595959"/>
                <w:sz w:val="16"/>
                <w:szCs w:val="16"/>
              </w:rPr>
              <w:t xml:space="preserve">Sun et al. (2018); Dangol et al. (2022)</w:t>
            </w:r>
          </w:p>
        </w:tc>
      </w:tr>
      <w:tr>
        <w:tc>
          <w:tcPr>
            <w:tcW w:type="dxa" w:w="2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center"/>
            </w:pPr>
            <w:r>
              <w:rPr>
                <w:rFonts w:ascii="Arial" w:cs="Arial" w:eastAsia="Arial" w:hAnsi="Arial"/>
                <w:b/>
                <w:bCs/>
                <w:color w:val="2E75B6"/>
                <w:sz w:val="20"/>
                <w:szCs w:val="20"/>
              </w:rPr>
              <w:t xml:space="preserve">7</w:t>
            </w:r>
          </w:p>
        </w:tc>
        <w:tc>
          <w:tcPr>
            <w:tcW w:type="dxa" w:w="17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3_1_1_var_prep.ipynb</w:t>
            </w:r>
          </w:p>
        </w:tc>
        <w:tc>
          <w:tcPr>
            <w:tcW w:type="dxa" w:w="19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9"/>
                <w:szCs w:val="19"/>
              </w:rPr>
              <w:t xml:space="preserve">Climatological Raster Generation</w:t>
            </w:r>
          </w:p>
        </w:tc>
        <w:tc>
          <w:tcPr>
            <w:tcW w:type="dxa" w:w="38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sz w:val="18"/>
                <w:szCs w:val="18"/>
              </w:rPr>
              <w:t xml:space="preserve">21+ predictor rasters at 1 km: monthly/seasonal climatologies of DEM derivatives, MODIS LST/EVI, and ERA5-Land precipitation and atmospheric fields. Serve as static feature inputs to RF clustering weights and downscaling models.</w:t>
            </w:r>
          </w:p>
        </w:tc>
        <w:tc>
          <w:tcPr>
            <w:tcW w:type="dxa" w:w="16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i/>
                <w:iCs/>
                <w:color w:val="595959"/>
                <w:sz w:val="16"/>
                <w:szCs w:val="16"/>
              </w:rPr>
              <w:t xml:space="preserve">Chen et al. (2021); Jing et al. (2016)</w:t>
            </w:r>
          </w:p>
        </w:tc>
      </w:tr>
    </w:tbl>
    <w:p>
      <w:pPr>
        <w:spacing w:before="140" w:after="0"/>
      </w:pPr>
      <w:r>
        <w:rPr>
          <w:rFonts w:ascii="Arial" w:cs="Arial" w:eastAsia="Arial" w:hAnsi="Arial"/>
          <w:sz w:val="20"/>
          <w:szCs w:val="20"/>
        </w:rPr>
        <w:t xml:space="preserve"/>
      </w:r>
    </w:p>
    <w:p>
      <w:pPr>
        <w:pStyle w:val="Heading1"/>
      </w:pPr>
      <w:r>
        <w:rPr>
          <w:rFonts w:ascii="Arial" w:cs="Arial" w:eastAsia="Arial" w:hAnsi="Arial"/>
          <w:b/>
          <w:bCs/>
          <w:color w:val="1F3864"/>
          <w:sz w:val="26"/>
          <w:szCs w:val="26"/>
        </w:rPr>
        <w:t xml:space="preserve">4.  Module 3 — Clustering, Geostatistics &amp; Kriging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6360"/>
        <w:gridCol w:w="1900"/>
      </w:tblGrid>
      <w:tr>
        <w:tc>
          <w:tcPr>
            <w:tcW w:type="dxa" w:w="1100"/>
            <w:tcBorders>
              <w:top w:val="none" w:color="FFFFFF" w:sz="0"/>
              <w:left w:val="none" w:color="FFFFFF" w:sz="0"/>
              <w:bottom w:val="none" w:color="FFFFFF" w:sz="0"/>
              <w:right w:val="none" w:color="FFFFFF" w:sz="0"/>
            </w:tcBorders>
            <w:shd w:fill="BF5700" w:val="clear"/>
            <w:tcMar>
              <w:top w:type="dxa" w:w="100"/>
              <w:left w:type="dxa" w:w="140"/>
              <w:bottom w:type="dxa" w:w="100"/>
              <w:right w:type="dxa" w:w="80"/>
            </w:tcMar>
          </w:tcPr>
          <w:p>
            <w:pPr>
              <w:jc w:val="center"/>
            </w:pPr>
            <w:r>
              <w:rPr>
                <w:rFonts w:ascii="Arial" w:cs="Arial" w:eastAsia="Arial" w:hAnsi="Arial"/>
                <w:b/>
                <w:bCs/>
                <w:color w:val="FFFFFF"/>
                <w:sz w:val="28"/>
                <w:szCs w:val="28"/>
              </w:rPr>
              <w:t xml:space="preserve">M3</w:t>
            </w:r>
          </w:p>
        </w:tc>
        <w:tc>
          <w:tcPr>
            <w:tcW w:type="dxa" w:w="6360"/>
            <w:tcBorders>
              <w:top w:val="none" w:color="FFFFFF" w:sz="0"/>
              <w:left w:val="none" w:color="FFFFFF" w:sz="0"/>
              <w:bottom w:val="none" w:color="FFFFFF" w:sz="0"/>
              <w:right w:val="none" w:color="FFFFFF" w:sz="0"/>
            </w:tcBorders>
            <w:shd w:fill="BF5700" w:val="clear"/>
            <w:tcMar>
              <w:top w:type="dxa" w:w="100"/>
              <w:left w:type="dxa" w:w="80"/>
              <w:bottom w:type="dxa" w:w="100"/>
              <w:right w:type="dxa" w:w="80"/>
            </w:tcMar>
          </w:tcPr>
          <w:p>
            <w:r>
              <w:rPr>
                <w:rFonts w:ascii="Arial" w:cs="Arial" w:eastAsia="Arial" w:hAnsi="Arial"/>
                <w:b/>
                <w:bCs/>
                <w:color w:val="FFFFFF"/>
                <w:sz w:val="22"/>
                <w:szCs w:val="22"/>
              </w:rPr>
              <w:t xml:space="preserve">Spatial Clustering, Variography &amp; Kriging Preparation</w:t>
            </w:r>
          </w:p>
        </w:tc>
        <w:tc>
          <w:tcPr>
            <w:tcW w:type="dxa" w:w="1900"/>
            <w:tcBorders>
              <w:top w:val="none" w:color="FFFFFF" w:sz="0"/>
              <w:left w:val="none" w:color="FFFFFF" w:sz="0"/>
              <w:bottom w:val="none" w:color="FFFFFF" w:sz="0"/>
              <w:right w:val="none" w:color="FFFFFF" w:sz="0"/>
            </w:tcBorders>
            <w:shd w:fill="BF5700" w:val="clear"/>
            <w:tcMar>
              <w:top w:type="dxa" w:w="100"/>
              <w:left w:type="dxa" w:w="80"/>
              <w:bottom w:type="dxa" w:w="100"/>
              <w:right w:type="dxa" w:w="140"/>
            </w:tcMar>
          </w:tcPr>
          <w:p>
            <w:pPr>
              <w:jc w:val="right"/>
            </w:pPr>
            <w:r>
              <w:rPr>
                <w:rFonts w:ascii="Arial" w:cs="Arial" w:eastAsia="Arial" w:hAnsi="Arial"/>
                <w:i/>
                <w:iCs/>
                <w:color w:val="FFFFFF"/>
                <w:sz w:val="18"/>
                <w:szCs w:val="18"/>
              </w:rPr>
              <w:t xml:space="preserve">✓ Complete</w:t>
            </w:r>
          </w:p>
        </w:tc>
      </w:tr>
    </w:tbl>
    <w:p>
      <w:pPr>
        <w:spacing w:before="6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
        <w:gridCol w:w="1700"/>
        <w:gridCol w:w="1900"/>
        <w:gridCol w:w="3880"/>
        <w:gridCol w:w="1600"/>
      </w:tblGrid>
      <w:tr>
        <w:tc>
          <w:tcPr>
            <w:tcW w:type="dxa" w:w="28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w:t>
            </w:r>
          </w:p>
        </w:tc>
        <w:tc>
          <w:tcPr>
            <w:tcW w:type="dxa" w:w="17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Script</w:t>
            </w:r>
          </w:p>
        </w:tc>
        <w:tc>
          <w:tcPr>
            <w:tcW w:type="dxa" w:w="19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Step</w:t>
            </w:r>
          </w:p>
        </w:tc>
        <w:tc>
          <w:tcPr>
            <w:tcW w:type="dxa" w:w="388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Description</w:t>
            </w:r>
          </w:p>
        </w:tc>
        <w:tc>
          <w:tcPr>
            <w:tcW w:type="dxa" w:w="16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Key Literature</w:t>
            </w:r>
          </w:p>
        </w:tc>
      </w:tr>
      <w:tr>
        <w:tc>
          <w:tcPr>
            <w:tcW w:type="dxa" w:w="2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center"/>
            </w:pPr>
            <w:r>
              <w:rPr>
                <w:rFonts w:ascii="Arial" w:cs="Arial" w:eastAsia="Arial" w:hAnsi="Arial"/>
                <w:b/>
                <w:bCs/>
                <w:color w:val="2E75B6"/>
                <w:sz w:val="20"/>
                <w:szCs w:val="20"/>
              </w:rPr>
              <w:t xml:space="preserve">8</w:t>
            </w:r>
          </w:p>
        </w:tc>
        <w:tc>
          <w:tcPr>
            <w:tcW w:type="dxa" w:w="17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3_1_2_rf_weights.ipynb</w:t>
            </w:r>
          </w:p>
        </w:tc>
        <w:tc>
          <w:tcPr>
            <w:tcW w:type="dxa" w:w="19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9"/>
                <w:szCs w:val="19"/>
              </w:rPr>
              <w:t xml:space="preserve">RF-Based Feature Weighting</w:t>
            </w:r>
          </w:p>
        </w:tc>
        <w:tc>
          <w:tcPr>
            <w:tcW w:type="dxa" w:w="38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sz w:val="18"/>
                <w:szCs w:val="18"/>
              </w:rPr>
              <w:t xml:space="preserve">RF fitted on station climatologies to rank predictor importance across 21+ variables. Importance scores become distance-metric weights for K-Means, ensuring climate-relevant features dominate cluster formation over purely geometric proximity.</w:t>
            </w:r>
          </w:p>
        </w:tc>
        <w:tc>
          <w:tcPr>
            <w:tcW w:type="dxa" w:w="16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i/>
                <w:iCs/>
                <w:color w:val="595959"/>
                <w:sz w:val="16"/>
                <w:szCs w:val="16"/>
              </w:rPr>
              <w:t xml:space="preserve">Zhang et al. (2019); Lei et al. (2022)</w:t>
            </w:r>
          </w:p>
        </w:tc>
      </w:tr>
      <w:tr>
        <w:tc>
          <w:tcPr>
            <w:tcW w:type="dxa" w:w="2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center"/>
            </w:pPr>
            <w:r>
              <w:rPr>
                <w:rFonts w:ascii="Arial" w:cs="Arial" w:eastAsia="Arial" w:hAnsi="Arial"/>
                <w:b/>
                <w:bCs/>
                <w:color w:val="2E75B6"/>
                <w:sz w:val="20"/>
                <w:szCs w:val="20"/>
              </w:rPr>
              <w:t xml:space="preserve">9</w:t>
            </w:r>
          </w:p>
        </w:tc>
        <w:tc>
          <w:tcPr>
            <w:tcW w:type="dxa" w:w="17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3_1_3_spatial_cluster.ipynb</w:t>
            </w:r>
          </w:p>
        </w:tc>
        <w:tc>
          <w:tcPr>
            <w:tcW w:type="dxa" w:w="19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9"/>
                <w:szCs w:val="19"/>
              </w:rPr>
              <w:t xml:space="preserve">Weighted K-Means Clustering</w:t>
            </w:r>
          </w:p>
        </w:tc>
        <w:tc>
          <w:tcPr>
            <w:tcW w:type="dxa" w:w="38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sz w:val="18"/>
                <w:szCs w:val="18"/>
              </w:rPr>
              <w:t xml:space="preserve">Stations partitioned into N climate-topographic clusters (optimal N from silhouette score). Each cluster trains its own RF model matrix in M5. High-altitude, mid-hill, Terai, and rain-shadow zones expected as distinct clusters for Nepal.</w:t>
            </w:r>
          </w:p>
        </w:tc>
        <w:tc>
          <w:tcPr>
            <w:tcW w:type="dxa" w:w="16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i/>
                <w:iCs/>
                <w:color w:val="595959"/>
                <w:sz w:val="16"/>
                <w:szCs w:val="16"/>
              </w:rPr>
              <w:t xml:space="preserve">Zhang et al. (2019); He et al. (2016)</w:t>
            </w:r>
          </w:p>
        </w:tc>
      </w:tr>
      <w:tr>
        <w:tc>
          <w:tcPr>
            <w:tcW w:type="dxa" w:w="2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center"/>
            </w:pPr>
            <w:r>
              <w:rPr>
                <w:rFonts w:ascii="Arial" w:cs="Arial" w:eastAsia="Arial" w:hAnsi="Arial"/>
                <w:b/>
                <w:bCs/>
                <w:color w:val="2E75B6"/>
                <w:sz w:val="20"/>
                <w:szCs w:val="20"/>
              </w:rPr>
              <w:t xml:space="preserve">10</w:t>
            </w:r>
          </w:p>
        </w:tc>
        <w:tc>
          <w:tcPr>
            <w:tcW w:type="dxa" w:w="17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3_2_train_test_split.ipynb</w:t>
            </w:r>
          </w:p>
        </w:tc>
        <w:tc>
          <w:tcPr>
            <w:tcW w:type="dxa" w:w="19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9"/>
                <w:szCs w:val="19"/>
              </w:rPr>
              <w:t xml:space="preserve">Spatially-Aware Train/Test Split</w:t>
            </w:r>
          </w:p>
        </w:tc>
        <w:tc>
          <w:tcPr>
            <w:tcW w:type="dxa" w:w="38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sz w:val="18"/>
                <w:szCs w:val="18"/>
              </w:rPr>
              <w:t xml:space="preserve">Stations divided into 70% training and 30% test sets using spatial blocking (minimum separation distance) to prevent proximity-based data leakage between folds. Test set sealed and used only in M4 final validation.</w:t>
            </w:r>
          </w:p>
        </w:tc>
        <w:tc>
          <w:tcPr>
            <w:tcW w:type="dxa" w:w="16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i/>
                <w:iCs/>
                <w:color w:val="595959"/>
                <w:sz w:val="16"/>
                <w:szCs w:val="16"/>
              </w:rPr>
              <w:t xml:space="preserve">Lei et al. (2022); Hengl et al. (2018)</w:t>
            </w:r>
          </w:p>
        </w:tc>
      </w:tr>
      <w:tr>
        <w:tc>
          <w:tcPr>
            <w:tcW w:type="dxa" w:w="2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center"/>
            </w:pPr>
            <w:r>
              <w:rPr>
                <w:rFonts w:ascii="Arial" w:cs="Arial" w:eastAsia="Arial" w:hAnsi="Arial"/>
                <w:b/>
                <w:bCs/>
                <w:color w:val="2E75B6"/>
                <w:sz w:val="20"/>
                <w:szCs w:val="20"/>
              </w:rPr>
              <w:t xml:space="preserve">11</w:t>
            </w:r>
          </w:p>
        </w:tc>
        <w:tc>
          <w:tcPr>
            <w:tcW w:type="dxa" w:w="17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3_3_variogram_analysis.ipynb</w:t>
            </w:r>
          </w:p>
        </w:tc>
        <w:tc>
          <w:tcPr>
            <w:tcW w:type="dxa" w:w="19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9"/>
                <w:szCs w:val="19"/>
              </w:rPr>
              <w:t xml:space="preserve">Seasonal Variogram Fitting</w:t>
            </w:r>
          </w:p>
        </w:tc>
        <w:tc>
          <w:tcPr>
            <w:tcW w:type="dxa" w:w="38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sz w:val="18"/>
                <w:szCs w:val="18"/>
              </w:rPr>
              <w:t xml:space="preserve">Experimental semivariograms computed for ERA5-Land precipitation residuals by season (pre-monsoon, monsoon, post-monsoon, winter). Gaussian, Spherical, and Exponential models fitted; best-fit selected by R². Parameters (nugget, sill, range) carried forward to Steps 12 and M5-Step 3.</w:t>
            </w:r>
          </w:p>
        </w:tc>
        <w:tc>
          <w:tcPr>
            <w:tcW w:type="dxa" w:w="16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i/>
                <w:iCs/>
                <w:color w:val="595959"/>
                <w:sz w:val="16"/>
                <w:szCs w:val="16"/>
              </w:rPr>
              <w:t xml:space="preserve">Waongo et al. (2024); Chen et al. (2021)</w:t>
            </w:r>
          </w:p>
        </w:tc>
      </w:tr>
      <w:tr>
        <w:tc>
          <w:tcPr>
            <w:tcW w:type="dxa" w:w="2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center"/>
            </w:pPr>
            <w:r>
              <w:rPr>
                <w:rFonts w:ascii="Arial" w:cs="Arial" w:eastAsia="Arial" w:hAnsi="Arial"/>
                <w:b/>
                <w:bCs/>
                <w:color w:val="2E75B6"/>
                <w:sz w:val="20"/>
                <w:szCs w:val="20"/>
              </w:rPr>
              <w:t xml:space="preserve">12</w:t>
            </w:r>
          </w:p>
        </w:tc>
        <w:tc>
          <w:tcPr>
            <w:tcW w:type="dxa" w:w="17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3_4_prepare_kriging.ipynb</w:t>
            </w:r>
          </w:p>
        </w:tc>
        <w:tc>
          <w:tcPr>
            <w:tcW w:type="dxa" w:w="19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9"/>
                <w:szCs w:val="19"/>
              </w:rPr>
              <w:t xml:space="preserve">Daily ERA5-L Kriging → 1 km  +  Climatological OK Surfaces</w:t>
            </w:r>
          </w:p>
        </w:tc>
        <w:tc>
          <w:tcPr>
            <w:tcW w:type="dxa" w:w="38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sz w:val="18"/>
                <w:szCs w:val="18"/>
              </w:rPr>
              <w:t xml:space="preserve">Two outputs in one step: (a) Daily OK kriging of ERA5-Land from 11 km to 1 km for all 10,950 days using seasonal variogram parameters from Step 11 — these daily rasters are the spatial autocorrelation predictor X_s fed into M5 RF models; (b) Climatological monthly/seasonal OK surfaces for background predictor rasters. ERA5-Land is gridded and station-independent, so no target-leakage arises.</w:t>
            </w:r>
          </w:p>
        </w:tc>
        <w:tc>
          <w:tcPr>
            <w:tcW w:type="dxa" w:w="16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i/>
                <w:iCs/>
                <w:color w:val="595959"/>
                <w:sz w:val="16"/>
                <w:szCs w:val="16"/>
              </w:rPr>
              <w:t xml:space="preserve">Chen et al. (2021) — adapted; Hengl et al. (2018); Hengl &amp; Pebesma (2003)</w:t>
            </w:r>
          </w:p>
        </w:tc>
      </w:tr>
    </w:tbl>
    <w:p>
      <w:pPr>
        <w:spacing w:before="140" w:after="0"/>
      </w:pPr>
      <w:r>
        <w:rPr>
          <w:rFonts w:ascii="Arial" w:cs="Arial" w:eastAsia="Arial" w:hAnsi="Arial"/>
          <w:sz w:val="20"/>
          <w:szCs w:val="20"/>
        </w:rPr>
        <w:t xml:space="preserve"/>
      </w:r>
    </w:p>
    <w:p>
      <w:r>
        <w:br w:type="page"/>
      </w:r>
    </w:p>
    <w:p>
      <w:pPr>
        <w:pStyle w:val="Heading1"/>
      </w:pPr>
      <w:r>
        <w:rPr>
          <w:rFonts w:ascii="Arial" w:cs="Arial" w:eastAsia="Arial" w:hAnsi="Arial"/>
          <w:b/>
          <w:bCs/>
          <w:color w:val="1F3864"/>
          <w:sz w:val="26"/>
          <w:szCs w:val="26"/>
        </w:rPr>
        <w:t xml:space="preserve">5.  Module 4 — Final Product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6360"/>
        <w:gridCol w:w="1900"/>
      </w:tblGrid>
      <w:tr>
        <w:tc>
          <w:tcPr>
            <w:tcW w:type="dxa" w:w="1100"/>
            <w:tcBorders>
              <w:top w:val="none" w:color="FFFFFF" w:sz="0"/>
              <w:left w:val="none" w:color="FFFFFF" w:sz="0"/>
              <w:bottom w:val="none" w:color="FFFFFF" w:sz="0"/>
              <w:right w:val="none" w:color="FFFFFF" w:sz="0"/>
            </w:tcBorders>
            <w:shd w:fill="1A6B72" w:val="clear"/>
            <w:tcMar>
              <w:top w:type="dxa" w:w="100"/>
              <w:left w:type="dxa" w:w="140"/>
              <w:bottom w:type="dxa" w:w="100"/>
              <w:right w:type="dxa" w:w="80"/>
            </w:tcMar>
          </w:tcPr>
          <w:p>
            <w:pPr>
              <w:jc w:val="center"/>
            </w:pPr>
            <w:r>
              <w:rPr>
                <w:rFonts w:ascii="Arial" w:cs="Arial" w:eastAsia="Arial" w:hAnsi="Arial"/>
                <w:b/>
                <w:bCs/>
                <w:color w:val="FFFFFF"/>
                <w:sz w:val="28"/>
                <w:szCs w:val="28"/>
              </w:rPr>
              <w:t xml:space="preserve">M4</w:t>
            </w:r>
          </w:p>
        </w:tc>
        <w:tc>
          <w:tcPr>
            <w:tcW w:type="dxa" w:w="6360"/>
            <w:tcBorders>
              <w:top w:val="none" w:color="FFFFFF" w:sz="0"/>
              <w:left w:val="none" w:color="FFFFFF" w:sz="0"/>
              <w:bottom w:val="none" w:color="FFFFFF" w:sz="0"/>
              <w:right w:val="none" w:color="FFFFFF" w:sz="0"/>
            </w:tcBorders>
            <w:shd w:fill="1A6B72" w:val="clear"/>
            <w:tcMar>
              <w:top w:type="dxa" w:w="100"/>
              <w:left w:type="dxa" w:w="80"/>
              <w:bottom w:type="dxa" w:w="100"/>
              <w:right w:type="dxa" w:w="80"/>
            </w:tcMar>
          </w:tcPr>
          <w:p>
            <w:r>
              <w:rPr>
                <w:rFonts w:ascii="Arial" w:cs="Arial" w:eastAsia="Arial" w:hAnsi="Arial"/>
                <w:b/>
                <w:bCs/>
                <w:color w:val="FFFFFF"/>
                <w:sz w:val="22"/>
                <w:szCs w:val="22"/>
              </w:rPr>
              <w:t xml:space="preserve">Validation of Downscaled Product Against Held-Out Test Stations</w:t>
            </w:r>
          </w:p>
        </w:tc>
        <w:tc>
          <w:tcPr>
            <w:tcW w:type="dxa" w:w="1900"/>
            <w:tcBorders>
              <w:top w:val="none" w:color="FFFFFF" w:sz="0"/>
              <w:left w:val="none" w:color="FFFFFF" w:sz="0"/>
              <w:bottom w:val="none" w:color="FFFFFF" w:sz="0"/>
              <w:right w:val="none" w:color="FFFFFF" w:sz="0"/>
            </w:tcBorders>
            <w:shd w:fill="1A6B72" w:val="clear"/>
            <w:tcMar>
              <w:top w:type="dxa" w:w="100"/>
              <w:left w:type="dxa" w:w="80"/>
              <w:bottom w:type="dxa" w:w="100"/>
              <w:right w:type="dxa" w:w="140"/>
            </w:tcMar>
          </w:tcPr>
          <w:p>
            <w:pPr>
              <w:jc w:val="right"/>
            </w:pPr>
            <w:r>
              <w:rPr>
                <w:rFonts w:ascii="Arial" w:cs="Arial" w:eastAsia="Arial" w:hAnsi="Arial"/>
                <w:i/>
                <w:iCs/>
                <w:color w:val="FFFFFF"/>
                <w:sz w:val="18"/>
                <w:szCs w:val="18"/>
              </w:rPr>
              <w:t xml:space="preserve">◆ Proposed</w:t>
            </w:r>
          </w:p>
        </w:tc>
      </w:tr>
    </w:tbl>
    <w:p>
      <w:pPr>
        <w:spacing w:before="6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72" w:sz="5"/>
              <w:left w:val="single" w:color="1A6B72" w:sz="5"/>
              <w:bottom w:val="single" w:color="1A6B72" w:sz="5"/>
              <w:right w:val="single" w:color="1A6B72" w:sz="5"/>
            </w:tcBorders>
            <w:shd w:fill="D0EDEF" w:val="clear"/>
            <w:tcMar>
              <w:top w:type="dxa" w:w="90"/>
              <w:left w:type="dxa" w:w="160"/>
              <w:bottom w:type="dxa" w:w="90"/>
              <w:right w:type="dxa" w:w="160"/>
            </w:tcMar>
          </w:tcPr>
          <w:p>
            <w:r>
              <w:rPr>
                <w:rFonts w:ascii="Arial" w:cs="Arial" w:eastAsia="Arial" w:hAnsi="Arial"/>
                <w:b/>
                <w:bCs/>
                <w:color w:val="1A6B72"/>
                <w:sz w:val="20"/>
                <w:szCs w:val="20"/>
              </w:rPr>
              <w:t xml:space="preserve">Note: </w:t>
            </w:r>
            <w:r>
              <w:rPr>
                <w:rFonts w:ascii="Arial" w:cs="Arial" w:eastAsia="Arial" w:hAnsi="Arial"/>
                <w:sz w:val="19"/>
                <w:szCs w:val="19"/>
              </w:rPr>
              <w:t xml:space="preserve">M4 runs after M5 is complete. The 30% test stations sealed in Step 10 are used here for the first and only time. No test-station data enters M5 at any point.</w:t>
            </w:r>
          </w:p>
        </w:tc>
      </w:tr>
    </w:tbl>
    <w:p>
      <w:pPr>
        <w:spacing w:before="8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
        <w:gridCol w:w="1700"/>
        <w:gridCol w:w="1900"/>
        <w:gridCol w:w="3880"/>
        <w:gridCol w:w="1600"/>
      </w:tblGrid>
      <w:tr>
        <w:tc>
          <w:tcPr>
            <w:tcW w:type="dxa" w:w="28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w:t>
            </w:r>
          </w:p>
        </w:tc>
        <w:tc>
          <w:tcPr>
            <w:tcW w:type="dxa" w:w="17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Script</w:t>
            </w:r>
          </w:p>
        </w:tc>
        <w:tc>
          <w:tcPr>
            <w:tcW w:type="dxa" w:w="19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Step</w:t>
            </w:r>
          </w:p>
        </w:tc>
        <w:tc>
          <w:tcPr>
            <w:tcW w:type="dxa" w:w="388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Description</w:t>
            </w:r>
          </w:p>
        </w:tc>
        <w:tc>
          <w:tcPr>
            <w:tcW w:type="dxa" w:w="16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Key Literature</w:t>
            </w:r>
          </w:p>
        </w:tc>
      </w:tr>
      <w:tr>
        <w:tc>
          <w:tcPr>
            <w:tcW w:type="dxa" w:w="2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center"/>
            </w:pPr>
            <w:r>
              <w:rPr>
                <w:rFonts w:ascii="Arial" w:cs="Arial" w:eastAsia="Arial" w:hAnsi="Arial"/>
                <w:b/>
                <w:bCs/>
                <w:color w:val="2E75B6"/>
                <w:sz w:val="20"/>
                <w:szCs w:val="20"/>
              </w:rPr>
              <w:t xml:space="preserve">13</w:t>
            </w:r>
          </w:p>
        </w:tc>
        <w:tc>
          <w:tcPr>
            <w:tcW w:type="dxa" w:w="17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4_2_validate_downscaled.ipynb</w:t>
            </w:r>
          </w:p>
        </w:tc>
        <w:tc>
          <w:tcPr>
            <w:tcW w:type="dxa" w:w="19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9"/>
                <w:szCs w:val="19"/>
              </w:rPr>
              <w:t xml:space="preserve">Final Accuracy Evaluation</w:t>
            </w:r>
          </w:p>
        </w:tc>
        <w:tc>
          <w:tcPr>
            <w:tcW w:type="dxa" w:w="38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sz w:val="18"/>
                <w:szCs w:val="18"/>
              </w:rPr>
              <w:t xml:space="preserve">The calibrated 1 km daily output from M5 is extracted at the 30% held-out test station locations and compared against observed gauge values. Continuous metrics: RMSE, MAE, R², NSE, KGE. Categorical metrics per intensity class: POD, FAR, CSI, HSS. Baseline comparisons: original ERA5-Land, bilinear-interpolated ERA5-L at 1 km, and plain RF without residual calibration — to quantify the added value of each pipeline component.</w:t>
            </w:r>
          </w:p>
        </w:tc>
        <w:tc>
          <w:tcPr>
            <w:tcW w:type="dxa" w:w="16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i/>
                <w:iCs/>
                <w:color w:val="595959"/>
                <w:sz w:val="16"/>
                <w:szCs w:val="16"/>
              </w:rPr>
              <w:t xml:space="preserve">Sun et al. (2018); Lei et al. (2022); Dangol et al. (2022)</w:t>
            </w:r>
          </w:p>
        </w:tc>
      </w:tr>
      <w:tr>
        <w:tc>
          <w:tcPr>
            <w:tcW w:type="dxa" w:w="2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center"/>
            </w:pPr>
            <w:r>
              <w:rPr>
                <w:rFonts w:ascii="Arial" w:cs="Arial" w:eastAsia="Arial" w:hAnsi="Arial"/>
                <w:b/>
                <w:bCs/>
                <w:color w:val="2E75B6"/>
                <w:sz w:val="20"/>
                <w:szCs w:val="20"/>
              </w:rPr>
              <w:t xml:space="preserve">14</w:t>
            </w:r>
          </w:p>
        </w:tc>
        <w:tc>
          <w:tcPr>
            <w:tcW w:type="dxa" w:w="17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4_3_shap_importance.ipynb</w:t>
            </w:r>
          </w:p>
        </w:tc>
        <w:tc>
          <w:tcPr>
            <w:tcW w:type="dxa" w:w="19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9"/>
                <w:szCs w:val="19"/>
              </w:rPr>
              <w:t xml:space="preserve">SHAP Predictor Importance</w:t>
            </w:r>
          </w:p>
        </w:tc>
        <w:tc>
          <w:tcPr>
            <w:tcW w:type="dxa" w:w="38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sz w:val="18"/>
                <w:szCs w:val="18"/>
              </w:rPr>
              <w:t xml:space="preserve">SHAP (SHapley Additive exPlanations) values computed per cluster and per intensity class to decompose RF feature importance. Produces per-zone predictor importance maps: expected dominant predictors are DEM/fetch in high-altitude clusters and ERA5-L wind/moisture in monsoon-regime clusters. Provides interpretability and a publishable scientific contribution independent of accuracy metrics.</w:t>
            </w:r>
          </w:p>
        </w:tc>
        <w:tc>
          <w:tcPr>
            <w:tcW w:type="dxa" w:w="16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i/>
                <w:iCs/>
                <w:color w:val="595959"/>
                <w:sz w:val="16"/>
                <w:szCs w:val="16"/>
              </w:rPr>
              <w:t xml:space="preserve">Chen et al. (2024); 2025 optimization study</w:t>
            </w:r>
          </w:p>
        </w:tc>
      </w:tr>
    </w:tbl>
    <w:p>
      <w:pPr>
        <w:spacing w:before="140" w:after="0"/>
      </w:pPr>
      <w:r>
        <w:rPr>
          <w:rFonts w:ascii="Arial" w:cs="Arial" w:eastAsia="Arial" w:hAnsi="Arial"/>
          <w:sz w:val="20"/>
          <w:szCs w:val="20"/>
        </w:rPr>
        <w:t xml:space="preserve"/>
      </w:r>
    </w:p>
    <w:p>
      <w:pPr>
        <w:pStyle w:val="Heading1"/>
      </w:pPr>
      <w:r>
        <w:rPr>
          <w:rFonts w:ascii="Arial" w:cs="Arial" w:eastAsia="Arial" w:hAnsi="Arial"/>
          <w:b/>
          <w:bCs/>
          <w:color w:val="1F3864"/>
          <w:sz w:val="26"/>
          <w:szCs w:val="26"/>
        </w:rPr>
        <w:t xml:space="preserve">6.  Module 5 — Multi-Stage RF/XGBoost Downscaling &amp;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6360"/>
        <w:gridCol w:w="1900"/>
      </w:tblGrid>
      <w:tr>
        <w:tc>
          <w:tcPr>
            <w:tcW w:type="dxa" w:w="1100"/>
            <w:tcBorders>
              <w:top w:val="none" w:color="FFFFFF" w:sz="0"/>
              <w:left w:val="none" w:color="FFFFFF" w:sz="0"/>
              <w:bottom w:val="none" w:color="FFFFFF" w:sz="0"/>
              <w:right w:val="none" w:color="FFFFFF" w:sz="0"/>
            </w:tcBorders>
            <w:shd w:fill="1F3864" w:val="clear"/>
            <w:tcMar>
              <w:top w:type="dxa" w:w="100"/>
              <w:left w:type="dxa" w:w="140"/>
              <w:bottom w:type="dxa" w:w="100"/>
              <w:right w:type="dxa" w:w="80"/>
            </w:tcMar>
          </w:tcPr>
          <w:p>
            <w:pPr>
              <w:jc w:val="center"/>
            </w:pPr>
            <w:r>
              <w:rPr>
                <w:rFonts w:ascii="Arial" w:cs="Arial" w:eastAsia="Arial" w:hAnsi="Arial"/>
                <w:b/>
                <w:bCs/>
                <w:color w:val="FFFFFF"/>
                <w:sz w:val="28"/>
                <w:szCs w:val="28"/>
              </w:rPr>
              <w:t xml:space="preserve">M5</w:t>
            </w:r>
          </w:p>
        </w:tc>
        <w:tc>
          <w:tcPr>
            <w:tcW w:type="dxa" w:w="6360"/>
            <w:tcBorders>
              <w:top w:val="none" w:color="FFFFFF" w:sz="0"/>
              <w:left w:val="none" w:color="FFFFFF" w:sz="0"/>
              <w:bottom w:val="none" w:color="FFFFFF" w:sz="0"/>
              <w:right w:val="none" w:color="FFFFFF" w:sz="0"/>
            </w:tcBorders>
            <w:shd w:fill="1F3864" w:val="clear"/>
            <w:tcMar>
              <w:top w:type="dxa" w:w="100"/>
              <w:left w:type="dxa" w:w="80"/>
              <w:bottom w:type="dxa" w:w="100"/>
              <w:right w:type="dxa" w:w="80"/>
            </w:tcMar>
          </w:tcPr>
          <w:p>
            <w:r>
              <w:rPr>
                <w:rFonts w:ascii="Arial" w:cs="Arial" w:eastAsia="Arial" w:hAnsi="Arial"/>
                <w:b/>
                <w:bCs/>
                <w:color w:val="FFFFFF"/>
                <w:sz w:val="22"/>
                <w:szCs w:val="22"/>
              </w:rPr>
              <w:t xml:space="preserve">Multi-Stage RF &amp; XGBoost Downscaling, Classification &amp; Residual Calibration</w:t>
            </w:r>
          </w:p>
        </w:tc>
        <w:tc>
          <w:tcPr>
            <w:tcW w:type="dxa" w:w="1900"/>
            <w:tcBorders>
              <w:top w:val="none" w:color="FFFFFF" w:sz="0"/>
              <w:left w:val="none" w:color="FFFFFF" w:sz="0"/>
              <w:bottom w:val="none" w:color="FFFFFF" w:sz="0"/>
              <w:right w:val="none" w:color="FFFFFF" w:sz="0"/>
            </w:tcBorders>
            <w:shd w:fill="1F3864" w:val="clear"/>
            <w:tcMar>
              <w:top w:type="dxa" w:w="100"/>
              <w:left w:type="dxa" w:w="80"/>
              <w:bottom w:type="dxa" w:w="100"/>
              <w:right w:type="dxa" w:w="140"/>
            </w:tcMar>
          </w:tcPr>
          <w:p>
            <w:pPr>
              <w:jc w:val="right"/>
            </w:pPr>
            <w:r>
              <w:rPr>
                <w:rFonts w:ascii="Arial" w:cs="Arial" w:eastAsia="Arial" w:hAnsi="Arial"/>
                <w:i/>
                <w:iCs/>
                <w:color w:val="FFFFFF"/>
                <w:sz w:val="18"/>
                <w:szCs w:val="18"/>
              </w:rPr>
              <w:t xml:space="preserve">◆ Proposed</w:t>
            </w:r>
          </w:p>
        </w:tc>
      </w:tr>
    </w:tbl>
    <w:p>
      <w:pPr>
        <w:spacing w:before="60" w:after="0"/>
      </w:pPr>
      <w:r>
        <w:rPr>
          <w:rFonts w:ascii="Arial" w:cs="Arial" w:eastAsia="Arial" w:hAnsi="Arial"/>
          <w:sz w:val="20"/>
          <w:szCs w:val="20"/>
        </w:rPr>
        <w:t xml:space="preserve"/>
      </w:r>
    </w:p>
    <w:p>
      <w:pPr>
        <w:spacing w:before="60" w:after="80"/>
        <w:jc w:val="both"/>
      </w:pPr>
      <w:r>
        <w:rPr>
          <w:rFonts w:ascii="Arial" w:cs="Arial" w:eastAsia="Arial" w:hAnsi="Arial"/>
          <w:sz w:val="20"/>
          <w:szCs w:val="20"/>
        </w:rPr>
        <w:t xml:space="preserve">For each cluster from Step 9, the following three-step procedure runs independently on training-fold data. The total model count is </w:t>
      </w:r>
      <w:r>
        <w:rPr>
          <w:rFonts w:ascii="Arial" w:cs="Arial" w:eastAsia="Arial" w:hAnsi="Arial"/>
          <w:b/>
          <w:bCs/>
          <w:color w:val="1F3864"/>
          <w:sz w:val="20"/>
          <w:szCs w:val="20"/>
        </w:rPr>
        <w:t xml:space="preserve">N_clusters × 4 intensity classes</w:t>
      </w:r>
      <w:r>
        <w:rPr>
          <w:rFonts w:ascii="Arial" w:cs="Arial" w:eastAsia="Arial" w:hAnsi="Arial"/>
          <w:sz w:val="20"/>
          <w:szCs w:val="20"/>
        </w:rPr>
        <w:t xml:space="preserve"> RF regressors, plus one RF and one XGBoost classifier per cluster. A fallback rule applies: if any stratum contains fewer than 30 station-days, the parent-cluster model is used; if the cluster itself is too sparse, the global model applies.</w:t>
      </w:r>
    </w:p>
    <w:p>
      <w:pPr>
        <w:spacing w:before="60" w:after="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
        <w:gridCol w:w="1700"/>
        <w:gridCol w:w="1900"/>
        <w:gridCol w:w="3880"/>
        <w:gridCol w:w="1600"/>
      </w:tblGrid>
      <w:tr>
        <w:tc>
          <w:tcPr>
            <w:tcW w:type="dxa" w:w="28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w:t>
            </w:r>
          </w:p>
        </w:tc>
        <w:tc>
          <w:tcPr>
            <w:tcW w:type="dxa" w:w="17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Script</w:t>
            </w:r>
          </w:p>
        </w:tc>
        <w:tc>
          <w:tcPr>
            <w:tcW w:type="dxa" w:w="19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Step</w:t>
            </w:r>
          </w:p>
        </w:tc>
        <w:tc>
          <w:tcPr>
            <w:tcW w:type="dxa" w:w="388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Description</w:t>
            </w:r>
          </w:p>
        </w:tc>
        <w:tc>
          <w:tcPr>
            <w:tcW w:type="dxa" w:w="1600"/>
            <w:tcBorders>
              <w:top w:val="single" w:color="CCCCCC" w:sz="1"/>
              <w:left w:val="single" w:color="CCCCCC" w:sz="1"/>
              <w:bottom w:val="single" w:color="CCCCCC" w:sz="1"/>
              <w:right w:val="single" w:color="CCCCCC" w:sz="1"/>
            </w:tcBorders>
            <w:shd w:fill="1F3864" w:val="clear"/>
            <w:tcMar>
              <w:top w:type="dxa" w:w="70"/>
              <w:left w:type="dxa" w:w="90"/>
              <w:bottom w:type="dxa" w:w="70"/>
              <w:right w:type="dxa" w:w="70"/>
            </w:tcMar>
          </w:tcPr>
          <w:p>
            <w:pPr>
              <w:jc w:val="center"/>
            </w:pPr>
            <w:r>
              <w:rPr>
                <w:rFonts w:ascii="Arial" w:cs="Arial" w:eastAsia="Arial" w:hAnsi="Arial"/>
                <w:b/>
                <w:bCs/>
                <w:color w:val="FFFFFF"/>
                <w:sz w:val="17"/>
                <w:szCs w:val="17"/>
              </w:rPr>
              <w:t xml:space="preserve">Key Literature</w:t>
            </w:r>
          </w:p>
        </w:tc>
      </w:tr>
      <w:tr>
        <w:tc>
          <w:tcPr>
            <w:tcW w:type="dxa" w:w="2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center"/>
            </w:pPr>
            <w:r>
              <w:rPr>
                <w:rFonts w:ascii="Arial" w:cs="Arial" w:eastAsia="Arial" w:hAnsi="Arial"/>
                <w:b/>
                <w:bCs/>
                <w:color w:val="2E75B6"/>
                <w:sz w:val="20"/>
                <w:szCs w:val="20"/>
              </w:rPr>
              <w:t xml:space="preserve">15</w:t>
            </w:r>
          </w:p>
        </w:tc>
        <w:tc>
          <w:tcPr>
            <w:tcW w:type="dxa" w:w="17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5_1_intensity_classify_rf.py</w:t>
            </w:r>
          </w:p>
        </w:tc>
        <w:tc>
          <w:tcPr>
            <w:tcW w:type="dxa" w:w="19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9"/>
                <w:szCs w:val="19"/>
              </w:rPr>
              <w:t xml:space="preserve">Step 1a — RF Intensity Classifier</w:t>
            </w:r>
          </w:p>
        </w:tc>
        <w:tc>
          <w:tcPr>
            <w:tcW w:type="dxa" w:w="38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sz w:val="18"/>
                <w:szCs w:val="18"/>
              </w:rPr>
              <w:t xml:space="preserve">Per cluster: RF classifier trained on 70% training stations. Target: 4-class intensity label — 0: no-rain (&lt;0.1 mm), 1: light (0.1–5 mm), 2: moderate (5–25 mm), 3: heavy (&gt;25 mm). Thresholds set from Nepal gauge climatological percentiles. Features: daily ERA5-L kriged field (Step 12), DEM, slope, aspect, fetch, EVI, LST, lat/lon, ERA5-L wind/dewpoint, all five SPP values at pixel. Evaluated by CSI and HSS per class on validation fold.</w:t>
            </w:r>
          </w:p>
        </w:tc>
        <w:tc>
          <w:tcPr>
            <w:tcW w:type="dxa" w:w="16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i/>
                <w:iCs/>
                <w:color w:val="595959"/>
                <w:sz w:val="16"/>
                <w:szCs w:val="16"/>
              </w:rPr>
              <w:t xml:space="preserve">Lei et al. (2022); He et al. (2016)</w:t>
            </w:r>
          </w:p>
        </w:tc>
      </w:tr>
      <w:tr>
        <w:tc>
          <w:tcPr>
            <w:tcW w:type="dxa" w:w="2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center"/>
            </w:pPr>
            <w:r>
              <w:rPr>
                <w:rFonts w:ascii="Arial" w:cs="Arial" w:eastAsia="Arial" w:hAnsi="Arial"/>
                <w:b/>
                <w:bCs/>
                <w:color w:val="2E75B6"/>
                <w:sz w:val="20"/>
                <w:szCs w:val="20"/>
              </w:rPr>
              <w:t xml:space="preserve">16</w:t>
            </w:r>
          </w:p>
        </w:tc>
        <w:tc>
          <w:tcPr>
            <w:tcW w:type="dxa" w:w="17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5_2_intensity_classify_xgb.py</w:t>
            </w:r>
          </w:p>
        </w:tc>
        <w:tc>
          <w:tcPr>
            <w:tcW w:type="dxa" w:w="19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9"/>
                <w:szCs w:val="19"/>
              </w:rPr>
              <w:t xml:space="preserve">Step 1b — XGBoost Intensity Classifier</w:t>
            </w:r>
          </w:p>
        </w:tc>
        <w:tc>
          <w:tcPr>
            <w:tcW w:type="dxa" w:w="38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sz w:val="18"/>
                <w:szCs w:val="18"/>
              </w:rPr>
              <w:t xml:space="preserve">Identical feature set and class definitions as Step 15, implemented with XGBoost. Handles class imbalance (no-rain dominance in arid/high-altitude clusters) via scale_pos_weight. XGBoost recommended over RF for classification tasks by Lei et al. (2022) due to higher computational efficiency and better handling of skewed class distributions. Best classifier (RF vs. XGBoost) selected per cluster by HSS on validation fold.</w:t>
            </w:r>
          </w:p>
        </w:tc>
        <w:tc>
          <w:tcPr>
            <w:tcW w:type="dxa" w:w="16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i/>
                <w:iCs/>
                <w:color w:val="595959"/>
                <w:sz w:val="16"/>
                <w:szCs w:val="16"/>
              </w:rPr>
              <w:t xml:space="preserve">Lei et al. (2022)</w:t>
            </w:r>
          </w:p>
        </w:tc>
      </w:tr>
      <w:tr>
        <w:tc>
          <w:tcPr>
            <w:tcW w:type="dxa" w:w="2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center"/>
            </w:pPr>
            <w:r>
              <w:rPr>
                <w:rFonts w:ascii="Arial" w:cs="Arial" w:eastAsia="Arial" w:hAnsi="Arial"/>
                <w:b/>
                <w:bCs/>
                <w:color w:val="2E75B6"/>
                <w:sz w:val="20"/>
                <w:szCs w:val="20"/>
              </w:rPr>
              <w:t xml:space="preserve">17</w:t>
            </w:r>
          </w:p>
        </w:tc>
        <w:tc>
          <w:tcPr>
            <w:tcW w:type="dxa" w:w="17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5_3_rf_regression.py</w:t>
            </w:r>
          </w:p>
        </w:tc>
        <w:tc>
          <w:tcPr>
            <w:tcW w:type="dxa" w:w="19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9"/>
                <w:szCs w:val="19"/>
              </w:rPr>
              <w:t xml:space="preserve">Step 2 — Per-Stratum RF Regression</w:t>
            </w:r>
          </w:p>
        </w:tc>
        <w:tc>
          <w:tcPr>
            <w:tcW w:type="dxa" w:w="388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sz w:val="18"/>
                <w:szCs w:val="18"/>
              </w:rPr>
              <w:t xml:space="preserve">Per cluster × intensity class: dedicated RF regressor trained on wet-day training station-days of that class. Predicts continuous precipitation amount at 1 km. Feature set as Steps 15–16 plus coarse-scale ERA5-L values from 8 neighboring grid cells (spatial lag, analogous to Prec-DWARF dry-drift). Fallback rule enforced for sparse strata. Outputs: 1 km continuous precipitation field per predicted wet-day pixel.</w:t>
            </w:r>
          </w:p>
        </w:tc>
        <w:tc>
          <w:tcPr>
            <w:tcW w:type="dxa" w:w="16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i/>
                <w:iCs/>
                <w:color w:val="595959"/>
                <w:sz w:val="16"/>
                <w:szCs w:val="16"/>
              </w:rPr>
              <w:t xml:space="preserve">He et al. (2016) — double-RF; Zhang et al. (2019); Chen et al. (2021)</w:t>
            </w:r>
          </w:p>
        </w:tc>
      </w:tr>
      <w:tr>
        <w:tc>
          <w:tcPr>
            <w:tcW w:type="dxa" w:w="2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center"/>
            </w:pPr>
            <w:r>
              <w:rPr>
                <w:rFonts w:ascii="Arial" w:cs="Arial" w:eastAsia="Arial" w:hAnsi="Arial"/>
                <w:b/>
                <w:bCs/>
                <w:color w:val="2E75B6"/>
                <w:sz w:val="20"/>
                <w:szCs w:val="20"/>
              </w:rPr>
              <w:t xml:space="preserve">18</w:t>
            </w:r>
          </w:p>
        </w:tc>
        <w:tc>
          <w:tcPr>
            <w:tcW w:type="dxa" w:w="17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Courier New" w:cs="Courier New" w:eastAsia="Courier New" w:hAnsi="Courier New"/>
                <w:color w:val="595959"/>
                <w:sz w:val="16"/>
                <w:szCs w:val="16"/>
              </w:rPr>
              <w:t xml:space="preserve">5_4_residual_calibration.py</w:t>
            </w:r>
          </w:p>
        </w:tc>
        <w:tc>
          <w:tcPr>
            <w:tcW w:type="dxa" w:w="19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9"/>
                <w:szCs w:val="19"/>
              </w:rPr>
              <w:t xml:space="preserve">Step 3 — Residual Computation &amp; Kriging Calibration</w:t>
            </w:r>
          </w:p>
        </w:tc>
        <w:tc>
          <w:tcPr>
            <w:tcW w:type="dxa" w:w="388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sz w:val="18"/>
                <w:szCs w:val="18"/>
              </w:rPr>
              <w:t xml:space="preserve">Residuals computed at training station locations: Res(s) = Observed(s) − RF_predicted(s). These capture local orographic and land-surface signals not explained by the covariate set. Residuals interpolated to 1 km by OK using seasonal variogram from Step 11. Final calibrated output: C(s) = RF_predicted(s) + Kriged_Residual(s). This is the Regression Kriging formulation of Waongo et al. (2024) Eq. 6. No leakage: residuals are post-prediction corrections, not training inputs.</w:t>
            </w:r>
          </w:p>
        </w:tc>
        <w:tc>
          <w:tcPr>
            <w:tcW w:type="dxa" w:w="16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i/>
                <w:iCs/>
                <w:color w:val="595959"/>
                <w:sz w:val="16"/>
                <w:szCs w:val="16"/>
              </w:rPr>
              <w:t xml:space="preserve">Waongo et al. (2024) Eq.6; Hengl &amp; Pebesma (2003); Chen et al. (2021)</w:t>
            </w:r>
          </w:p>
        </w:tc>
      </w:tr>
    </w:tbl>
    <w:p>
      <w:pPr>
        <w:spacing w:before="140" w:after="0"/>
      </w:pPr>
      <w:r>
        <w:rPr>
          <w:rFonts w:ascii="Arial" w:cs="Arial" w:eastAsia="Arial" w:hAnsi="Arial"/>
          <w:sz w:val="20"/>
          <w:szCs w:val="20"/>
        </w:rPr>
        <w:t xml:space="preserve"/>
      </w:r>
    </w:p>
    <w:p>
      <w:pPr>
        <w:pStyle w:val="Heading1"/>
      </w:pPr>
      <w:r>
        <w:rPr>
          <w:rFonts w:ascii="Arial" w:cs="Arial" w:eastAsia="Arial" w:hAnsi="Arial"/>
          <w:b/>
          <w:bCs/>
          <w:color w:val="1F3864"/>
          <w:sz w:val="26"/>
          <w:szCs w:val="26"/>
        </w:rPr>
        <w:t xml:space="preserve">7.  Literature Validity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860"/>
        <w:gridCol w:w="5500"/>
      </w:tblGrid>
      <w:tr>
        <w:tc>
          <w:tcPr>
            <w:tcW w:type="dxa" w:w="3000"/>
            <w:tcBorders>
              <w:top w:val="single" w:color="CCCCCC" w:sz="1"/>
              <w:left w:val="single" w:color="CCCCCC" w:sz="1"/>
              <w:bottom w:val="single" w:color="CCCCCC" w:sz="1"/>
              <w:right w:val="single" w:color="CCCCCC" w:sz="1"/>
            </w:tcBorders>
            <w:shd w:fill="1F3864" w:val="clear"/>
            <w:tcMar>
              <w:top w:type="dxa" w:w="75"/>
              <w:left w:type="dxa" w:w="90"/>
              <w:bottom w:type="dxa" w:w="75"/>
              <w:right w:type="dxa" w:w="75"/>
            </w:tcMar>
          </w:tcPr>
          <w:p>
            <w:r>
              <w:rPr>
                <w:rFonts w:ascii="Arial" w:cs="Arial" w:eastAsia="Arial" w:hAnsi="Arial"/>
                <w:b/>
                <w:bCs/>
                <w:color w:val="FFFFFF"/>
                <w:sz w:val="17"/>
                <w:szCs w:val="17"/>
              </w:rPr>
              <w:t xml:space="preserve">Design Choice</w:t>
            </w:r>
          </w:p>
        </w:tc>
        <w:tc>
          <w:tcPr>
            <w:tcW w:type="dxa" w:w="860"/>
            <w:tcBorders>
              <w:top w:val="single" w:color="CCCCCC" w:sz="1"/>
              <w:left w:val="single" w:color="CCCCCC" w:sz="1"/>
              <w:bottom w:val="single" w:color="CCCCCC" w:sz="1"/>
              <w:right w:val="single" w:color="CCCCCC" w:sz="1"/>
            </w:tcBorders>
            <w:shd w:fill="1F3864" w:val="clear"/>
            <w:tcMar>
              <w:top w:type="dxa" w:w="75"/>
              <w:left w:type="dxa" w:w="90"/>
              <w:bottom w:type="dxa" w:w="75"/>
              <w:right w:type="dxa" w:w="75"/>
            </w:tcMar>
          </w:tcPr>
          <w:p>
            <w:r>
              <w:rPr>
                <w:rFonts w:ascii="Arial" w:cs="Arial" w:eastAsia="Arial" w:hAnsi="Arial"/>
                <w:b/>
                <w:bCs/>
                <w:color w:val="FFFFFF"/>
                <w:sz w:val="17"/>
                <w:szCs w:val="17"/>
              </w:rPr>
              <w:t xml:space="preserve">Verdict</w:t>
            </w:r>
          </w:p>
        </w:tc>
        <w:tc>
          <w:tcPr>
            <w:tcW w:type="dxa" w:w="5500"/>
            <w:tcBorders>
              <w:top w:val="single" w:color="CCCCCC" w:sz="1"/>
              <w:left w:val="single" w:color="CCCCCC" w:sz="1"/>
              <w:bottom w:val="single" w:color="CCCCCC" w:sz="1"/>
              <w:right w:val="single" w:color="CCCCCC" w:sz="1"/>
            </w:tcBorders>
            <w:shd w:fill="1F3864" w:val="clear"/>
            <w:tcMar>
              <w:top w:type="dxa" w:w="75"/>
              <w:left w:type="dxa" w:w="90"/>
              <w:bottom w:type="dxa" w:w="75"/>
              <w:right w:type="dxa" w:w="75"/>
            </w:tcMar>
          </w:tcPr>
          <w:p>
            <w:r>
              <w:rPr>
                <w:rFonts w:ascii="Arial" w:cs="Arial" w:eastAsia="Arial" w:hAnsi="Arial"/>
                <w:b/>
                <w:bCs/>
                <w:color w:val="FFFFFF"/>
                <w:sz w:val="17"/>
                <w:szCs w:val="17"/>
              </w:rPr>
              <w:t xml:space="preserve">Assessment</w:t>
            </w:r>
          </w:p>
        </w:tc>
      </w:tr>
      <w:tr>
        <w:tc>
          <w:tcPr>
            <w:tcW w:type="dxa" w:w="30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8"/>
                <w:szCs w:val="18"/>
              </w:rPr>
              <w:t xml:space="preserve">ERA5-L kriged raster as X_s (not gauge-kriged)</w:t>
            </w:r>
          </w:p>
        </w:tc>
        <w:tc>
          <w:tcPr>
            <w:tcW w:type="dxa" w:w="860"/>
            <w:tcBorders>
              <w:top w:val="single" w:color="CCCCCC" w:sz="1"/>
              <w:left w:val="single" w:color="CCCCCC" w:sz="1"/>
              <w:bottom w:val="single" w:color="CCCCCC" w:sz="1"/>
              <w:right w:val="single" w:color="CCCCCC" w:sz="1"/>
            </w:tcBorders>
            <w:shd w:fill="D9EAD3" w:val="clear"/>
            <w:tcMar>
              <w:top w:type="dxa" w:w="75"/>
              <w:left w:type="dxa" w:w="90"/>
              <w:bottom w:type="dxa" w:w="75"/>
              <w:right w:type="dxa" w:w="75"/>
            </w:tcMar>
          </w:tcPr>
          <w:p>
            <w:pPr>
              <w:jc w:val="left"/>
            </w:pPr>
            <w:r>
              <w:rPr>
                <w:rFonts w:ascii="Arial" w:cs="Arial" w:eastAsia="Arial" w:hAnsi="Arial"/>
                <w:b w:val="false"/>
                <w:bCs w:val="false"/>
                <w:color w:val="1E6B3C"/>
                <w:sz w:val="18"/>
                <w:szCs w:val="18"/>
              </w:rPr>
              <w:t xml:space="preserve">✅ Strong</w:t>
            </w:r>
          </w:p>
        </w:tc>
        <w:tc>
          <w:tcPr>
            <w:tcW w:type="dxa" w:w="55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b w:val="false"/>
                <w:bCs w:val="false"/>
                <w:color w:val="000000"/>
                <w:sz w:val="18"/>
                <w:szCs w:val="18"/>
              </w:rPr>
              <w:t xml:space="preserve">Eliminates target-leakage gap in Chen et al. (2021). ERA5-L's top accuracy ranking (Script 4_1) provides scientific justification. Methodologically cleaner than any published analog.</w:t>
            </w:r>
          </w:p>
        </w:tc>
      </w:tr>
      <w:tr>
        <w:tc>
          <w:tcPr>
            <w:tcW w:type="dxa" w:w="30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8"/>
                <w:szCs w:val="18"/>
              </w:rPr>
              <w:t xml:space="preserve">4-class intensity stratification</w:t>
            </w:r>
          </w:p>
        </w:tc>
        <w:tc>
          <w:tcPr>
            <w:tcW w:type="dxa" w:w="860"/>
            <w:tcBorders>
              <w:top w:val="single" w:color="CCCCCC" w:sz="1"/>
              <w:left w:val="single" w:color="CCCCCC" w:sz="1"/>
              <w:bottom w:val="single" w:color="CCCCCC" w:sz="1"/>
              <w:right w:val="single" w:color="CCCCCC" w:sz="1"/>
            </w:tcBorders>
            <w:shd w:fill="D9EAD3" w:val="clear"/>
            <w:tcMar>
              <w:top w:type="dxa" w:w="75"/>
              <w:left w:type="dxa" w:w="90"/>
              <w:bottom w:type="dxa" w:w="75"/>
              <w:right w:type="dxa" w:w="75"/>
            </w:tcMar>
          </w:tcPr>
          <w:p>
            <w:pPr>
              <w:jc w:val="left"/>
            </w:pPr>
            <w:r>
              <w:rPr>
                <w:rFonts w:ascii="Arial" w:cs="Arial" w:eastAsia="Arial" w:hAnsi="Arial"/>
                <w:b w:val="false"/>
                <w:bCs w:val="false"/>
                <w:color w:val="1E6B3C"/>
                <w:sz w:val="18"/>
                <w:szCs w:val="18"/>
              </w:rPr>
              <w:t xml:space="preserve">✅ Novel</w:t>
            </w:r>
          </w:p>
        </w:tc>
        <w:tc>
          <w:tcPr>
            <w:tcW w:type="dxa" w:w="55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b w:val="false"/>
                <w:bCs w:val="false"/>
                <w:color w:val="000000"/>
                <w:sz w:val="18"/>
                <w:szCs w:val="18"/>
              </w:rPr>
              <w:t xml:space="preserve">More granular than binary wet/dry of Lei et al. (2022) and He et al. (2016). Separate regressors per class capture distinct predictor relationships for light vs. extreme events — addresses the known underestimation of extremes documented by He et al. (2016) and Sachindra et al. (2018).</w:t>
            </w:r>
          </w:p>
        </w:tc>
      </w:tr>
      <w:tr>
        <w:tc>
          <w:tcPr>
            <w:tcW w:type="dxa" w:w="30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8"/>
                <w:szCs w:val="18"/>
              </w:rPr>
              <w:t xml:space="preserve">Cluster × category model matrix</w:t>
            </w:r>
          </w:p>
        </w:tc>
        <w:tc>
          <w:tcPr>
            <w:tcW w:type="dxa" w:w="860"/>
            <w:tcBorders>
              <w:top w:val="single" w:color="CCCCCC" w:sz="1"/>
              <w:left w:val="single" w:color="CCCCCC" w:sz="1"/>
              <w:bottom w:val="single" w:color="CCCCCC" w:sz="1"/>
              <w:right w:val="single" w:color="CCCCCC" w:sz="1"/>
            </w:tcBorders>
            <w:shd w:fill="D9EAD3" w:val="clear"/>
            <w:tcMar>
              <w:top w:type="dxa" w:w="75"/>
              <w:left w:type="dxa" w:w="90"/>
              <w:bottom w:type="dxa" w:w="75"/>
              <w:right w:type="dxa" w:w="75"/>
            </w:tcMar>
          </w:tcPr>
          <w:p>
            <w:pPr>
              <w:jc w:val="left"/>
            </w:pPr>
            <w:r>
              <w:rPr>
                <w:rFonts w:ascii="Arial" w:cs="Arial" w:eastAsia="Arial" w:hAnsi="Arial"/>
                <w:b w:val="false"/>
                <w:bCs w:val="false"/>
                <w:color w:val="1E6B3C"/>
                <w:sz w:val="18"/>
                <w:szCs w:val="18"/>
              </w:rPr>
              <w:t xml:space="preserve">✅ Novel</w:t>
            </w:r>
          </w:p>
        </w:tc>
        <w:tc>
          <w:tcPr>
            <w:tcW w:type="dxa" w:w="55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b w:val="false"/>
                <w:bCs w:val="false"/>
                <w:color w:val="000000"/>
                <w:sz w:val="18"/>
                <w:szCs w:val="18"/>
              </w:rPr>
              <w:t xml:space="preserve">Full two-dimensional stratification (spatial zone × intensity class). No published paper uses both simultaneously. Zhang et al. (2019): zones only. Lei et al. (2022): classes only. Genuinely advances the field.</w:t>
            </w:r>
          </w:p>
        </w:tc>
      </w:tr>
      <w:tr>
        <w:tc>
          <w:tcPr>
            <w:tcW w:type="dxa" w:w="30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8"/>
                <w:szCs w:val="18"/>
              </w:rPr>
              <w:t xml:space="preserve">RF + XGBoost parallel classifiers</w:t>
            </w:r>
          </w:p>
        </w:tc>
        <w:tc>
          <w:tcPr>
            <w:tcW w:type="dxa" w:w="860"/>
            <w:tcBorders>
              <w:top w:val="single" w:color="CCCCCC" w:sz="1"/>
              <w:left w:val="single" w:color="CCCCCC" w:sz="1"/>
              <w:bottom w:val="single" w:color="CCCCCC" w:sz="1"/>
              <w:right w:val="single" w:color="CCCCCC" w:sz="1"/>
            </w:tcBorders>
            <w:shd w:fill="D9EAD3" w:val="clear"/>
            <w:tcMar>
              <w:top w:type="dxa" w:w="75"/>
              <w:left w:type="dxa" w:w="90"/>
              <w:bottom w:type="dxa" w:w="75"/>
              <w:right w:type="dxa" w:w="75"/>
            </w:tcMar>
          </w:tcPr>
          <w:p>
            <w:pPr>
              <w:jc w:val="left"/>
            </w:pPr>
            <w:r>
              <w:rPr>
                <w:rFonts w:ascii="Arial" w:cs="Arial" w:eastAsia="Arial" w:hAnsi="Arial"/>
                <w:b w:val="false"/>
                <w:bCs w:val="false"/>
                <w:color w:val="1E6B3C"/>
                <w:sz w:val="18"/>
                <w:szCs w:val="18"/>
              </w:rPr>
              <w:t xml:space="preserve">✅ Aligned</w:t>
            </w:r>
          </w:p>
        </w:tc>
        <w:tc>
          <w:tcPr>
            <w:tcW w:type="dxa" w:w="55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b w:val="false"/>
                <w:bCs w:val="false"/>
                <w:color w:val="000000"/>
                <w:sz w:val="18"/>
                <w:szCs w:val="18"/>
              </w:rPr>
              <w:t xml:space="preserve">Directly follows Lei et al. (2022) recommendation. XGBoost handles no-rain class imbalance better; model selected per cluster by HSS — a principled, data-driven choice.</w:t>
            </w:r>
          </w:p>
        </w:tc>
      </w:tr>
      <w:tr>
        <w:tc>
          <w:tcPr>
            <w:tcW w:type="dxa" w:w="30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8"/>
                <w:szCs w:val="18"/>
              </w:rPr>
              <w:t xml:space="preserve">Residual kriging calibration</w:t>
            </w:r>
          </w:p>
        </w:tc>
        <w:tc>
          <w:tcPr>
            <w:tcW w:type="dxa" w:w="860"/>
            <w:tcBorders>
              <w:top w:val="single" w:color="CCCCCC" w:sz="1"/>
              <w:left w:val="single" w:color="CCCCCC" w:sz="1"/>
              <w:bottom w:val="single" w:color="CCCCCC" w:sz="1"/>
              <w:right w:val="single" w:color="CCCCCC" w:sz="1"/>
            </w:tcBorders>
            <w:shd w:fill="D9EAD3" w:val="clear"/>
            <w:tcMar>
              <w:top w:type="dxa" w:w="75"/>
              <w:left w:type="dxa" w:w="90"/>
              <w:bottom w:type="dxa" w:w="75"/>
              <w:right w:type="dxa" w:w="75"/>
            </w:tcMar>
          </w:tcPr>
          <w:p>
            <w:pPr>
              <w:jc w:val="left"/>
            </w:pPr>
            <w:r>
              <w:rPr>
                <w:rFonts w:ascii="Arial" w:cs="Arial" w:eastAsia="Arial" w:hAnsi="Arial"/>
                <w:b w:val="false"/>
                <w:bCs w:val="false"/>
                <w:color w:val="1E6B3C"/>
                <w:sz w:val="18"/>
                <w:szCs w:val="18"/>
              </w:rPr>
              <w:t xml:space="preserve">✅ Aligned</w:t>
            </w:r>
          </w:p>
        </w:tc>
        <w:tc>
          <w:tcPr>
            <w:tcW w:type="dxa" w:w="55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b w:val="false"/>
                <w:bCs w:val="false"/>
                <w:color w:val="000000"/>
                <w:sz w:val="18"/>
                <w:szCs w:val="18"/>
              </w:rPr>
              <w:t xml:space="preserve">Standard Regression Kriging (Waongo 2024 Eq. 6; Hengl &amp; Pebesma 2003). Post-prediction residuals carry no leakage risk. Widely validated in spatial climatology literature.</w:t>
            </w:r>
          </w:p>
        </w:tc>
      </w:tr>
      <w:tr>
        <w:tc>
          <w:tcPr>
            <w:tcW w:type="dxa" w:w="30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8"/>
                <w:szCs w:val="18"/>
              </w:rPr>
              <w:t xml:space="preserve">Spatially-blocked train/test split + sealed test set</w:t>
            </w:r>
          </w:p>
        </w:tc>
        <w:tc>
          <w:tcPr>
            <w:tcW w:type="dxa" w:w="860"/>
            <w:tcBorders>
              <w:top w:val="single" w:color="CCCCCC" w:sz="1"/>
              <w:left w:val="single" w:color="CCCCCC" w:sz="1"/>
              <w:bottom w:val="single" w:color="CCCCCC" w:sz="1"/>
              <w:right w:val="single" w:color="CCCCCC" w:sz="1"/>
            </w:tcBorders>
            <w:shd w:fill="D9EAD3" w:val="clear"/>
            <w:tcMar>
              <w:top w:type="dxa" w:w="75"/>
              <w:left w:type="dxa" w:w="90"/>
              <w:bottom w:type="dxa" w:w="75"/>
              <w:right w:type="dxa" w:w="75"/>
            </w:tcMar>
          </w:tcPr>
          <w:p>
            <w:pPr>
              <w:jc w:val="left"/>
            </w:pPr>
            <w:r>
              <w:rPr>
                <w:rFonts w:ascii="Arial" w:cs="Arial" w:eastAsia="Arial" w:hAnsi="Arial"/>
                <w:b w:val="false"/>
                <w:bCs w:val="false"/>
                <w:color w:val="1E6B3C"/>
                <w:sz w:val="18"/>
                <w:szCs w:val="18"/>
              </w:rPr>
              <w:t xml:space="preserve">✅ Aligned</w:t>
            </w:r>
          </w:p>
        </w:tc>
        <w:tc>
          <w:tcPr>
            <w:tcW w:type="dxa" w:w="55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b w:val="false"/>
                <w:bCs w:val="false"/>
                <w:color w:val="000000"/>
                <w:sz w:val="18"/>
                <w:szCs w:val="18"/>
              </w:rPr>
              <w:t xml:space="preserve">Spatial blocking (Step 10) prevents proximity leakage. Test set used only in M4 — never exposed during M5 training or hyperparameter tuning. Consistent with Hengl et al. (2018) and Roberts et al. (2017).</w:t>
            </w:r>
          </w:p>
        </w:tc>
      </w:tr>
      <w:tr>
        <w:tc>
          <w:tcPr>
            <w:tcW w:type="dxa" w:w="30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left"/>
            </w:pPr>
            <w:r>
              <w:rPr>
                <w:rFonts w:ascii="Arial" w:cs="Arial" w:eastAsia="Arial" w:hAnsi="Arial"/>
                <w:b/>
                <w:bCs/>
                <w:color w:val="1F3864"/>
                <w:sz w:val="18"/>
                <w:szCs w:val="18"/>
              </w:rPr>
              <w:t xml:space="preserve">SHAP per cluster (M4, Step 14)</w:t>
            </w:r>
          </w:p>
        </w:tc>
        <w:tc>
          <w:tcPr>
            <w:tcW w:type="dxa" w:w="860"/>
            <w:tcBorders>
              <w:top w:val="single" w:color="CCCCCC" w:sz="1"/>
              <w:left w:val="single" w:color="CCCCCC" w:sz="1"/>
              <w:bottom w:val="single" w:color="CCCCCC" w:sz="1"/>
              <w:right w:val="single" w:color="CCCCCC" w:sz="1"/>
            </w:tcBorders>
            <w:shd w:fill="D9EAD3" w:val="clear"/>
            <w:tcMar>
              <w:top w:type="dxa" w:w="75"/>
              <w:left w:type="dxa" w:w="90"/>
              <w:bottom w:type="dxa" w:w="75"/>
              <w:right w:type="dxa" w:w="75"/>
            </w:tcMar>
          </w:tcPr>
          <w:p>
            <w:pPr>
              <w:jc w:val="left"/>
            </w:pPr>
            <w:r>
              <w:rPr>
                <w:rFonts w:ascii="Arial" w:cs="Arial" w:eastAsia="Arial" w:hAnsi="Arial"/>
                <w:b w:val="false"/>
                <w:bCs w:val="false"/>
                <w:color w:val="1E6B3C"/>
                <w:sz w:val="18"/>
                <w:szCs w:val="18"/>
              </w:rPr>
              <w:t xml:space="preserve">✅ Recommended</w:t>
            </w:r>
          </w:p>
        </w:tc>
        <w:tc>
          <w:tcPr>
            <w:tcW w:type="dxa" w:w="5500"/>
            <w:tcBorders>
              <w:top w:val="single" w:color="CCCCCC" w:sz="1"/>
              <w:left w:val="single" w:color="CCCCCC" w:sz="1"/>
              <w:bottom w:val="single" w:color="CCCCCC" w:sz="1"/>
              <w:right w:val="single" w:color="CCCCCC" w:sz="1"/>
            </w:tcBorders>
            <w:shd w:fill="FFFFFF" w:val="clear"/>
            <w:tcMar>
              <w:top w:type="dxa" w:w="75"/>
              <w:left w:type="dxa" w:w="90"/>
              <w:bottom w:type="dxa" w:w="75"/>
              <w:right w:type="dxa" w:w="75"/>
            </w:tcMar>
          </w:tcPr>
          <w:p>
            <w:pPr>
              <w:jc w:val="both"/>
            </w:pPr>
            <w:r>
              <w:rPr>
                <w:rFonts w:ascii="Arial" w:cs="Arial" w:eastAsia="Arial" w:hAnsi="Arial"/>
                <w:b w:val="false"/>
                <w:bCs w:val="false"/>
                <w:color w:val="000000"/>
                <w:sz w:val="18"/>
                <w:szCs w:val="18"/>
              </w:rPr>
              <w:t xml:space="preserve">Chen et al. (2024) and 2025 optimization studies confirm SHAP as the standard for RF explainability in precipitation downscaling. Per-cluster SHAP maps are an independent publishable contribution.</w:t>
            </w:r>
          </w:p>
        </w:tc>
      </w:tr>
      <w:tr>
        <w:tc>
          <w:tcPr>
            <w:tcW w:type="dxa" w:w="30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left"/>
            </w:pPr>
            <w:r>
              <w:rPr>
                <w:rFonts w:ascii="Arial" w:cs="Arial" w:eastAsia="Arial" w:hAnsi="Arial"/>
                <w:b/>
                <w:bCs/>
                <w:color w:val="1F3864"/>
                <w:sz w:val="18"/>
                <w:szCs w:val="18"/>
              </w:rPr>
              <w:t xml:space="preserve">Fallback rule for sparse strata</w:t>
            </w:r>
          </w:p>
        </w:tc>
        <w:tc>
          <w:tcPr>
            <w:tcW w:type="dxa" w:w="860"/>
            <w:tcBorders>
              <w:top w:val="single" w:color="CCCCCC" w:sz="1"/>
              <w:left w:val="single" w:color="CCCCCC" w:sz="1"/>
              <w:bottom w:val="single" w:color="CCCCCC" w:sz="1"/>
              <w:right w:val="single" w:color="CCCCCC" w:sz="1"/>
            </w:tcBorders>
            <w:shd w:fill="D9EAD3" w:val="clear"/>
            <w:tcMar>
              <w:top w:type="dxa" w:w="75"/>
              <w:left w:type="dxa" w:w="90"/>
              <w:bottom w:type="dxa" w:w="75"/>
              <w:right w:type="dxa" w:w="75"/>
            </w:tcMar>
          </w:tcPr>
          <w:p>
            <w:pPr>
              <w:jc w:val="left"/>
            </w:pPr>
            <w:r>
              <w:rPr>
                <w:rFonts w:ascii="Arial" w:cs="Arial" w:eastAsia="Arial" w:hAnsi="Arial"/>
                <w:b w:val="false"/>
                <w:bCs w:val="false"/>
                <w:color w:val="1E6B3C"/>
                <w:sz w:val="18"/>
                <w:szCs w:val="18"/>
              </w:rPr>
              <w:t xml:space="preserve">✅ Recommended</w:t>
            </w:r>
          </w:p>
        </w:tc>
        <w:tc>
          <w:tcPr>
            <w:tcW w:type="dxa" w:w="5500"/>
            <w:tcBorders>
              <w:top w:val="single" w:color="CCCCCC" w:sz="1"/>
              <w:left w:val="single" w:color="CCCCCC" w:sz="1"/>
              <w:bottom w:val="single" w:color="CCCCCC" w:sz="1"/>
              <w:right w:val="single" w:color="CCCCCC" w:sz="1"/>
            </w:tcBorders>
            <w:shd w:fill="F2F2F2" w:val="clear"/>
            <w:tcMar>
              <w:top w:type="dxa" w:w="75"/>
              <w:left w:type="dxa" w:w="90"/>
              <w:bottom w:type="dxa" w:w="75"/>
              <w:right w:type="dxa" w:w="75"/>
            </w:tcMar>
          </w:tcPr>
          <w:p>
            <w:pPr>
              <w:jc w:val="both"/>
            </w:pPr>
            <w:r>
              <w:rPr>
                <w:rFonts w:ascii="Arial" w:cs="Arial" w:eastAsia="Arial" w:hAnsi="Arial"/>
                <w:b w:val="false"/>
                <w:bCs w:val="false"/>
                <w:color w:val="000000"/>
                <w:sz w:val="18"/>
                <w:szCs w:val="18"/>
              </w:rPr>
              <w:t xml:space="preserve">Essential for Nepal's sparse high-altitude gauge network. Documented fallback (cluster model → global model) prevents silent training failures and is necessary for methodological completeness.</w:t>
            </w:r>
          </w:p>
        </w:tc>
      </w:tr>
    </w:tbl>
    <w:p>
      <w:pPr>
        <w:spacing w:before="140" w:after="0"/>
      </w:pPr>
      <w:r>
        <w:rPr>
          <w:rFonts w:ascii="Arial" w:cs="Arial" w:eastAsia="Arial" w:hAnsi="Arial"/>
          <w:sz w:val="20"/>
          <w:szCs w:val="20"/>
        </w:rPr>
        <w:t xml:space="preserve"/>
      </w:r>
    </w:p>
    <w:p>
      <w:pPr>
        <w:pStyle w:val="Heading1"/>
      </w:pPr>
      <w:r>
        <w:rPr>
          <w:rFonts w:ascii="Arial" w:cs="Arial" w:eastAsia="Arial" w:hAnsi="Arial"/>
          <w:b/>
          <w:bCs/>
          <w:color w:val="1F3864"/>
          <w:sz w:val="26"/>
          <w:szCs w:val="26"/>
        </w:rPr>
        <w:t xml:space="preserve">8.  Key References</w:t>
      </w:r>
    </w:p>
    <w:p>
      <w:pPr>
        <w:pStyle w:val="ListParagraph"/>
        <w:numPr>
          <w:ilvl w:val="0"/>
          <w:numId w:val="2"/>
        </w:numPr>
        <w:spacing w:before="40" w:after="40"/>
      </w:pPr>
      <w:r>
        <w:rPr>
          <w:rFonts w:ascii="Arial" w:cs="Arial" w:eastAsia="Arial" w:hAnsi="Arial"/>
          <w:i/>
          <w:iCs/>
          <w:color w:val="595959"/>
          <w:sz w:val="17"/>
          <w:szCs w:val="17"/>
        </w:rPr>
        <w:t xml:space="preserve">Baez-Villanueva, O.M. et al. (2020). RF-MEP: Random Forest method for merging gridded precipitation. Remote Sens. Environ., 239, 111606.</w:t>
      </w:r>
    </w:p>
    <w:p>
      <w:pPr>
        <w:pStyle w:val="ListParagraph"/>
        <w:numPr>
          <w:ilvl w:val="0"/>
          <w:numId w:val="2"/>
        </w:numPr>
        <w:spacing w:before="40" w:after="40"/>
      </w:pPr>
      <w:r>
        <w:rPr>
          <w:rFonts w:ascii="Arial" w:cs="Arial" w:eastAsia="Arial" w:hAnsi="Arial"/>
          <w:i/>
          <w:iCs/>
          <w:color w:val="595959"/>
          <w:sz w:val="17"/>
          <w:szCs w:val="17"/>
        </w:rPr>
        <w:t xml:space="preserve">Chen, C., Hu, B., Li, Y. (2021). SRF-DC: spatial random-forest downscaling-calibration for precipitation. Hydrol. Earth Syst. Sci., 25, 5667–5682.</w:t>
      </w:r>
    </w:p>
    <w:p>
      <w:pPr>
        <w:pStyle w:val="ListParagraph"/>
        <w:numPr>
          <w:ilvl w:val="0"/>
          <w:numId w:val="2"/>
        </w:numPr>
        <w:spacing w:before="40" w:after="40"/>
      </w:pPr>
      <w:r>
        <w:rPr>
          <w:rFonts w:ascii="Arial" w:cs="Arial" w:eastAsia="Arial" w:hAnsi="Arial"/>
          <w:i/>
          <w:iCs/>
          <w:color w:val="595959"/>
          <w:sz w:val="17"/>
          <w:szCs w:val="17"/>
        </w:rPr>
        <w:t xml:space="preserve">Chen, C., He, Q., Li, Y. (2024). RF downscaling-merging with spatial autocorrelation. J. Hydrology, 632, 130919.</w:t>
      </w:r>
    </w:p>
    <w:p>
      <w:pPr>
        <w:pStyle w:val="ListParagraph"/>
        <w:numPr>
          <w:ilvl w:val="0"/>
          <w:numId w:val="2"/>
        </w:numPr>
        <w:spacing w:before="40" w:after="40"/>
      </w:pPr>
      <w:r>
        <w:rPr>
          <w:rFonts w:ascii="Arial" w:cs="Arial" w:eastAsia="Arial" w:hAnsi="Arial"/>
          <w:i/>
          <w:iCs/>
          <w:color w:val="595959"/>
          <w:sz w:val="17"/>
          <w:szCs w:val="17"/>
        </w:rPr>
        <w:t xml:space="preserve">Dangol, S., Talchabhadel, R., Pandey, V.P. (2022). Bias correction of gridded precipitation over Arun Basin, Nepal. Hydrol. Process., 36(1).</w:t>
      </w:r>
    </w:p>
    <w:p>
      <w:pPr>
        <w:pStyle w:val="ListParagraph"/>
        <w:numPr>
          <w:ilvl w:val="0"/>
          <w:numId w:val="2"/>
        </w:numPr>
        <w:spacing w:before="40" w:after="40"/>
      </w:pPr>
      <w:r>
        <w:rPr>
          <w:rFonts w:ascii="Arial" w:cs="Arial" w:eastAsia="Arial" w:hAnsi="Arial"/>
          <w:i/>
          <w:iCs/>
          <w:color w:val="595959"/>
          <w:sz w:val="17"/>
          <w:szCs w:val="17"/>
        </w:rPr>
        <w:t xml:space="preserve">He, X. et al. (2016). Spatial downscaling using adaptable random forests (Prec-DWARF). Water Resour. Res., 52, 8695–8711.</w:t>
      </w:r>
    </w:p>
    <w:p>
      <w:pPr>
        <w:pStyle w:val="ListParagraph"/>
        <w:numPr>
          <w:ilvl w:val="0"/>
          <w:numId w:val="2"/>
        </w:numPr>
        <w:spacing w:before="40" w:after="40"/>
      </w:pPr>
      <w:r>
        <w:rPr>
          <w:rFonts w:ascii="Arial" w:cs="Arial" w:eastAsia="Arial" w:hAnsi="Arial"/>
          <w:i/>
          <w:iCs/>
          <w:color w:val="595959"/>
          <w:sz w:val="17"/>
          <w:szCs w:val="17"/>
        </w:rPr>
        <w:t xml:space="preserve">Hengl, T. et al. (2018). Random forest as a generic framework for spatial prediction. PeerJ, 6, e5518.</w:t>
      </w:r>
    </w:p>
    <w:p>
      <w:pPr>
        <w:pStyle w:val="ListParagraph"/>
        <w:numPr>
          <w:ilvl w:val="0"/>
          <w:numId w:val="2"/>
        </w:numPr>
        <w:spacing w:before="40" w:after="40"/>
      </w:pPr>
      <w:r>
        <w:rPr>
          <w:rFonts w:ascii="Arial" w:cs="Arial" w:eastAsia="Arial" w:hAnsi="Arial"/>
          <w:i/>
          <w:iCs/>
          <w:color w:val="595959"/>
          <w:sz w:val="17"/>
          <w:szCs w:val="17"/>
        </w:rPr>
        <w:t xml:space="preserve">Hengl, T. &amp; Pebesma, E.J. (2003). Spatial prediction using regression kriging. Computers &amp; Geosciences, 29(8), 991–1005.</w:t>
      </w:r>
    </w:p>
    <w:p>
      <w:pPr>
        <w:pStyle w:val="ListParagraph"/>
        <w:numPr>
          <w:ilvl w:val="0"/>
          <w:numId w:val="2"/>
        </w:numPr>
        <w:spacing w:before="40" w:after="40"/>
      </w:pPr>
      <w:r>
        <w:rPr>
          <w:rFonts w:ascii="Arial" w:cs="Arial" w:eastAsia="Arial" w:hAnsi="Arial"/>
          <w:i/>
          <w:iCs/>
          <w:color w:val="595959"/>
          <w:sz w:val="17"/>
          <w:szCs w:val="17"/>
        </w:rPr>
        <w:t xml:space="preserve">Jing, W. et al. (2016). Comparison of regression algorithms for downscaling satellite-based precipitation. Remote Sensing, 8(10), 835.</w:t>
      </w:r>
    </w:p>
    <w:p>
      <w:pPr>
        <w:pStyle w:val="ListParagraph"/>
        <w:numPr>
          <w:ilvl w:val="0"/>
          <w:numId w:val="2"/>
        </w:numPr>
        <w:spacing w:before="40" w:after="40"/>
      </w:pPr>
      <w:r>
        <w:rPr>
          <w:rFonts w:ascii="Arial" w:cs="Arial" w:eastAsia="Arial" w:hAnsi="Arial"/>
          <w:i/>
          <w:iCs/>
          <w:color w:val="595959"/>
          <w:sz w:val="17"/>
          <w:szCs w:val="17"/>
        </w:rPr>
        <w:t xml:space="preserve">Lei, H., Zhao, H., Ao, T. (2022). Two-step ML merging: classification + regression for multi-source precipitation. Hydrol. Earth Syst. Sci., 26, 3985–4002.</w:t>
      </w:r>
    </w:p>
    <w:p>
      <w:pPr>
        <w:pStyle w:val="ListParagraph"/>
        <w:numPr>
          <w:ilvl w:val="0"/>
          <w:numId w:val="2"/>
        </w:numPr>
        <w:spacing w:before="40" w:after="40"/>
      </w:pPr>
      <w:r>
        <w:rPr>
          <w:rFonts w:ascii="Arial" w:cs="Arial" w:eastAsia="Arial" w:hAnsi="Arial"/>
          <w:i/>
          <w:iCs/>
          <w:color w:val="595959"/>
          <w:sz w:val="17"/>
          <w:szCs w:val="17"/>
        </w:rPr>
        <w:t xml:space="preserve">Muñoz-Sabater, J. et al. (2021). ERA5-Land: global land surface reanalysis. Earth Syst. Sci. Data, 13, 4349–4383.</w:t>
      </w:r>
    </w:p>
    <w:p>
      <w:pPr>
        <w:pStyle w:val="ListParagraph"/>
        <w:numPr>
          <w:ilvl w:val="0"/>
          <w:numId w:val="2"/>
        </w:numPr>
        <w:spacing w:before="40" w:after="40"/>
      </w:pPr>
      <w:r>
        <w:rPr>
          <w:rFonts w:ascii="Arial" w:cs="Arial" w:eastAsia="Arial" w:hAnsi="Arial"/>
          <w:i/>
          <w:iCs/>
          <w:color w:val="595959"/>
          <w:sz w:val="17"/>
          <w:szCs w:val="17"/>
        </w:rPr>
        <w:t xml:space="preserve">Sachindra, D.A. et al. (2018). Statistical downscaling using machine learning. Int. J. Climatol., 38(8), 3283–3299.</w:t>
      </w:r>
    </w:p>
    <w:p>
      <w:pPr>
        <w:pStyle w:val="ListParagraph"/>
        <w:numPr>
          <w:ilvl w:val="0"/>
          <w:numId w:val="2"/>
        </w:numPr>
        <w:spacing w:before="40" w:after="40"/>
      </w:pPr>
      <w:r>
        <w:rPr>
          <w:rFonts w:ascii="Arial" w:cs="Arial" w:eastAsia="Arial" w:hAnsi="Arial"/>
          <w:i/>
          <w:iCs/>
          <w:color w:val="595959"/>
          <w:sz w:val="17"/>
          <w:szCs w:val="17"/>
        </w:rPr>
        <w:t xml:space="preserve">Sun, Q. et al. (2018). Review of global precipitation datasets. Rev. Geophys., 56(1), 79–107.</w:t>
      </w:r>
    </w:p>
    <w:p>
      <w:pPr>
        <w:pStyle w:val="ListParagraph"/>
        <w:numPr>
          <w:ilvl w:val="0"/>
          <w:numId w:val="2"/>
        </w:numPr>
        <w:spacing w:before="40" w:after="40"/>
      </w:pPr>
      <w:r>
        <w:rPr>
          <w:rFonts w:ascii="Arial" w:cs="Arial" w:eastAsia="Arial" w:hAnsi="Arial"/>
          <w:i/>
          <w:iCs/>
          <w:color w:val="595959"/>
          <w:sz w:val="17"/>
          <w:szCs w:val="17"/>
        </w:rPr>
        <w:t xml:space="preserve">Waongo, M. et al. (2024). Merging approach for improving gridded precipitation over Burkina Faso. Remote Sensing, 16(4), 631.</w:t>
      </w:r>
    </w:p>
    <w:p>
      <w:pPr>
        <w:pStyle w:val="ListParagraph"/>
        <w:numPr>
          <w:ilvl w:val="0"/>
          <w:numId w:val="2"/>
        </w:numPr>
        <w:spacing w:before="40" w:after="40"/>
      </w:pPr>
      <w:r>
        <w:rPr>
          <w:rFonts w:ascii="Arial" w:cs="Arial" w:eastAsia="Arial" w:hAnsi="Arial"/>
          <w:i/>
          <w:iCs/>
          <w:color w:val="595959"/>
          <w:sz w:val="17"/>
          <w:szCs w:val="17"/>
        </w:rPr>
        <w:t xml:space="preserve">Yin, Z.-Y. et al. (2008). Biases of satellite rainfall estimates over Tibetan Plateau: topographic correction. J. Hydrometeorol., 9(2), 301–326.</w:t>
      </w:r>
    </w:p>
    <w:p>
      <w:pPr>
        <w:pStyle w:val="ListParagraph"/>
        <w:numPr>
          <w:ilvl w:val="0"/>
          <w:numId w:val="2"/>
        </w:numPr>
        <w:spacing w:before="40" w:after="40"/>
      </w:pPr>
      <w:r>
        <w:rPr>
          <w:rFonts w:ascii="Arial" w:cs="Arial" w:eastAsia="Arial" w:hAnsi="Arial"/>
          <w:i/>
          <w:iCs/>
          <w:color w:val="595959"/>
          <w:sz w:val="17"/>
          <w:szCs w:val="17"/>
        </w:rPr>
        <w:t xml:space="preserve">Zhang, J. et al. (2019). Precipitation zoning with RF regression for spatial downscaling. Hydrol. Process., 33, 3128–3142.</w:t>
      </w:r>
    </w:p>
    <w:sectPr>
      <w:footerReference w:type="default" r:id="rId6"/>
      <w:pgSz w:w="12240" w:h="15840"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Nepal Precipitation Downscaling — Workflow Document  |  p.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Study period: 1990–2019  |  26.3°N–30.5°N, 80.0°E–88.2°E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96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20" w:after="100"/>
      <w:outlineLvl w:val="0"/>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2026-02-27T10:40:27.709Z</dcterms:created>
  <dcterms:modified xsi:type="dcterms:W3CDTF">2026-02-27T10:40:27.710Z</dcterms:modified>
</cp:coreProperties>
</file>

<file path=docProps/custom.xml><?xml version="1.0" encoding="utf-8"?>
<Properties xmlns="http://schemas.openxmlformats.org/officeDocument/2006/custom-properties" xmlns:vt="http://schemas.openxmlformats.org/officeDocument/2006/docPropsVTypes"/>
</file>