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31C6" w14:textId="6FB06D80" w:rsidR="00EA799F" w:rsidRPr="008B7EEC" w:rsidRDefault="008B7EEC">
      <w:pPr>
        <w:rPr>
          <w:b/>
          <w:bCs/>
        </w:rPr>
      </w:pPr>
      <w:r w:rsidRPr="008B7EEC">
        <w:rPr>
          <w:b/>
          <w:bCs/>
        </w:rPr>
        <w:t>Revised Workflow (according to reviewer’s comments)</w:t>
      </w:r>
    </w:p>
    <w:p w14:paraId="3B7C8A0B" w14:textId="71C597B2" w:rsidR="008B7EEC" w:rsidRDefault="008B7EEC" w:rsidP="008B7EEC">
      <w:pPr>
        <w:pStyle w:val="ListParagraph"/>
        <w:numPr>
          <w:ilvl w:val="0"/>
          <w:numId w:val="1"/>
        </w:numPr>
      </w:pPr>
      <w:r>
        <w:t>Validate LSP metrics obtained from MODIS-EVI (</w:t>
      </w:r>
      <w:r w:rsidRPr="008B7EEC">
        <w:t>MOD13Q1.061</w:t>
      </w:r>
      <w:r>
        <w:t>) using standard LSP data (</w:t>
      </w:r>
      <w:r w:rsidRPr="008B7EEC">
        <w:t>MCD12Q2</w:t>
      </w:r>
      <w:r>
        <w:t>). MODIS-EVI is still preferred to (and only validated using MCD12Q2) because of the superior resolution (250 m vs 500 m) that makes a crucial difference in Nepal’s rugged terrain.</w:t>
      </w:r>
    </w:p>
    <w:p w14:paraId="39AA023A" w14:textId="1AACDC32" w:rsidR="008B7EEC" w:rsidRDefault="008B7EEC" w:rsidP="008B7EEC">
      <w:pPr>
        <w:pStyle w:val="ListParagraph"/>
        <w:numPr>
          <w:ilvl w:val="0"/>
          <w:numId w:val="1"/>
        </w:numPr>
      </w:pPr>
      <w:r>
        <w:t>Calculate LSP trends (SOS, EOS, LOS and POS) for entire Nepal from 2001 to 2024 using scaled (scaling from 8-day index raster values to actual DOY is necessary) LSP raster using Mann Kendall Trend Test and Sen’s slope.</w:t>
      </w:r>
    </w:p>
    <w:p w14:paraId="1B40B1F9" w14:textId="30FF0522" w:rsidR="008B7EEC" w:rsidRDefault="009357DA" w:rsidP="008B7EEC">
      <w:pPr>
        <w:pStyle w:val="ListParagraph"/>
        <w:numPr>
          <w:ilvl w:val="0"/>
          <w:numId w:val="1"/>
        </w:numPr>
      </w:pPr>
      <w:r>
        <w:t>Stratify entire region by (9 ecoregions, 4 aspect classes, and 4 slope classes) to different spatial units (SU) and extract pixelwise trend results within each SU</w:t>
      </w:r>
    </w:p>
    <w:p w14:paraId="125498CA" w14:textId="7A646CB1" w:rsidR="009357DA" w:rsidRDefault="009357DA" w:rsidP="008B7EEC">
      <w:pPr>
        <w:pStyle w:val="ListParagraph"/>
        <w:numPr>
          <w:ilvl w:val="0"/>
          <w:numId w:val="1"/>
        </w:numPr>
      </w:pPr>
      <w:r>
        <w:t>Apply stronger trend criteria to each SU: (</w:t>
      </w:r>
      <w:proofErr w:type="spellStart"/>
      <w:r>
        <w:t>i</w:t>
      </w:r>
      <w:proofErr w:type="spellEnd"/>
      <w:r>
        <w:t>) the percentage of significant pixels (number of significant pixels to total trend fitted pixels) must be &gt; 5% (ii) the ratio of pixels with significant positive trend to significant negative trend, or Trend Asymmetry Ratio (TAR) &gt; 2 or &lt; 0.5. This imposes strict criteria and SUs with only significant and notable LSP changes are identified.</w:t>
      </w:r>
    </w:p>
    <w:p w14:paraId="2470BD95" w14:textId="63EA51DA" w:rsidR="009357DA" w:rsidRDefault="009357DA" w:rsidP="008B7EEC">
      <w:pPr>
        <w:pStyle w:val="ListParagraph"/>
        <w:numPr>
          <w:ilvl w:val="0"/>
          <w:numId w:val="1"/>
        </w:numPr>
      </w:pPr>
      <w:r>
        <w:t>Using SUs that pass these criteria, report within each ecoregion: Area % of positive trend, Area % of negative trends, Positive trend value, Negative trend value, averaged trend value (if overall ecoregion passes TAR threshold)</w:t>
      </w:r>
    </w:p>
    <w:p w14:paraId="71FEE7C0" w14:textId="69FA2C2D" w:rsidR="007D4650" w:rsidRDefault="009357DA" w:rsidP="007D4650">
      <w:pPr>
        <w:pStyle w:val="ListParagraph"/>
        <w:numPr>
          <w:ilvl w:val="0"/>
          <w:numId w:val="1"/>
        </w:numPr>
      </w:pPr>
      <w:r>
        <w:t>Perform partial correlation analysis to investigate the role of topographic (elevation, slope and aspect) and environmental factors (precipitation, temperature, soil moisture, atmospheric CO2, solar radiation) on SOS and EOS within each ecoregion using only SUs that pass the above strict criteria.</w:t>
      </w:r>
    </w:p>
    <w:sectPr w:rsidR="007D4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E5FC4"/>
    <w:multiLevelType w:val="hybridMultilevel"/>
    <w:tmpl w:val="5F3A9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869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122"/>
    <w:rsid w:val="0033244F"/>
    <w:rsid w:val="003A0122"/>
    <w:rsid w:val="0075255E"/>
    <w:rsid w:val="007D4650"/>
    <w:rsid w:val="00817379"/>
    <w:rsid w:val="008B7EEC"/>
    <w:rsid w:val="009357DA"/>
    <w:rsid w:val="00AC66C6"/>
    <w:rsid w:val="00CF39AE"/>
    <w:rsid w:val="00EA799F"/>
    <w:rsid w:val="00FA6BF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D8F3"/>
  <w15:chartTrackingRefBased/>
  <w15:docId w15:val="{65F2CBC2-3B66-4842-8D7B-026497921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1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1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1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1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1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1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1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1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1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122"/>
    <w:rPr>
      <w:rFonts w:eastAsiaTheme="majorEastAsia" w:cstheme="majorBidi"/>
      <w:color w:val="272727" w:themeColor="text1" w:themeTint="D8"/>
    </w:rPr>
  </w:style>
  <w:style w:type="paragraph" w:styleId="Title">
    <w:name w:val="Title"/>
    <w:basedOn w:val="Normal"/>
    <w:next w:val="Normal"/>
    <w:link w:val="TitleChar"/>
    <w:uiPriority w:val="10"/>
    <w:qFormat/>
    <w:rsid w:val="003A0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122"/>
    <w:pPr>
      <w:spacing w:before="160"/>
      <w:jc w:val="center"/>
    </w:pPr>
    <w:rPr>
      <w:i/>
      <w:iCs/>
      <w:color w:val="404040" w:themeColor="text1" w:themeTint="BF"/>
    </w:rPr>
  </w:style>
  <w:style w:type="character" w:customStyle="1" w:styleId="QuoteChar">
    <w:name w:val="Quote Char"/>
    <w:basedOn w:val="DefaultParagraphFont"/>
    <w:link w:val="Quote"/>
    <w:uiPriority w:val="29"/>
    <w:rsid w:val="003A0122"/>
    <w:rPr>
      <w:i/>
      <w:iCs/>
      <w:color w:val="404040" w:themeColor="text1" w:themeTint="BF"/>
    </w:rPr>
  </w:style>
  <w:style w:type="paragraph" w:styleId="ListParagraph">
    <w:name w:val="List Paragraph"/>
    <w:basedOn w:val="Normal"/>
    <w:uiPriority w:val="34"/>
    <w:qFormat/>
    <w:rsid w:val="003A0122"/>
    <w:pPr>
      <w:ind w:left="720"/>
      <w:contextualSpacing/>
    </w:pPr>
  </w:style>
  <w:style w:type="character" w:styleId="IntenseEmphasis">
    <w:name w:val="Intense Emphasis"/>
    <w:basedOn w:val="DefaultParagraphFont"/>
    <w:uiPriority w:val="21"/>
    <w:qFormat/>
    <w:rsid w:val="003A0122"/>
    <w:rPr>
      <w:i/>
      <w:iCs/>
      <w:color w:val="2F5496" w:themeColor="accent1" w:themeShade="BF"/>
    </w:rPr>
  </w:style>
  <w:style w:type="paragraph" w:styleId="IntenseQuote">
    <w:name w:val="Intense Quote"/>
    <w:basedOn w:val="Normal"/>
    <w:next w:val="Normal"/>
    <w:link w:val="IntenseQuoteChar"/>
    <w:uiPriority w:val="30"/>
    <w:qFormat/>
    <w:rsid w:val="003A01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122"/>
    <w:rPr>
      <w:i/>
      <w:iCs/>
      <w:color w:val="2F5496" w:themeColor="accent1" w:themeShade="BF"/>
    </w:rPr>
  </w:style>
  <w:style w:type="character" w:styleId="IntenseReference">
    <w:name w:val="Intense Reference"/>
    <w:basedOn w:val="DefaultParagraphFont"/>
    <w:uiPriority w:val="32"/>
    <w:qFormat/>
    <w:rsid w:val="003A01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Katel</dc:creator>
  <cp:keywords/>
  <dc:description/>
  <cp:lastModifiedBy>Jeevan Katel</cp:lastModifiedBy>
  <cp:revision>2</cp:revision>
  <dcterms:created xsi:type="dcterms:W3CDTF">2026-01-08T08:11:00Z</dcterms:created>
  <dcterms:modified xsi:type="dcterms:W3CDTF">2026-01-08T08:33:00Z</dcterms:modified>
</cp:coreProperties>
</file>