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title: "ATS Transfer Testing for Data Centers"</w:t>
        <w:br/>
        <w:t>description: "How to run ATS transfer testing in data centers with practical checks for timing, permissives, and real-world failover behavior."</w:t>
        <w:br/>
        <w:t>date: 2026-03-03T19:29:22+04:00</w:t>
        <w:br/>
        <w:t>featureimage: "/images/your-image.jpg"</w:t>
        <w:br/>
        <w:t>draft: true</w:t>
        <w:br/>
        <w:t>tags: ["Focus Mindset"]</w:t>
      </w:r>
    </w:p>
    <w:p>
      <w:r>
        <w:t>Focus Mindset</w:t>
      </w:r>
    </w:p>
    <w:p>
      <w:pPr>
        <w:pStyle w:val="Heading2"/>
      </w:pPr>
      <w:r>
        <w:t>Focus Mindset - Technical</w:t>
      </w:r>
    </w:p>
    <w:p>
      <w:pPr>
        <w:pStyle w:val="Heading2"/>
      </w:pPr>
      <w:r>
        <w:t>ATS Transfer Testing for Data Centers</w:t>
      </w:r>
    </w:p>
    <w:p>
      <w:pPr>
        <w:pStyle w:val="Heading3"/>
      </w:pPr>
      <w:r>
        <w:t>Abstract</w:t>
      </w:r>
    </w:p>
    <w:p>
      <w:r>
        <w:t>Automatic Transfer Switch (ATS) performance is a decisive reliability variable in data center power continuity. While generator and UPS readiness receive most operational attention, transfer logic, timing, and interlock behavior at ATS level frequently determine whether a disturbance remains transparent or escalates into service impact. This paper frames ATS testing as a system-validation discipline rather than a checklist activity, with emphasis on dynamic transfer behavior, permissive logic, and integrated testing under realistic operating states.</w:t>
      </w:r>
    </w:p>
    <w:p>
      <w:pPr>
        <w:pStyle w:val="Heading3"/>
      </w:pPr>
      <w:r>
        <w:t>1. Introduction</w:t>
      </w:r>
    </w:p>
    <w:p>
      <w:r>
        <w:t>Data centers depend on layered resilience, but layered design does not guarantee layered performance. In many sites, ATS assumptions remain unvalidated under true transition conditions: utility abnormality, generator availability delays, bypass states, and mixed critical/non-critical branch behavior.</w:t>
      </w:r>
    </w:p>
    <w:p>
      <w:r>
        <w:t>The operational risk is straightforward: if ATS sequencing, sensing, or interlocks behave differently in live conditions than in design documentation, even a healthy generator and UPS architecture can still produce load disruption. This article focuses on practical ATS transfer testing methodology for critical facilities, including scope boundaries, required evidence, and the relationship between transfer testing quality and outage risk posture.</w:t>
      </w:r>
    </w:p>
    <w:p>
      <w:pPr>
        <w:pStyle w:val="Heading3"/>
      </w:pPr>
      <w:r>
        <w:t>2. Technical Background</w:t>
      </w:r>
    </w:p>
    <w:p>
      <w:r>
        <w:t>Add key engineering principles and system behavior relevant to the topic.</w:t>
      </w:r>
    </w:p>
    <w:p>
      <w:pPr>
        <w:pStyle w:val="Heading3"/>
      </w:pPr>
      <w:r>
        <w:t>3. Standards and Requirements</w:t>
      </w:r>
    </w:p>
    <w:p>
      <w:r>
        <w:t>Summarize applicable standards, codes, OEM guidance, and required checks.</w:t>
      </w:r>
    </w:p>
    <w:p>
      <w:pPr>
        <w:pStyle w:val="ListBullet"/>
      </w:pPr>
      <w:r>
        <w:t>Requirement 1</w:t>
      </w:r>
    </w:p>
    <w:p>
      <w:pPr>
        <w:pStyle w:val="ListBullet"/>
      </w:pPr>
      <w:r>
        <w:t>Requirement 2</w:t>
      </w:r>
    </w:p>
    <w:p>
      <w:pPr>
        <w:pStyle w:val="ListBullet"/>
      </w:pPr>
      <w:r>
        <w:t>Requirement 3</w:t>
      </w:r>
    </w:p>
    <w:p>
      <w:pPr>
        <w:pStyle w:val="Heading3"/>
      </w:pPr>
      <w:r>
        <w:t>4. Failure Modes and Risk Analysis</w:t>
      </w:r>
    </w:p>
    <w:p>
      <w:r>
        <w:t>List realistic failure mechanisms, triggers, and impact pathways.</w:t>
      </w:r>
    </w:p>
    <w:p>
      <w:pPr>
        <w:pStyle w:val="ListBullet"/>
      </w:pPr>
      <w:r>
        <w:t>Failure mode 1</w:t>
      </w:r>
    </w:p>
    <w:p>
      <w:pPr>
        <w:pStyle w:val="ListBullet"/>
      </w:pPr>
      <w:r>
        <w:t>Failure mode 2</w:t>
      </w:r>
    </w:p>
    <w:p>
      <w:pPr>
        <w:pStyle w:val="ListBullet"/>
      </w:pPr>
      <w:r>
        <w:t>Failure mode 3</w:t>
      </w:r>
    </w:p>
    <w:p>
      <w:pPr>
        <w:pStyle w:val="Heading3"/>
      </w:pPr>
      <w:r>
        <w:t>5. Testing and Verification Method</w:t>
      </w:r>
    </w:p>
    <w:p>
      <w:r>
        <w:t>Describe how to validate design assumptions under controlled conditions.</w:t>
      </w:r>
    </w:p>
    <w:p>
      <w:pPr>
        <w:pStyle w:val="ListBullet"/>
      </w:pPr>
      <w:r>
        <w:t>Pros</w:t>
      </w:r>
    </w:p>
    <w:p>
      <w:pPr>
        <w:pStyle w:val="ListBullet"/>
      </w:pPr>
      <w:r>
        <w:t>Cons</w:t>
      </w:r>
    </w:p>
    <w:p>
      <w:pPr>
        <w:pStyle w:val="ListBullet"/>
      </w:pPr>
      <w:r>
        <w:t>Pros</w:t>
      </w:r>
    </w:p>
    <w:p>
      <w:pPr>
        <w:pStyle w:val="ListBullet"/>
      </w:pPr>
      <w:r>
        <w:t>Cons</w:t>
      </w:r>
    </w:p>
    <w:p>
      <w:pPr>
        <w:pStyle w:val="Heading3"/>
      </w:pPr>
      <w:r>
        <w:t>6. Compliance and Commercial Impact</w:t>
      </w:r>
    </w:p>
    <w:p>
      <w:r>
        <w:t>Explain audit evidence, insurer expectations, SLA consequences, and business risk.</w:t>
      </w:r>
    </w:p>
    <w:p>
      <w:pPr>
        <w:pStyle w:val="Heading3"/>
      </w:pPr>
      <w:r>
        <w:t>7. Practical Implementation Framework</w:t>
      </w:r>
    </w:p>
    <w:p>
      <w:r>
        <w:t>Provide a clear schedule/checklist for operations teams.</w:t>
      </w:r>
    </w:p>
    <w:p>
      <w:pPr>
        <w:pStyle w:val="ListBullet"/>
      </w:pPr>
      <w:r>
        <w:t>Monthly task</w:t>
      </w:r>
    </w:p>
    <w:p>
      <w:pPr>
        <w:pStyle w:val="ListBullet"/>
      </w:pPr>
      <w:r>
        <w:t>Quarterly task</w:t>
      </w:r>
    </w:p>
    <w:p>
      <w:pPr>
        <w:pStyle w:val="ListBullet"/>
      </w:pPr>
      <w:r>
        <w:t>Annual task</w:t>
      </w:r>
    </w:p>
    <w:p>
      <w:pPr>
        <w:pStyle w:val="Heading3"/>
      </w:pPr>
      <w:r>
        <w:t>8. Conclusion</w:t>
      </w:r>
    </w:p>
    <w:p>
      <w:r>
        <w:t>Deliver the final technical position in 3-5 lines.</w:t>
      </w:r>
    </w:p>
    <w:p>
      <w:pPr>
        <w:pStyle w:val="Heading2"/>
      </w:pPr>
      <w:r>
        <w:t>References</w:t>
      </w:r>
    </w:p>
    <w:p>
      <w:pPr>
        <w:pStyle w:val="ListNumber"/>
      </w:pPr>
      <w:r>
        <w:t>Source one in IEEE-like style.</w:t>
      </w:r>
    </w:p>
    <w:p>
      <w:pPr>
        <w:pStyle w:val="ListNumber"/>
      </w:pPr>
      <w:r>
        <w:t>Source two in IEEE-like style.</w:t>
      </w:r>
    </w:p>
    <w:p>
      <w:pPr>
        <w:pStyle w:val="ListNumber"/>
      </w:pPr>
      <w:r>
        <w:t>Source three in IEEE-like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