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0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82" w:right="0" w:firstLine="0"/>
        <w:jc w:val="left"/>
      </w:pPr>
      <w:r>
        <w:rPr>
          <w:spacing w:val="-5.5"/>
          <w:rFonts w:ascii="Times New Roman" w:hAnsi="Times New Roman" w:eastAsia="Times New Roman" w:cs="Times New Roman"/>
          <w:b w:val="0"/>
          <w:i w:val="0"/>
          <w:color w:val="444444"/>
          <w:sz w:val="22"/>
          <w:szCs w:val="22"/>
        </w:rPr>
        <w:t>CO2 APPLICATION-BASED ASSIGNMENT</w:t>
      </w:r>
    </w:p>
    <w:p>
      <w:pPr>
        <w:autoSpaceDN w:val="0"/>
        <w:autoSpaceDE w:val="0"/>
        <w:widowControl/>
        <w:spacing w:line="520" w:lineRule="exact" w:before="176" w:after="0"/>
        <w:ind w:left="1152" w:right="1152" w:firstLine="0"/>
        <w:jc w:val="center"/>
      </w:pPr>
      <w:r>
        <w:rPr>
          <w:spacing w:val="-10.0"/>
          <w:rFonts w:ascii="Times New Roman" w:hAnsi="Times New Roman" w:eastAsia="Times New Roman" w:cs="Times New Roman"/>
          <w:b/>
          <w:bCs/>
          <w:i w:val="0"/>
          <w:color w:val="17365D"/>
          <w:sz w:val="40"/>
          <w:szCs w:val="40"/>
        </w:rPr>
        <w:t xml:space="preserve">SMART MANUFACTURING: AI-DRIVEN </w:t>
      </w:r>
      <w:r>
        <w:rPr>
          <w:spacing w:val="-10.0"/>
          <w:rFonts w:ascii="Times New Roman" w:hAnsi="Times New Roman" w:eastAsia="Times New Roman" w:cs="Times New Roman"/>
          <w:b/>
          <w:bCs/>
          <w:i w:val="0"/>
          <w:color w:val="17365D"/>
          <w:sz w:val="40"/>
          <w:szCs w:val="40"/>
        </w:rPr>
        <w:t>PREDICTIVE MAINTENANCE SYSTEM</w:t>
      </w:r>
    </w:p>
    <w:p>
      <w:pPr>
        <w:autoSpaceDN w:val="0"/>
        <w:autoSpaceDE w:val="0"/>
        <w:widowControl/>
        <w:spacing w:line="320" w:lineRule="exact" w:before="224" w:after="0"/>
        <w:ind w:left="2736" w:right="2736" w:firstLine="0"/>
        <w:jc w:val="center"/>
      </w:pPr>
      <w:r>
        <w:rPr>
          <w:spacing w:val="-5.5"/>
          <w:rFonts w:ascii="Times New Roman" w:hAnsi="Times New Roman" w:eastAsia="Times New Roman" w:cs="Times New Roman"/>
          <w:b w:val="0"/>
          <w:i w:val="0"/>
          <w:color w:val="444444"/>
          <w:sz w:val="22"/>
          <w:szCs w:val="22"/>
        </w:rPr>
        <w:t xml:space="preserve">ECA58 – IoE AND AI DRIVEN SYSTEM </w:t>
      </w:r>
      <w:r>
        <w:br/>
      </w:r>
      <w:r>
        <w:rPr>
          <w:spacing w:val="-5.5"/>
          <w:rFonts w:ascii="Times New Roman" w:hAnsi="Times New Roman" w:eastAsia="Times New Roman" w:cs="Times New Roman"/>
          <w:b w:val="0"/>
          <w:i w:val="0"/>
          <w:color w:val="444444"/>
          <w:sz w:val="22"/>
          <w:szCs w:val="22"/>
        </w:rPr>
        <w:t>UNIT II – DATA AND INTELLIGENCE IN IoE</w:t>
      </w:r>
    </w:p>
    <w:p>
      <w:pPr>
        <w:autoSpaceDN w:val="0"/>
        <w:autoSpaceDE w:val="0"/>
        <w:widowControl/>
        <w:spacing w:line="302" w:lineRule="exact" w:before="438" w:after="0"/>
        <w:ind w:left="4236" w:right="0" w:firstLine="0"/>
        <w:jc w:val="left"/>
      </w:pPr>
      <w:r>
        <w:rPr>
          <w:spacing w:val="1.0553344488143541"/>
          <w:rFonts w:ascii="Times New Roman" w:hAnsi="Times New Roman" w:eastAsia="Times New Roman" w:cs="Times New Roman"/>
          <w:b/>
          <w:bCs/>
          <w:i w:val="0"/>
          <w:color w:val="444444"/>
          <w:sz w:val="22"/>
          <w:szCs w:val="22"/>
        </w:rPr>
        <w:t>Submitted by</w:t>
      </w:r>
    </w:p>
    <w:p>
      <w:pPr>
        <w:autoSpaceDN w:val="0"/>
        <w:autoSpaceDE w:val="0"/>
        <w:widowControl/>
        <w:spacing w:line="550" w:lineRule="exact" w:before="0" w:after="0"/>
        <w:ind w:left="4176" w:right="0" w:firstLine="0"/>
        <w:jc w:val="left"/>
      </w:pPr>
      <w:r>
        <w:rPr>
          <w:spacing w:val="10.0"/>
          <w:rFonts w:ascii="Times New Roman" w:hAnsi="Times New Roman" w:eastAsia="Times New Roman" w:cs="Times New Roman"/>
          <w:b/>
          <w:bCs/>
          <w:i w:val="0"/>
          <w:color w:val="17365D"/>
          <w:sz w:val="40"/>
          <w:szCs w:val="40"/>
        </w:rPr>
        <w:t>Jeeva R</w:t>
      </w:r>
    </w:p>
    <w:p>
      <w:pPr>
        <w:autoSpaceDN w:val="0"/>
        <w:autoSpaceDE w:val="0"/>
        <w:widowControl/>
        <w:spacing w:line="304" w:lineRule="exact" w:before="240" w:after="0"/>
        <w:ind w:left="3428" w:right="0" w:firstLine="0"/>
        <w:jc w:val="left"/>
      </w:pPr>
      <w:r>
        <w:rPr>
          <w:spacing w:val="5.5"/>
          <w:rFonts w:ascii="Times New Roman" w:hAnsi="Times New Roman" w:eastAsia="Times New Roman" w:cs="Times New Roman"/>
          <w:b w:val="0"/>
          <w:i w:val="0"/>
          <w:color w:val="444444"/>
          <w:sz w:val="22"/>
          <w:szCs w:val="22"/>
        </w:rPr>
        <w:t>Register Number: 1912260266</w:t>
      </w:r>
    </w:p>
    <w:p>
      <w:pPr>
        <w:autoSpaceDN w:val="0"/>
        <w:autoSpaceDE w:val="0"/>
        <w:widowControl/>
        <w:spacing w:line="320" w:lineRule="exact" w:before="300" w:after="0"/>
        <w:ind w:left="288" w:right="288" w:firstLine="0"/>
        <w:jc w:val="center"/>
      </w:pPr>
      <w:r>
        <w:rPr>
          <w:spacing w:val="2.7281344334284463"/>
          <w:rFonts w:ascii="Times New Roman" w:hAnsi="Times New Roman" w:eastAsia="Times New Roman" w:cs="Times New Roman"/>
          <w:b/>
          <w:bCs/>
          <w:i w:val="0"/>
          <w:color w:val="444444"/>
          <w:sz w:val="22"/>
          <w:szCs w:val="22"/>
        </w:rPr>
        <w:t>Course Outcome:</w:t>
      </w:r>
      <w:r>
        <w:rPr>
          <w:spacing w:val="5.5"/>
          <w:rFonts w:ascii="Times New Roman" w:hAnsi="Times New Roman" w:eastAsia="Times New Roman" w:cs="Times New Roman"/>
          <w:b w:val="0"/>
          <w:i w:val="0"/>
          <w:color w:val="444444"/>
          <w:sz w:val="22"/>
          <w:szCs w:val="22"/>
        </w:rPr>
        <w:t xml:space="preserve"> CO2 – Analyse IoE data lifecycle processes, analytics, big data and AI/ML </w:t>
      </w:r>
      <w:r>
        <w:rPr>
          <w:spacing w:val="1.92509911808312"/>
          <w:rFonts w:ascii="Times New Roman" w:hAnsi="Times New Roman" w:eastAsia="Times New Roman" w:cs="Times New Roman"/>
          <w:b w:val="0"/>
          <w:i w:val="0"/>
          <w:color w:val="444444"/>
          <w:sz w:val="22"/>
          <w:szCs w:val="22"/>
        </w:rPr>
        <w:t>techniques for intelligent real-time IoE solutions.</w:t>
      </w:r>
    </w:p>
    <w:p>
      <w:pPr>
        <w:autoSpaceDN w:val="0"/>
        <w:tabs>
          <w:tab w:pos="9422" w:val="left"/>
        </w:tabs>
        <w:autoSpaceDE w:val="0"/>
        <w:widowControl/>
        <w:spacing w:line="194" w:lineRule="exact" w:before="7558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1</w:t>
      </w:r>
    </w:p>
    <w:p>
      <w:pPr>
        <w:sectPr>
          <w:pgSz w:w="11906" w:h="16838"/>
          <w:pgMar w:top="1440" w:right="1000" w:bottom="638" w:left="1020" w:header="720" w:footer="720" w:gutter="0"/>
          <w:cols w:num="1" w:equalWidth="0">
            <w:col w:w="9886" w:space="0"/>
          </w:cols>
          <w:docGrid w:linePitch="360"/>
        </w:sectPr>
      </w:pPr>
    </w:p>
    <w:p>
      <w:pPr>
        <w:autoSpaceDN w:val="0"/>
        <w:autoSpaceDE w:val="0"/>
        <w:widowControl/>
        <w:spacing w:line="414" w:lineRule="exact" w:before="0" w:after="0"/>
        <w:ind w:left="64" w:right="0" w:firstLine="0"/>
        <w:jc w:val="left"/>
      </w:pPr>
      <w:r>
        <w:rPr>
          <w:spacing w:val="2.2200008700875675"/>
          <w:rFonts w:ascii="Times New Roman" w:hAnsi="Times New Roman" w:eastAsia="Times New Roman" w:cs="Times New Roman"/>
          <w:b/>
          <w:bCs/>
          <w:i w:val="0"/>
          <w:color w:val="17365D"/>
          <w:sz w:val="30"/>
          <w:szCs w:val="30"/>
        </w:rPr>
        <w:t>Executive Summary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9479280</wp:posOffset>
                </wp:positionV>
                <wp:extent cx="6371590" cy="215900"/>
                <wp:wrapNone/>
                <wp:docPr id="1" name="Text Box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9149080</wp:posOffset>
                </wp:positionV>
                <wp:extent cx="6371590" cy="330200"/>
                <wp:wrapNone/>
                <wp:docPr id="2" name="Text Box 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8933180</wp:posOffset>
                </wp:positionV>
                <wp:extent cx="6371590" cy="215900"/>
                <wp:wrapNone/>
                <wp:docPr id="3" name="Text Box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8717280</wp:posOffset>
                </wp:positionV>
                <wp:extent cx="6371590" cy="215900"/>
                <wp:wrapNone/>
                <wp:docPr id="4" name="Text Box 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5974080</wp:posOffset>
                </wp:positionV>
                <wp:extent cx="6371590" cy="330200"/>
                <wp:wrapNone/>
                <wp:docPr id="5" name="Text Box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5643880</wp:posOffset>
                </wp:positionV>
                <wp:extent cx="6371590" cy="330200"/>
                <wp:wrapNone/>
                <wp:docPr id="6" name="Text Box 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5313680</wp:posOffset>
                </wp:positionV>
                <wp:extent cx="6371590" cy="330200"/>
                <wp:wrapNone/>
                <wp:docPr id="7" name="Text Box 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4983480</wp:posOffset>
                </wp:positionV>
                <wp:extent cx="6371590" cy="330200"/>
                <wp:wrapNone/>
                <wp:docPr id="8" name="Text Box 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4653280</wp:posOffset>
                </wp:positionV>
                <wp:extent cx="6371590" cy="330200"/>
                <wp:wrapNone/>
                <wp:docPr id="9" name="Text Box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4323080</wp:posOffset>
                </wp:positionV>
                <wp:extent cx="6371590" cy="330200"/>
                <wp:wrapNone/>
                <wp:docPr id="10" name="Text Box 1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3992879</wp:posOffset>
                </wp:positionV>
                <wp:extent cx="6371590" cy="330200"/>
                <wp:wrapNone/>
                <wp:docPr id="11" name="Text Box 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3776979</wp:posOffset>
                </wp:positionV>
                <wp:extent cx="6371590" cy="215900"/>
                <wp:wrapNone/>
                <wp:docPr id="12" name="Text Box 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60" w:lineRule="exact" w:before="80" w:after="0"/>
        <w:ind w:left="64" w:right="288" w:firstLine="0"/>
        <w:jc w:val="left"/>
      </w:pPr>
      <w:r>
        <w:rPr>
          <w:spacing w:val="2.222712733988032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This report proposes a hybrid Industrial Internet of Everything (IoE) predictive-maintenance system for a medium-scale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automotive component plant containing 200 CNC machines, presses and robotic assembly stations. Sensors and PLCs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feed industrial edge gateways. The gateways validate and preprocess signals, extract compact features, run local AI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inference and generate alarms. A plant platform stores features, events and selected raw diagnostic records. Spark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supports historical preparation and streaming analytics; dashboards support operators and maintenance managers. The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design prioritizes local response because critical alerts must be produced within 100 ms and basic detection must continue </w:t>
      </w:r>
      <w:r>
        <w:rPr>
          <w:spacing w:val="1.000000894069682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for 30 minutes without cloud connectivity.</w:t>
      </w:r>
    </w:p>
    <w:p>
      <w:pPr>
        <w:autoSpaceDN w:val="0"/>
        <w:autoSpaceDE w:val="0"/>
        <w:widowControl/>
        <w:spacing w:line="260" w:lineRule="exact" w:before="100" w:after="0"/>
        <w:ind w:left="64" w:right="432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The engineering decision is to transmit features and events by default, not continuous raw vibration. Under the stated </w:t>
      </w:r>
      <w:r>
        <w:rPr>
          <w:spacing w:val="2.124958040367842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high-resolution assumptions, raw vibration is 6.4 MB/s (51.2 Mb/s) or 368.64 GB per 16-hour production day. A compact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feature packet every 10 seconds reduces the illustrative upstream volume by approximately 99.86%, exceeding the 90%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target. Final approval is recommended subject to a staged pilot that verifies model performance, latency, storage and </w:t>
      </w:r>
      <w:r>
        <w:rPr>
          <w:spacing w:val="1.8178953308808177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safety integration.</w:t>
      </w:r>
    </w:p>
    <w:p>
      <w:pPr>
        <w:autoSpaceDN w:val="0"/>
        <w:autoSpaceDE w:val="0"/>
        <w:widowControl/>
        <w:spacing w:line="414" w:lineRule="exact" w:before="226" w:after="0"/>
        <w:ind w:left="64" w:right="0" w:firstLine="0"/>
        <w:jc w:val="left"/>
      </w:pPr>
      <w:r>
        <w:rPr>
          <w:spacing w:val="-1.8784894853268201"/>
          <w:rFonts w:ascii="Times New Roman" w:hAnsi="Times New Roman" w:eastAsia="Times New Roman" w:cs="Times New Roman"/>
          <w:b/>
          <w:bCs/>
          <w:i w:val="0"/>
          <w:color w:val="17365D"/>
          <w:sz w:val="30"/>
          <w:szCs w:val="30"/>
        </w:rPr>
        <w:t>1. Stage 1 – Industrial IoE Data Lifecycle Evaluation</w:t>
      </w:r>
    </w:p>
    <w:p>
      <w:pPr>
        <w:autoSpaceDN w:val="0"/>
        <w:autoSpaceDE w:val="0"/>
        <w:widowControl/>
        <w:spacing w:line="318" w:lineRule="exact" w:before="110" w:after="56"/>
        <w:ind w:left="64" w:right="0" w:firstLine="0"/>
        <w:jc w:val="left"/>
      </w:pPr>
      <w:r>
        <w:rPr>
          <w:spacing w:val="3.225931116314808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1.1 Existing arrangement and lifecycle gaps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530"/>
        <w:gridCol w:w="3968"/>
        <w:gridCol w:w="4536"/>
      </w:tblGrid>
      <w:tr>
        <w:trPr>
          <w:trHeight w:hRule="exact" w:val="34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Lifecycle stage</w:t>
            </w:r>
          </w:p>
        </w:tc>
        <w:tc>
          <w:tcPr>
            <w:tcW w:type="dxa" w:w="39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2.084566231655038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Present situation / gap</w:t>
            </w:r>
          </w:p>
        </w:tc>
        <w:tc>
          <w:tcPr>
            <w:tcW w:type="dxa" w:w="45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1.819751176238014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Proposed improvement</w:t>
            </w:r>
          </w:p>
        </w:tc>
      </w:tr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Acquisition</w:t>
            </w:r>
          </w:p>
        </w:tc>
        <w:tc>
          <w:tcPr>
            <w:tcW w:type="dxa" w:w="39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PLCs collect machine status, but vibration and condition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channels are not integrated into a unified health dataset.</w:t>
            </w:r>
          </w:p>
        </w:tc>
        <w:tc>
          <w:tcPr>
            <w:tcW w:type="dxa" w:w="45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Add vibration, temperature, current, pressure and acoustic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sensors; synchronize timestamps and machine IDs.</w:t>
            </w:r>
          </w:p>
        </w:tc>
      </w:tr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Transmission</w:t>
            </w:r>
          </w:p>
        </w:tc>
        <w:tc>
          <w:tcPr>
            <w:tcW w:type="dxa" w:w="39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Ethernet/Wi-Fi coverage is uneven; interference and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congestion can interrupt data flow.</w:t>
            </w:r>
          </w:p>
        </w:tc>
        <w:tc>
          <w:tcPr>
            <w:tcW w:type="dxa" w:w="45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Use wired industrial Ethernet where practical, industrial Wi-Fi in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suitable areas and segmented gateway connections.</w:t>
            </w:r>
          </w:p>
        </w:tc>
      </w:tr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Storage</w:t>
            </w:r>
          </w:p>
        </w:tc>
        <w:tc>
          <w:tcPr>
            <w:tcW w:type="dxa" w:w="39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Local dashboards do not provide a defined 30-day raw /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2-year feature retention policy.</w:t>
            </w:r>
          </w:p>
        </w:tc>
        <w:tc>
          <w:tcPr>
            <w:tcW w:type="dxa" w:w="45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Use gateway ring buffers, plant time-series/object storage and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lifecycle-managed archive storage.</w:t>
            </w:r>
          </w:p>
        </w:tc>
      </w:tr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Preprocessing</w:t>
            </w:r>
          </w:p>
        </w:tc>
        <w:tc>
          <w:tcPr>
            <w:tcW w:type="dxa" w:w="39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No consistent filtering, data-quality checks, windowing or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feature extraction.</w:t>
            </w:r>
          </w:p>
        </w:tc>
        <w:tc>
          <w:tcPr>
            <w:tcW w:type="dxa" w:w="45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Perform validation, filtering, windowing and feature extraction at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the edge.</w:t>
            </w:r>
          </w:p>
        </w:tc>
      </w:tr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Analytics</w:t>
            </w:r>
          </w:p>
        </w:tc>
        <w:tc>
          <w:tcPr>
            <w:tcW w:type="dxa" w:w="39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Monitoring is descriptive; there is no validated predictive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model or health score.</w:t>
            </w:r>
          </w:p>
        </w:tc>
        <w:tc>
          <w:tcPr>
            <w:tcW w:type="dxa" w:w="45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Deploy anomaly detection/fault classification at the edge and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batch learning centrally.</w:t>
            </w:r>
          </w:p>
        </w:tc>
      </w:tr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Decision/action</w:t>
            </w:r>
          </w:p>
        </w:tc>
        <w:tc>
          <w:tcPr>
            <w:tcW w:type="dxa" w:w="39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Alarms are not linked systematically to maintenance work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orders or outcomes.</w:t>
            </w:r>
          </w:p>
        </w:tc>
        <w:tc>
          <w:tcPr>
            <w:tcW w:type="dxa" w:w="45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0.880350966202561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Use NORMAL/WARNING/CRITICAL rules, work-order integration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and maintenance feedback.</w:t>
            </w:r>
          </w:p>
        </w:tc>
      </w:tr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Governance</w:t>
            </w:r>
          </w:p>
        </w:tc>
        <w:tc>
          <w:tcPr>
            <w:tcW w:type="dxa" w:w="39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Machine identity, model versions, access control and drift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monitoring are not specified.</w:t>
            </w:r>
          </w:p>
        </w:tc>
        <w:tc>
          <w:tcPr>
            <w:tcW w:type="dxa" w:w="45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Use device identity, role-based access, signed model packages,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audit logs and drift monitoring.</w:t>
            </w:r>
          </w:p>
        </w:tc>
      </w:tr>
    </w:tbl>
    <w:p>
      <w:pPr>
        <w:autoSpaceDN w:val="0"/>
        <w:autoSpaceDE w:val="0"/>
        <w:widowControl/>
        <w:spacing w:line="318" w:lineRule="exact" w:before="238" w:after="0"/>
        <w:ind w:left="64" w:right="0" w:firstLine="0"/>
        <w:jc w:val="left"/>
      </w:pPr>
      <w:r>
        <w:rPr>
          <w:spacing w:val="0.4490008703299639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1.2 Raw data generation calculation</w:t>
      </w:r>
    </w:p>
    <w:p>
      <w:pPr>
        <w:autoSpaceDN w:val="0"/>
        <w:autoSpaceDE w:val="0"/>
        <w:widowControl/>
        <w:spacing w:line="258" w:lineRule="exact" w:before="76" w:after="0"/>
        <w:ind w:left="64" w:right="288" w:firstLine="0"/>
        <w:jc w:val="left"/>
      </w:pPr>
      <w:r>
        <w:rPr>
          <w:spacing w:val="-0.8816663126150814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Given: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200 machines; 8 channels per machine; 2,000 samples/second/channel; 16 bits/sample = 2 bytes/sample. Assume </w:t>
      </w:r>
      <w:r>
        <w:rPr>
          <w:spacing w:val="1.81538575429182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all channels run continuously at the stated high-resolution rate during 16 production hours per day, with no protocol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overhead or compression.</w:t>
      </w:r>
    </w:p>
    <w:p>
      <w:pPr>
        <w:autoSpaceDN w:val="0"/>
        <w:autoSpaceDE w:val="0"/>
        <w:widowControl/>
        <w:spacing w:line="248" w:lineRule="exact" w:before="114" w:after="0"/>
        <w:ind w:left="64" w:right="0" w:firstLine="0"/>
        <w:jc w:val="left"/>
      </w:pPr>
      <w:r>
        <w:rPr>
          <w:spacing w:val="4.5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Per machine: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8 × 2,000 × 2 = 32,000 bytes/s = 32 kB/s.</w:t>
      </w:r>
    </w:p>
    <w:p>
      <w:pPr>
        <w:autoSpaceDN w:val="0"/>
        <w:autoSpaceDE w:val="0"/>
        <w:widowControl/>
        <w:spacing w:line="248" w:lineRule="exact" w:before="112" w:after="0"/>
        <w:ind w:left="64" w:right="0" w:firstLine="0"/>
        <w:jc w:val="left"/>
      </w:pPr>
      <w:r>
        <w:rPr>
          <w:spacing w:val="-0.18966529766719492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Plant: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200 × 32,000 = 6,400,000 bytes/s = 6.4 MB/s = 51.2 Mb/s.</w:t>
      </w:r>
    </w:p>
    <w:p>
      <w:pPr>
        <w:autoSpaceDN w:val="0"/>
        <w:autoSpaceDE w:val="0"/>
        <w:widowControl/>
        <w:spacing w:line="248" w:lineRule="exact" w:before="112" w:after="0"/>
        <w:ind w:left="64" w:right="0" w:firstLine="0"/>
        <w:jc w:val="left"/>
      </w:pPr>
      <w:r>
        <w:rPr>
          <w:spacing w:val="1.0093700509322077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Per production day: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6,400,000 × 16 × 3,600 = 368,640,000,000 bytes = 368.64 GB/day (decimal units).</w:t>
      </w:r>
    </w:p>
    <w:p>
      <w:pPr>
        <w:autoSpaceDN w:val="0"/>
        <w:autoSpaceDE w:val="0"/>
        <w:widowControl/>
        <w:spacing w:line="258" w:lineRule="exact" w:before="102" w:after="0"/>
        <w:ind w:left="64" w:right="720" w:firstLine="0"/>
        <w:jc w:val="left"/>
      </w:pPr>
      <w:r>
        <w:rPr>
          <w:spacing w:val="1.166973650455478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30 days, if all raw data is retained: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368.64 × 30 = 11,059.2 GB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≈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11.06 TB, before replication, indexes and storage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overhead.</w:t>
      </w:r>
    </w:p>
    <w:p>
      <w:pPr>
        <w:autoSpaceDN w:val="0"/>
        <w:autoSpaceDE w:val="0"/>
        <w:widowControl/>
        <w:spacing w:line="318" w:lineRule="exact" w:before="150" w:after="56"/>
        <w:ind w:left="64" w:right="0" w:firstLine="0"/>
        <w:jc w:val="left"/>
      </w:pPr>
      <w:r>
        <w:rPr>
          <w:spacing w:val="5.75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1.3 Raw transmission versus edge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700"/>
        <w:gridCol w:w="3686"/>
        <w:gridCol w:w="4648"/>
      </w:tblGrid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Indicator</w:t>
            </w:r>
          </w:p>
        </w:tc>
        <w:tc>
          <w:tcPr>
            <w:tcW w:type="dxa" w:w="368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0.7869576591512406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Raw continuous approach</w:t>
            </w:r>
          </w:p>
        </w:tc>
        <w:tc>
          <w:tcPr>
            <w:tcW w:type="dxa" w:w="46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0.8836215374798512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Feature/event approach target</w:t>
            </w:r>
          </w:p>
        </w:tc>
      </w:tr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Upstream data</w:t>
            </w:r>
          </w:p>
        </w:tc>
        <w:tc>
          <w:tcPr>
            <w:tcW w:type="dxa" w:w="368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6.4 MB/s baseline</w:t>
            </w:r>
          </w:p>
        </w:tc>
        <w:tc>
          <w:tcPr>
            <w:tcW w:type="dxa" w:w="46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At least 90% reduction; proposed calculation gives about 99.86%.</w:t>
            </w:r>
          </w:p>
        </w:tc>
      </w:tr>
      <w:tr>
        <w:trPr>
          <w:trHeight w:hRule="exact" w:val="52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Alert latency</w:t>
            </w:r>
          </w:p>
        </w:tc>
        <w:tc>
          <w:tcPr>
            <w:tcW w:type="dxa" w:w="368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Depends on network/cloud round trip; may exceed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100 ms.</w:t>
            </w:r>
          </w:p>
        </w:tc>
        <w:tc>
          <w:tcPr>
            <w:tcW w:type="dxa" w:w="46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Local inference and alarm target below 100 ms.</w:t>
            </w:r>
          </w:p>
        </w:tc>
      </w:tr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Network resilience</w:t>
            </w:r>
          </w:p>
        </w:tc>
        <w:tc>
          <w:tcPr>
            <w:tcW w:type="dxa" w:w="368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Cloud/network loss interrupts centralized analysis.</w:t>
            </w:r>
          </w:p>
        </w:tc>
        <w:tc>
          <w:tcPr>
            <w:tcW w:type="dxa" w:w="46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At least 30 minutes of local detection and buffering.</w:t>
            </w:r>
          </w:p>
        </w:tc>
      </w:tr>
    </w:tbl>
    <w:p>
      <w:pPr>
        <w:autoSpaceDN w:val="0"/>
        <w:tabs>
          <w:tab w:pos="9422" w:val="left"/>
        </w:tabs>
        <w:autoSpaceDE w:val="0"/>
        <w:widowControl/>
        <w:spacing w:line="194" w:lineRule="exact" w:before="714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2</w:t>
      </w:r>
    </w:p>
    <w:p>
      <w:pPr>
        <w:sectPr>
          <w:pgSz w:w="11906" w:h="16838"/>
          <w:pgMar w:top="1006" w:right="764" w:bottom="638" w:left="1020" w:header="720" w:footer="720" w:gutter="0"/>
          <w:cols w:num="1" w:equalWidth="0">
            <w:col w:w="101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700"/>
        <w:gridCol w:w="3686"/>
        <w:gridCol w:w="4648"/>
      </w:tblGrid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Indicator</w:t>
            </w:r>
          </w:p>
        </w:tc>
        <w:tc>
          <w:tcPr>
            <w:tcW w:type="dxa" w:w="368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0.7869576591512406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Raw continuous approach</w:t>
            </w:r>
          </w:p>
        </w:tc>
        <w:tc>
          <w:tcPr>
            <w:tcW w:type="dxa" w:w="46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0.8836215374798512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Feature/event approach target</w:t>
            </w:r>
          </w:p>
        </w:tc>
      </w:tr>
      <w:tr>
        <w:trPr>
          <w:trHeight w:hRule="exact" w:val="52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Storage</w:t>
            </w:r>
          </w:p>
        </w:tc>
        <w:tc>
          <w:tcPr>
            <w:tcW w:type="dxa" w:w="368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Up to 11.06 TB for 30 days at full-rate assumptions.</w:t>
            </w:r>
          </w:p>
        </w:tc>
        <w:tc>
          <w:tcPr>
            <w:tcW w:type="dxa" w:w="46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Keep 30-day raw data selectively; retain feature/event data for 2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years.</w:t>
            </w:r>
          </w:p>
        </w:tc>
      </w:tr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Maintenance outcome</w:t>
            </w:r>
          </w:p>
        </w:tc>
        <w:tc>
          <w:tcPr>
            <w:tcW w:type="dxa" w:w="368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Reactive maintenance continues until failure.</w:t>
            </w:r>
          </w:p>
        </w:tc>
        <w:tc>
          <w:tcPr>
            <w:tcW w:type="dxa" w:w="46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Target fewer unplanned stops; verify against pilot baseline.</w:t>
            </w:r>
          </w:p>
        </w:tc>
      </w:tr>
      <w:tr>
        <w:trPr>
          <w:trHeight w:hRule="exact" w:val="52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False alarms</w:t>
            </w:r>
          </w:p>
        </w:tc>
        <w:tc>
          <w:tcPr>
            <w:tcW w:type="dxa" w:w="368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No model-based baseline available.</w:t>
            </w:r>
          </w:p>
        </w:tc>
        <w:tc>
          <w:tcPr>
            <w:tcW w:type="dxa" w:w="46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Track false alarms per machine-week and tune threshold on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validation data.</w:t>
            </w:r>
          </w:p>
        </w:tc>
      </w:tr>
    </w:tbl>
    <w:p>
      <w:pPr>
        <w:autoSpaceDN w:val="0"/>
        <w:autoSpaceDE w:val="0"/>
        <w:widowControl/>
        <w:spacing w:line="260" w:lineRule="exact" w:before="192" w:after="0"/>
        <w:ind w:left="64" w:right="288" w:firstLine="0"/>
        <w:jc w:val="left"/>
      </w:pPr>
      <w:r>
        <w:rPr>
          <w:spacing w:val="2.682364653457279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Engineering judgement: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Continuous raw upload is not recommended. It consumes bandwidth and central storage,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makes the 100 ms requirement dependent on network conditions and weakens operation during outages. Keep short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rolling raw buffers locally and upload raw segments only around detected events, for selected machines or during planned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diagnostics. Transmit features, health scores, alarms and maintenance events continuously.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8171180</wp:posOffset>
                </wp:positionV>
                <wp:extent cx="6371590" cy="215900"/>
                <wp:wrapNone/>
                <wp:docPr id="14" name="Text Box 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7955280</wp:posOffset>
                </wp:positionV>
                <wp:extent cx="6371590" cy="215900"/>
                <wp:wrapNone/>
                <wp:docPr id="15" name="Text Box 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7739380</wp:posOffset>
                </wp:positionV>
                <wp:extent cx="6371590" cy="215900"/>
                <wp:wrapNone/>
                <wp:docPr id="16" name="Text Box 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7523480</wp:posOffset>
                </wp:positionV>
                <wp:extent cx="6371590" cy="215900"/>
                <wp:wrapNone/>
                <wp:docPr id="17" name="Text Box 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7307580</wp:posOffset>
                </wp:positionV>
                <wp:extent cx="6371590" cy="215900"/>
                <wp:wrapNone/>
                <wp:docPr id="18" name="Text Box 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7091680</wp:posOffset>
                </wp:positionV>
                <wp:extent cx="6371590" cy="215900"/>
                <wp:wrapNone/>
                <wp:docPr id="19" name="Text Box 1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6875780</wp:posOffset>
                </wp:positionV>
                <wp:extent cx="6371590" cy="215900"/>
                <wp:wrapNone/>
                <wp:docPr id="20" name="Text Box 2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6659880</wp:posOffset>
                </wp:positionV>
                <wp:extent cx="6371590" cy="215900"/>
                <wp:wrapNone/>
                <wp:docPr id="21" name="Text Box 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6443980</wp:posOffset>
                </wp:positionV>
                <wp:extent cx="6371590" cy="215900"/>
                <wp:wrapNone/>
                <wp:docPr id="22" name="Text Box 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4170679</wp:posOffset>
                </wp:positionV>
                <wp:extent cx="6371590" cy="330200"/>
                <wp:wrapNone/>
                <wp:docPr id="23" name="Text Box 2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3840479</wp:posOffset>
                </wp:positionV>
                <wp:extent cx="6371590" cy="330200"/>
                <wp:wrapNone/>
                <wp:docPr id="24" name="Text Box 2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3510279</wp:posOffset>
                </wp:positionV>
                <wp:extent cx="6371590" cy="330200"/>
                <wp:wrapNone/>
                <wp:docPr id="25" name="Text Box 2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3294379</wp:posOffset>
                </wp:positionV>
                <wp:extent cx="6371590" cy="215900"/>
                <wp:wrapNone/>
                <wp:docPr id="26" name="Text Box 2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1413510</wp:posOffset>
                </wp:positionV>
                <wp:extent cx="6371590" cy="330200"/>
                <wp:wrapNone/>
                <wp:docPr id="27" name="Text Box 2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1197610</wp:posOffset>
                </wp:positionV>
                <wp:extent cx="6371590" cy="215900"/>
                <wp:wrapNone/>
                <wp:docPr id="28" name="Text Box 2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867410</wp:posOffset>
                </wp:positionV>
                <wp:extent cx="6371590" cy="330200"/>
                <wp:wrapNone/>
                <wp:docPr id="29" name="Text Box 2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652780</wp:posOffset>
                </wp:positionV>
                <wp:extent cx="6371590" cy="214629"/>
                <wp:wrapNone/>
                <wp:docPr id="30" name="Text Box 3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4629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414" w:lineRule="exact" w:before="226" w:after="0"/>
        <w:ind w:left="64" w:right="0" w:firstLine="0"/>
        <w:jc w:val="left"/>
      </w:pPr>
      <w:r>
        <w:rPr>
          <w:spacing w:val="3.143847592748115"/>
          <w:rFonts w:ascii="Times New Roman" w:hAnsi="Times New Roman" w:eastAsia="Times New Roman" w:cs="Times New Roman"/>
          <w:b/>
          <w:bCs/>
          <w:i w:val="0"/>
          <w:color w:val="17365D"/>
          <w:sz w:val="30"/>
          <w:szCs w:val="30"/>
        </w:rPr>
        <w:t>2. Stage 2 – Data Acquisition and Edge Preprocessing</w:t>
      </w:r>
    </w:p>
    <w:p>
      <w:pPr>
        <w:autoSpaceDN w:val="0"/>
        <w:autoSpaceDE w:val="0"/>
        <w:widowControl/>
        <w:spacing w:line="318" w:lineRule="exact" w:before="110" w:after="56"/>
        <w:ind w:left="64" w:right="0" w:firstLine="0"/>
        <w:jc w:val="left"/>
      </w:pPr>
      <w:r>
        <w:rPr>
          <w:spacing w:val="5.75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2.1 Sensor selection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870"/>
        <w:gridCol w:w="3118"/>
        <w:gridCol w:w="5046"/>
      </w:tblGrid>
      <w:tr>
        <w:trPr>
          <w:trHeight w:hRule="exact" w:val="340"/>
        </w:trPr>
        <w:tc>
          <w:tcPr>
            <w:tcW w:type="dxa" w:w="187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08499929681421214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Maintenance task</w:t>
            </w:r>
          </w:p>
        </w:tc>
        <w:tc>
          <w:tcPr>
            <w:tcW w:type="dxa" w:w="31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Primary measurements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Reason</w:t>
            </w:r>
          </w:p>
        </w:tc>
      </w:tr>
      <w:tr>
        <w:trPr>
          <w:trHeight w:hRule="exact" w:val="520"/>
        </w:trPr>
        <w:tc>
          <w:tcPr>
            <w:tcW w:type="dxa" w:w="187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Bearing fault</w:t>
            </w:r>
          </w:p>
        </w:tc>
        <w:tc>
          <w:tcPr>
            <w:tcW w:type="dxa" w:w="31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High-rate vibration; temperature; acoustic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level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72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Vibration reveals impact, imbalance and frequency components;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temperature and acoustic changes provide corroboration.</w:t>
            </w:r>
          </w:p>
        </w:tc>
      </w:tr>
      <w:tr>
        <w:trPr>
          <w:trHeight w:hRule="exact" w:val="520"/>
        </w:trPr>
        <w:tc>
          <w:tcPr>
            <w:tcW w:type="dxa" w:w="187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Motor degradation</w:t>
            </w:r>
          </w:p>
        </w:tc>
        <w:tc>
          <w:tcPr>
            <w:tcW w:type="dxa" w:w="31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Motor current; vibration; temperature;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operating state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Current trends indicate load/electrical changes; vibration and temperature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reveal mechanical/thermal stress.</w:t>
            </w:r>
          </w:p>
        </w:tc>
      </w:tr>
      <w:tr>
        <w:trPr>
          <w:trHeight w:hRule="exact" w:val="520"/>
        </w:trPr>
        <w:tc>
          <w:tcPr>
            <w:tcW w:type="dxa" w:w="187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Hydraulic abnormality</w:t>
            </w:r>
          </w:p>
        </w:tc>
        <w:tc>
          <w:tcPr>
            <w:tcW w:type="dxa" w:w="31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Pressure; temperature; operating state;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acoustic level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72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Pressure variation and temperature indicate leakage, blockage,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overheating or unstable hydraulic behaviour.</w:t>
            </w:r>
          </w:p>
        </w:tc>
      </w:tr>
    </w:tbl>
    <w:p>
      <w:pPr>
        <w:autoSpaceDN w:val="0"/>
        <w:autoSpaceDE w:val="0"/>
        <w:widowControl/>
        <w:spacing w:line="318" w:lineRule="exact" w:before="238" w:after="0"/>
        <w:ind w:left="64" w:right="0" w:firstLine="0"/>
        <w:jc w:val="left"/>
      </w:pPr>
      <w:r>
        <w:rPr>
          <w:spacing w:val="5.75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2.2 Edge preprocessing sequence</w:t>
      </w:r>
    </w:p>
    <w:p>
      <w:pPr>
        <w:autoSpaceDN w:val="0"/>
        <w:autoSpaceDE w:val="0"/>
        <w:widowControl/>
        <w:spacing w:line="260" w:lineRule="exact" w:before="74" w:after="0"/>
        <w:ind w:left="64" w:right="432" w:firstLine="0"/>
        <w:jc w:val="left"/>
      </w:pPr>
      <w:r>
        <w:rPr>
          <w:spacing w:val="4.5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 xml:space="preserve">1. </w:t>
      </w:r>
      <w:r>
        <w:rPr>
          <w:spacing w:val="0.6375656853551303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Timestamp and validate: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attach machine/channel identity, check sensor range, sequence number and clock </w:t>
      </w:r>
      <w:r>
        <w:rPr>
          <w:spacing w:val="2.1250010728835917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synchronization. 2. </w:t>
      </w:r>
      <w:r>
        <w:rPr>
          <w:spacing w:val="1.1491122510698002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Missing/duplicate handling: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flag gaps, remove duplicates and mark low-confidence windows rather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than silently inventing values. 3. </w:t>
      </w:r>
      <w:r>
        <w:rPr>
          <w:spacing w:val="-1.3881992399692535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Filtering:</w:t>
      </w:r>
      <w:r>
        <w:rPr>
          <w:spacing w:val="2.0842113479187523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apply an appropriate anti-alias/noise filter before feature calculation. 4.</w:t>
      </w:r>
    </w:p>
    <w:p>
      <w:pPr>
        <w:autoSpaceDN w:val="0"/>
        <w:autoSpaceDE w:val="0"/>
        <w:widowControl/>
        <w:spacing w:line="258" w:lineRule="exact" w:before="0" w:after="0"/>
        <w:ind w:left="64" w:right="432" w:firstLine="0"/>
        <w:jc w:val="left"/>
      </w:pPr>
      <w:r>
        <w:rPr>
          <w:spacing w:val="-1.5539986073970908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Windowing:</w:t>
      </w:r>
      <w:r>
        <w:rPr>
          <w:spacing w:val="2.272754745206978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divide vibration into one-second windows with a defined overlap. 5. </w:t>
      </w:r>
      <w:r>
        <w:rPr>
          <w:spacing w:val="-4.5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Normalization: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scale features using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training-set statistics and retain the same parameters at inference. 6. </w:t>
      </w:r>
      <w:r>
        <w:rPr>
          <w:spacing w:val="0.47747453890348435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Feature extraction: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calculate time- and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frequency-domain features. 7. </w:t>
      </w:r>
      <w:r>
        <w:rPr>
          <w:spacing w:val="0.8969343026479161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Event-triggered raw retention: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preserve a raw pre/post-event segment for diagnosis. 8. </w:t>
      </w:r>
      <w:r>
        <w:rPr>
          <w:spacing w:val="0.8218583634921421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Packetization: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compress and transmit features and events.</w:t>
      </w:r>
    </w:p>
    <w:p>
      <w:pPr>
        <w:autoSpaceDN w:val="0"/>
        <w:autoSpaceDE w:val="0"/>
        <w:widowControl/>
        <w:spacing w:line="318" w:lineRule="exact" w:before="148" w:after="56"/>
        <w:ind w:left="64" w:right="0" w:firstLine="0"/>
        <w:jc w:val="left"/>
      </w:pPr>
      <w:r>
        <w:rPr>
          <w:spacing w:val="2.6319732392827513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2.3 One-second vibration feature 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380"/>
        <w:gridCol w:w="7654"/>
      </w:tblGrid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6635705743517459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Feature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0.5488895343409623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Meaning / maintenance value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1.3933322429656414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RMS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Overall vibration energy; rises with imbalance, looseness or bearing damage.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Peak amplitude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Largest sample magnitude; captures impulsive events.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Peak-to-peak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Difference between maximum and minimum; indicates large excursions.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Crest factor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Peak divided by RMS; sensitive to repetitive impact faults.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Variance / standard deviation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Measures signal spread and changing vibration level.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Kurtosis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Highlights impulsive, non-Gaussian vibration often associated with bearing defects.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Dominant frequency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Largest spectral component; helps identify rotational or fault-related frequency changes.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Band energy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Energy in selected frequency bands; supports bearing and gear fault diagnosis.</w:t>
            </w:r>
          </w:p>
        </w:tc>
      </w:tr>
    </w:tbl>
    <w:p>
      <w:pPr>
        <w:autoSpaceDN w:val="0"/>
        <w:autoSpaceDE w:val="0"/>
        <w:widowControl/>
        <w:spacing w:line="318" w:lineRule="exact" w:before="238" w:after="0"/>
        <w:ind w:left="64" w:right="0" w:firstLine="0"/>
        <w:jc w:val="left"/>
      </w:pPr>
      <w:r>
        <w:rPr>
          <w:spacing w:val="1.1021377112377775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2.4 Feature packet and reduction calculation</w:t>
      </w:r>
    </w:p>
    <w:p>
      <w:pPr>
        <w:autoSpaceDN w:val="0"/>
        <w:autoSpaceDE w:val="0"/>
        <w:widowControl/>
        <w:spacing w:line="240" w:lineRule="auto" w:before="72" w:after="0"/>
        <w:ind w:left="64" w:right="432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Assume 8 numeric features per channel, each stored as a 4-byte float. Add 16 bytes of timestamp, 8 bytes of</w:t>
      </w:r>
      <w:r>
        <w:drawing>
          <wp:inline xmlns:a="http://schemas.openxmlformats.org/drawingml/2006/main" xmlns:pic="http://schemas.openxmlformats.org/drawingml/2006/picture">
            <wp:extent cx="1422400" cy="165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65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machine/channel identifiers and 8 bytes for status/quality/version metadata. Packet size = (8 × 4) + 16 + 8 + 8 = 64 bytes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per channel per 10-second packet.</w:t>
      </w:r>
    </w:p>
    <w:p>
      <w:pPr>
        <w:autoSpaceDN w:val="0"/>
        <w:autoSpaceDE w:val="0"/>
        <w:widowControl/>
        <w:spacing w:line="260" w:lineRule="exact" w:before="100" w:after="0"/>
        <w:ind w:left="64" w:right="288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There are 200 × 8 = 1,600 channels. Packets per second = 1,600 / 10 = 160. Feature traffic = 160 × 64 = 10,240 bytes/s =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10.24 kB/s. Daily feature traffic = 10,240 × 57,600 = 589,824,000 bytes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≈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0.590 GB/day.</w:t>
      </w:r>
    </w:p>
    <w:p>
      <w:pPr>
        <w:autoSpaceDN w:val="0"/>
        <w:tabs>
          <w:tab w:pos="9422" w:val="left"/>
        </w:tabs>
        <w:autoSpaceDE w:val="0"/>
        <w:widowControl/>
        <w:spacing w:line="194" w:lineRule="exact" w:before="686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3</w:t>
      </w:r>
    </w:p>
    <w:p>
      <w:pPr>
        <w:sectPr>
          <w:pgSz w:w="11906" w:h="16838"/>
          <w:pgMar w:top="1024" w:right="764" w:bottom="638" w:left="1020" w:header="720" w:footer="720" w:gutter="0"/>
          <w:cols w:num="1" w:equalWidth="0">
            <w:col w:w="10122" w:space="0"/>
          </w:cols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64" w:right="288" w:firstLine="0"/>
        <w:jc w:val="left"/>
      </w:pPr>
      <w:r>
        <w:rPr>
          <w:spacing w:val="1.3026672045389773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Reduction = [1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(10,240 / 6,400,000)] × 100 = 99.84%. This exceeds the required 90%. The estimate excludes transport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headers, retransmissions and additional process-variable packets; even with overhead, there is substantial margin. The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packet should contain machine ID, channel ID, timestamp, sequence number, feature values, machine state, quality flags,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model/feature schema version and alarm/event flag.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9453880</wp:posOffset>
                </wp:positionV>
                <wp:extent cx="6371590" cy="330200"/>
                <wp:wrapNone/>
                <wp:docPr id="31" name="Text Box 3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9237980</wp:posOffset>
                </wp:positionV>
                <wp:extent cx="6371590" cy="215900"/>
                <wp:wrapNone/>
                <wp:docPr id="32" name="Text Box 3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8488680</wp:posOffset>
                </wp:positionV>
                <wp:extent cx="6336030" cy="330200"/>
                <wp:wrapNone/>
                <wp:docPr id="33" name="Text Box 3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03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8158480</wp:posOffset>
                </wp:positionV>
                <wp:extent cx="6336030" cy="330200"/>
                <wp:wrapNone/>
                <wp:docPr id="34" name="Text Box 3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03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7828280</wp:posOffset>
                </wp:positionV>
                <wp:extent cx="6336030" cy="330200"/>
                <wp:wrapNone/>
                <wp:docPr id="35" name="Text Box 3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03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7612380</wp:posOffset>
                </wp:positionV>
                <wp:extent cx="6336030" cy="215900"/>
                <wp:wrapNone/>
                <wp:docPr id="36" name="Text Box 3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03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6240780</wp:posOffset>
                </wp:positionV>
                <wp:extent cx="5651500" cy="215900"/>
                <wp:wrapNone/>
                <wp:docPr id="37" name="Text Box 3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6024880</wp:posOffset>
                </wp:positionV>
                <wp:extent cx="5651500" cy="215900"/>
                <wp:wrapNone/>
                <wp:docPr id="38" name="Text Box 3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5808980</wp:posOffset>
                </wp:positionV>
                <wp:extent cx="5651500" cy="215900"/>
                <wp:wrapNone/>
                <wp:docPr id="39" name="Text Box 3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5478780</wp:posOffset>
                </wp:positionV>
                <wp:extent cx="5651500" cy="330200"/>
                <wp:wrapNone/>
                <wp:docPr id="40" name="Text Box 4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0" cy="3302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18" w:lineRule="exact" w:before="150" w:after="0"/>
        <w:ind w:left="64" w:right="0" w:firstLine="0"/>
        <w:jc w:val="left"/>
      </w:pPr>
      <w:r>
        <w:rPr>
          <w:spacing w:val="0.8369739120071029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2.5 Acquisition-to-edge block diagram</w:t>
      </w:r>
    </w:p>
    <w:p>
      <w:pPr>
        <w:autoSpaceDN w:val="0"/>
        <w:autoSpaceDE w:val="0"/>
        <w:widowControl/>
        <w:spacing w:line="260" w:lineRule="exact" w:before="72" w:after="0"/>
        <w:ind w:left="64" w:right="3744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Sensors / PLCs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-0.12526225102575203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Industrial Ethernet / Wi-Fi / fieldbus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2.093478690023017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Edge gateway (timestamp, identity, validation)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-1.883999347686767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Filtering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missing/duplicate checks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1-second windowing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1.810769917414745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Feature extraction (RMS, kurtosis, crest factor, FFT bands, etc.)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1.1809311717055617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Local feature store + short raw ring buffer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0.935790130966573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Local AI inference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-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NORMAL / WARNING / CRITICAL alarm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Transmit compact features, events and selected raw snippets to plant platform</w:t>
      </w:r>
    </w:p>
    <w:p>
      <w:pPr>
        <w:autoSpaceDN w:val="0"/>
        <w:autoSpaceDE w:val="0"/>
        <w:widowControl/>
        <w:spacing w:line="414" w:lineRule="exact" w:before="226" w:after="0"/>
        <w:ind w:left="64" w:right="0" w:firstLine="0"/>
        <w:jc w:val="left"/>
      </w:pPr>
      <w:r>
        <w:rPr>
          <w:spacing w:val="1.1695010542869682"/>
          <w:rFonts w:ascii="Times New Roman" w:hAnsi="Times New Roman" w:eastAsia="Times New Roman" w:cs="Times New Roman"/>
          <w:b/>
          <w:bCs/>
          <w:i w:val="0"/>
          <w:color w:val="17365D"/>
          <w:sz w:val="30"/>
          <w:szCs w:val="30"/>
        </w:rPr>
        <w:t>3. Stage 3 – Analytics and Visualization</w:t>
      </w:r>
    </w:p>
    <w:p>
      <w:pPr>
        <w:autoSpaceDN w:val="0"/>
        <w:autoSpaceDE w:val="0"/>
        <w:widowControl/>
        <w:spacing w:line="318" w:lineRule="exact" w:before="110" w:after="0"/>
        <w:ind w:left="64" w:right="0" w:firstLine="0"/>
        <w:jc w:val="left"/>
      </w:pPr>
      <w:r>
        <w:rPr>
          <w:spacing w:val="0.4146187629769864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3.1 Dashboard tool decision matrix</w:t>
      </w:r>
    </w:p>
    <w:p>
      <w:pPr>
        <w:autoSpaceDN w:val="0"/>
        <w:autoSpaceDE w:val="0"/>
        <w:widowControl/>
        <w:spacing w:line="260" w:lineRule="exact" w:before="72" w:after="104"/>
        <w:ind w:left="64" w:right="288" w:firstLine="0"/>
        <w:jc w:val="left"/>
      </w:pPr>
      <w:r>
        <w:rPr>
          <w:spacing w:val="2.40558191232903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Weights reflect the need for live industrial time-series monitoring: real-time capability 25%, time-series suitability 20%, alert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integration 15%, scalability 15%, customization 10%, cost 10% and deployment ease 5%. Scores are 1 (weak) to 5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(excellent); they are planning judgements to be confirmed during procurement.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530"/>
        <w:gridCol w:w="1020"/>
        <w:gridCol w:w="1078"/>
        <w:gridCol w:w="850"/>
        <w:gridCol w:w="794"/>
        <w:gridCol w:w="908"/>
        <w:gridCol w:w="736"/>
        <w:gridCol w:w="738"/>
        <w:gridCol w:w="1246"/>
      </w:tblGrid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Tool</w:t>
            </w:r>
          </w:p>
        </w:tc>
        <w:tc>
          <w:tcPr>
            <w:tcW w:type="dxa" w:w="10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96" w:right="144" w:firstLine="0"/>
              <w:jc w:val="left"/>
            </w:pPr>
            <w:r>
              <w:rPr>
                <w:spacing w:val="-1.4855561587545354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 xml:space="preserve">Real-time </w:t>
            </w:r>
            <w:r>
              <w:rPr>
                <w:spacing w:val="1.5000000000000568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25</w:t>
            </w:r>
          </w:p>
        </w:tc>
        <w:tc>
          <w:tcPr>
            <w:tcW w:type="dxa" w:w="107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 xml:space="preserve">Time-series </w:t>
            </w:r>
            <w:r>
              <w:rPr>
                <w:spacing w:val="1.5000000000000568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20</w:t>
            </w:r>
          </w:p>
        </w:tc>
        <w:tc>
          <w:tcPr>
            <w:tcW w:type="dxa" w:w="85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0.1727776990996767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Alerts 15</w:t>
            </w:r>
          </w:p>
        </w:tc>
        <w:tc>
          <w:tcPr>
            <w:tcW w:type="dxa" w:w="79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96" w:right="288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 xml:space="preserve">Scale </w:t>
            </w:r>
            <w:r>
              <w:br/>
            </w:r>
            <w:r>
              <w:rPr>
                <w:spacing w:val="1.4999999999997726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15</w:t>
            </w:r>
          </w:p>
        </w:tc>
        <w:tc>
          <w:tcPr>
            <w:tcW w:type="dxa" w:w="90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96" w:right="144" w:firstLine="0"/>
              <w:jc w:val="left"/>
            </w:pPr>
            <w:r>
              <w:rPr>
                <w:spacing w:val="0.490001022815616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 xml:space="preserve">Custom </w:t>
            </w:r>
            <w:r>
              <w:rPr>
                <w:spacing w:val="1.4999999999997726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10</w:t>
            </w:r>
          </w:p>
        </w:tc>
        <w:tc>
          <w:tcPr>
            <w:tcW w:type="dxa" w:w="7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96" w:right="288" w:firstLine="0"/>
              <w:jc w:val="left"/>
            </w:pPr>
            <w:r>
              <w:rPr>
                <w:spacing w:val="0.9537515342236702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 xml:space="preserve">Cost </w:t>
            </w:r>
            <w:r>
              <w:br/>
            </w:r>
            <w:r>
              <w:rPr>
                <w:spacing w:val="0.5000000000001137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10</w:t>
            </w:r>
          </w:p>
        </w:tc>
        <w:tc>
          <w:tcPr>
            <w:tcW w:type="dxa" w:w="7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Ease 5</w:t>
            </w:r>
          </w:p>
        </w:tc>
        <w:tc>
          <w:tcPr>
            <w:tcW w:type="dxa" w:w="12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1312494426965453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Weighted / 5</w:t>
            </w:r>
          </w:p>
        </w:tc>
      </w:tr>
      <w:tr>
        <w:trPr>
          <w:trHeight w:hRule="exact" w:val="34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Grafana</w:t>
            </w:r>
          </w:p>
        </w:tc>
        <w:tc>
          <w:tcPr>
            <w:tcW w:type="dxa" w:w="10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type="dxa" w:w="107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type="dxa" w:w="85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type="dxa" w:w="79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90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type="dxa" w:w="7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type="dxa" w:w="7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12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4.75</w:t>
            </w:r>
          </w:p>
        </w:tc>
      </w:tr>
      <w:tr>
        <w:trPr>
          <w:trHeight w:hRule="exact" w:val="34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Power BI</w:t>
            </w:r>
          </w:p>
        </w:tc>
        <w:tc>
          <w:tcPr>
            <w:tcW w:type="dxa" w:w="10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type="dxa" w:w="107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type="dxa" w:w="85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79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90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type="dxa" w:w="7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type="dxa" w:w="7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12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3.35</w:t>
            </w:r>
          </w:p>
        </w:tc>
      </w:tr>
      <w:tr>
        <w:trPr>
          <w:trHeight w:hRule="exact" w:val="34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Tableau</w:t>
            </w:r>
          </w:p>
        </w:tc>
        <w:tc>
          <w:tcPr>
            <w:tcW w:type="dxa" w:w="10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type="dxa" w:w="107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type="dxa" w:w="85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type="dxa" w:w="79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90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type="dxa" w:w="73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2</w:t>
            </w:r>
          </w:p>
        </w:tc>
        <w:tc>
          <w:tcPr>
            <w:tcW w:type="dxa" w:w="7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type="dxa" w:w="12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3.25</w:t>
            </w:r>
          </w:p>
        </w:tc>
      </w:tr>
    </w:tbl>
    <w:p>
      <w:pPr>
        <w:autoSpaceDN w:val="0"/>
        <w:autoSpaceDE w:val="0"/>
        <w:widowControl/>
        <w:spacing w:line="260" w:lineRule="exact" w:before="188" w:after="0"/>
        <w:ind w:left="64" w:right="288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Grafana is selected for the operator's near-real-time machine-health view because it is well suited to time-series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dashboards and alerting. Power BI can be used for management summaries and business reporting. Tableau is a capable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analytical visualization option, but its cost and deployment fit should be assessed against the existing enterprise </w:t>
      </w:r>
      <w:r>
        <w:rPr>
          <w:spacing w:val="1.661667625109354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environment.</w:t>
      </w:r>
    </w:p>
    <w:p>
      <w:pPr>
        <w:autoSpaceDN w:val="0"/>
        <w:autoSpaceDE w:val="0"/>
        <w:widowControl/>
        <w:spacing w:line="318" w:lineRule="exact" w:before="150" w:after="56"/>
        <w:ind w:left="64" w:right="0" w:firstLine="0"/>
        <w:jc w:val="left"/>
      </w:pPr>
      <w:r>
        <w:rPr>
          <w:spacing w:val="5.75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3.2 Dashboard designs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4988"/>
        <w:gridCol w:w="4990"/>
      </w:tblGrid>
      <w:tr>
        <w:trPr>
          <w:trHeight w:hRule="exact" w:val="340"/>
        </w:trPr>
        <w:tc>
          <w:tcPr>
            <w:tcW w:type="dxa" w:w="498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1930431036845571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Operator real-time view</w:t>
            </w:r>
          </w:p>
        </w:tc>
        <w:tc>
          <w:tcPr>
            <w:tcW w:type="dxa" w:w="499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0.3768340309460711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Maintenance-manager trend view</w:t>
            </w:r>
          </w:p>
        </w:tc>
      </w:tr>
      <w:tr>
        <w:trPr>
          <w:trHeight w:hRule="exact" w:val="520"/>
        </w:trPr>
        <w:tc>
          <w:tcPr>
            <w:tcW w:type="dxa" w:w="498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1.9864516258239784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Plant overview: 200 machine tiles with NORMAL/WARNING/CRITICAL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status; active alarms; last update age; gateway connectivity.</w:t>
            </w:r>
          </w:p>
        </w:tc>
        <w:tc>
          <w:tcPr>
            <w:tcW w:type="dxa" w:w="499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Plant availability and downtime trend; failures by machine family; monthly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maintenance cost; planned vs emergency work.</w:t>
            </w:r>
          </w:p>
        </w:tc>
      </w:tr>
      <w:tr>
        <w:trPr>
          <w:trHeight w:hRule="exact" w:val="520"/>
        </w:trPr>
        <w:tc>
          <w:tcPr>
            <w:tcW w:type="dxa" w:w="498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Per-machine drill-down: vibration RMS trend, spectral band energy,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temperature/current/pressure gauges, operating state and health score.</w:t>
            </w:r>
          </w:p>
        </w:tc>
        <w:tc>
          <w:tcPr>
            <w:tcW w:type="dxa" w:w="499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Machine health score distribution; anomaly frequency heatmap;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remaining-useful-life trend with confidence; maintenance history timeline.</w:t>
            </w:r>
          </w:p>
        </w:tc>
      </w:tr>
      <w:tr>
        <w:trPr>
          <w:trHeight w:hRule="exact" w:val="520"/>
        </w:trPr>
        <w:tc>
          <w:tcPr>
            <w:tcW w:type="dxa" w:w="498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Alarm details: machine ID, fault class, severity, timestamp, confidence,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recommended action and acknowledgement.</w:t>
            </w:r>
          </w:p>
        </w:tc>
        <w:tc>
          <w:tcPr>
            <w:tcW w:type="dxa" w:w="499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Drill-down by machine, line, component, fault type, work order, failure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date and post-maintenance outcome.</w:t>
            </w:r>
          </w:p>
        </w:tc>
      </w:tr>
    </w:tbl>
    <w:p>
      <w:pPr>
        <w:autoSpaceDN w:val="0"/>
        <w:autoSpaceDE w:val="0"/>
        <w:widowControl/>
        <w:spacing w:line="318" w:lineRule="exact" w:before="238" w:after="56"/>
        <w:ind w:left="64" w:right="0" w:firstLine="0"/>
        <w:jc w:val="left"/>
      </w:pPr>
      <w:r>
        <w:rPr>
          <w:spacing w:val="0.9239557148380713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3.3 Visualization selection and data quality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268"/>
        <w:gridCol w:w="2720"/>
        <w:gridCol w:w="5046"/>
      </w:tblGrid>
      <w:tr>
        <w:trPr>
          <w:trHeight w:hRule="exact" w:val="340"/>
        </w:trPr>
        <w:tc>
          <w:tcPr>
            <w:tcW w:type="dxa" w:w="22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Information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1.2882005774974572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Recommended visualization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Reason</w:t>
            </w:r>
          </w:p>
        </w:tc>
      </w:tr>
      <w:tr>
        <w:trPr>
          <w:trHeight w:hRule="exact" w:val="520"/>
        </w:trPr>
        <w:tc>
          <w:tcPr>
            <w:tcW w:type="dxa" w:w="22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Vibration trend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Time-series line chart with warning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threshold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Shows trend, transient spikes and threshold crossings over time.</w:t>
            </w:r>
          </w:p>
        </w:tc>
      </w:tr>
    </w:tbl>
    <w:p>
      <w:pPr>
        <w:autoSpaceDN w:val="0"/>
        <w:tabs>
          <w:tab w:pos="9422" w:val="left"/>
        </w:tabs>
        <w:autoSpaceDE w:val="0"/>
        <w:widowControl/>
        <w:spacing w:line="194" w:lineRule="exact" w:before="574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4</w:t>
      </w:r>
    </w:p>
    <w:p>
      <w:pPr>
        <w:sectPr>
          <w:pgSz w:w="11906" w:h="16838"/>
          <w:pgMar w:top="1014" w:right="764" w:bottom="638" w:left="1020" w:header="720" w:footer="720" w:gutter="0"/>
          <w:cols w:num="1" w:equalWidth="0">
            <w:col w:w="101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268"/>
        <w:gridCol w:w="2720"/>
        <w:gridCol w:w="5046"/>
      </w:tblGrid>
      <w:tr>
        <w:trPr>
          <w:trHeight w:hRule="exact" w:val="340"/>
        </w:trPr>
        <w:tc>
          <w:tcPr>
            <w:tcW w:type="dxa" w:w="22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Information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1.2882005774974572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Recommended visualization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Reason</w:t>
            </w:r>
          </w:p>
        </w:tc>
      </w:tr>
      <w:tr>
        <w:trPr>
          <w:trHeight w:hRule="exact" w:val="520"/>
        </w:trPr>
        <w:tc>
          <w:tcPr>
            <w:tcW w:type="dxa" w:w="22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Machine-health score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Gauge or bullet chart plus trend line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72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Communicates current condition and whether it is approaching a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threshold.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Anomaly frequency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Bar chart / calendar heatmap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Compares machines and reveals recurring time patterns.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Remaining useful life (RUL)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Trend line with uncertainty band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Shows predicted life and uncertainty, not just a single number.</w:t>
            </w:r>
          </w:p>
        </w:tc>
      </w:tr>
      <w:tr>
        <w:trPr>
          <w:trHeight w:hRule="exact" w:val="340"/>
        </w:trPr>
        <w:tc>
          <w:tcPr>
            <w:tcW w:type="dxa" w:w="226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Maintenance history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Event timeline / table</w:t>
            </w:r>
          </w:p>
        </w:tc>
        <w:tc>
          <w:tcPr>
            <w:tcW w:type="dxa" w:w="504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Preserves chronological work-order and component-replacement context.</w:t>
            </w:r>
          </w:p>
        </w:tc>
      </w:tr>
    </w:tbl>
    <w:p>
      <w:pPr>
        <w:autoSpaceDN w:val="0"/>
        <w:autoSpaceDE w:val="0"/>
        <w:widowControl/>
        <w:spacing w:line="260" w:lineRule="exact" w:before="188" w:after="0"/>
        <w:ind w:left="64" w:right="432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Data-quality monitoring checks missing timestamps, duplicate sequence numbers, delayed arrival, out-of-range values,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flat-lined sensors, sudden impossible jumps and clock drift. Each record receives a quality flag. Low-quality windows are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excluded or down-weighted; operators are alerted to sensor faults. Poor data can create false warnings, hide real failures </w:t>
      </w:r>
      <w:r>
        <w:rPr>
          <w:spacing w:val="1.3095660831617149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or bias model training.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5732780</wp:posOffset>
                </wp:positionV>
                <wp:extent cx="6371590" cy="444500"/>
                <wp:wrapNone/>
                <wp:docPr id="41" name="Text Box 4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4445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5402580</wp:posOffset>
                </wp:positionV>
                <wp:extent cx="6371590" cy="330200"/>
                <wp:wrapNone/>
                <wp:docPr id="42" name="Text Box 4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4958080</wp:posOffset>
                </wp:positionV>
                <wp:extent cx="6371590" cy="444500"/>
                <wp:wrapNone/>
                <wp:docPr id="43" name="Text Box 4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4445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4627880</wp:posOffset>
                </wp:positionV>
                <wp:extent cx="6371590" cy="330200"/>
                <wp:wrapNone/>
                <wp:docPr id="44" name="Text Box 4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4183379</wp:posOffset>
                </wp:positionV>
                <wp:extent cx="6371590" cy="444500"/>
                <wp:wrapNone/>
                <wp:docPr id="45" name="Text Box 4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4445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3967479</wp:posOffset>
                </wp:positionV>
                <wp:extent cx="6371590" cy="215900"/>
                <wp:wrapNone/>
                <wp:docPr id="46" name="Text Box 4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1629410</wp:posOffset>
                </wp:positionV>
                <wp:extent cx="6371590" cy="215900"/>
                <wp:wrapNone/>
                <wp:docPr id="47" name="Text Box 4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1413510</wp:posOffset>
                </wp:positionV>
                <wp:extent cx="6371590" cy="215900"/>
                <wp:wrapNone/>
                <wp:docPr id="48" name="Text Box 4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1197610</wp:posOffset>
                </wp:positionV>
                <wp:extent cx="6371590" cy="215900"/>
                <wp:wrapNone/>
                <wp:docPr id="49" name="Text Box 4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867410</wp:posOffset>
                </wp:positionV>
                <wp:extent cx="6371590" cy="330200"/>
                <wp:wrapNone/>
                <wp:docPr id="50" name="Text Box 5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652780</wp:posOffset>
                </wp:positionV>
                <wp:extent cx="6371590" cy="214629"/>
                <wp:wrapNone/>
                <wp:docPr id="51" name="Text Box 5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4629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60" w:lineRule="exact" w:before="100" w:after="0"/>
        <w:ind w:left="64" w:right="864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Sensor event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145263489923979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data-quality gate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1.72592671270725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abnormal trend / AI score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severity rule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operator acknowledgement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606088156285481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maintenance work order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47238207431066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inspection / repair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41122049820133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record actual finding and replaced part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1.32250107824802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compare prediction with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outcome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0.666061459165631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model monitoring and retraining.</w:t>
      </w:r>
    </w:p>
    <w:p>
      <w:pPr>
        <w:autoSpaceDN w:val="0"/>
        <w:autoSpaceDE w:val="0"/>
        <w:widowControl/>
        <w:spacing w:line="414" w:lineRule="exact" w:before="226" w:after="0"/>
        <w:ind w:left="64" w:right="0" w:firstLine="0"/>
        <w:jc w:val="left"/>
      </w:pPr>
      <w:r>
        <w:rPr>
          <w:spacing w:val="-2.234421908855451"/>
          <w:rFonts w:ascii="Times New Roman" w:hAnsi="Times New Roman" w:eastAsia="Times New Roman" w:cs="Times New Roman"/>
          <w:b/>
          <w:bCs/>
          <w:i w:val="0"/>
          <w:color w:val="17365D"/>
          <w:sz w:val="30"/>
          <w:szCs w:val="30"/>
        </w:rPr>
        <w:t>4. Stage 4 – Big-Data Handling with Hadoop and Spark</w:t>
      </w:r>
    </w:p>
    <w:p>
      <w:pPr>
        <w:autoSpaceDN w:val="0"/>
        <w:autoSpaceDE w:val="0"/>
        <w:widowControl/>
        <w:spacing w:line="318" w:lineRule="exact" w:before="110" w:after="56"/>
        <w:ind w:left="64" w:right="0" w:firstLine="0"/>
        <w:jc w:val="left"/>
      </w:pPr>
      <w:r>
        <w:rPr>
          <w:spacing w:val="1.1582073069670553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4.1 Hadoop versus Spark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418"/>
        <w:gridCol w:w="2720"/>
        <w:gridCol w:w="2948"/>
        <w:gridCol w:w="2948"/>
      </w:tblGrid>
      <w:tr>
        <w:trPr>
          <w:trHeight w:hRule="exact" w:val="34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Criterion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Hadoop ecosystem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0.255834211905785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Apache Spark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Plant decision</w:t>
            </w:r>
          </w:p>
        </w:tc>
      </w:tr>
      <w:tr>
        <w:trPr>
          <w:trHeight w:hRule="exact" w:val="70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Batch processing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Strong distributed storage and batch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ecosystem.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Fast distributed batch processing with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in-memory options.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326" w:firstLine="0"/>
              <w:jc w:val="both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Use both where appropriate; Spark for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feature preparation and model-training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datasets.</w:t>
            </w:r>
          </w:p>
        </w:tc>
      </w:tr>
      <w:tr>
        <w:trPr>
          <w:trHeight w:hRule="exact" w:val="52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Iterative analytics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Disk-oriented MapReduce can be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slower for repeated iterations.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Efficient for repeated transformations and </w:t>
            </w:r>
            <w:r>
              <w:rPr>
                <w:spacing w:val="1.8853340387343753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ML preparation.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Prefer Spark for iterative analytics.</w:t>
            </w:r>
          </w:p>
        </w:tc>
      </w:tr>
      <w:tr>
        <w:trPr>
          <w:trHeight w:hRule="exact" w:val="70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Streaming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0" w:right="288" w:firstLine="0"/>
              <w:jc w:val="center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Typically requires complementary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ingestion/streaming components.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72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Structured Streaming supports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near-real-time processing.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Use Spark streaming for plant-level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monitoring, not the sub-100 ms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safety-critical edge alarm.</w:t>
            </w:r>
          </w:p>
        </w:tc>
      </w:tr>
      <w:tr>
        <w:trPr>
          <w:trHeight w:hRule="exact" w:val="52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Fault tolerance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Distributed storage replication and job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recovery.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86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Lineage-based recovery and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checkpointing.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Use replicated storage, checkpoints and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backups.</w:t>
            </w:r>
          </w:p>
        </w:tc>
      </w:tr>
      <w:tr>
        <w:trPr>
          <w:trHeight w:hRule="exact" w:val="70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Resources /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latency</w:t>
            </w:r>
          </w:p>
        </w:tc>
        <w:tc>
          <w:tcPr>
            <w:tcW w:type="dxa" w:w="272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Can require substantial cluster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resources; batch latency is higher.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Memory and CPU demand can be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significant; latency depends on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deployment.</w:t>
            </w:r>
          </w:p>
        </w:tc>
        <w:tc>
          <w:tcPr>
            <w:tcW w:type="dxa" w:w="294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Right-size the cluster and keep immediate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inference at gateways.</w:t>
            </w:r>
          </w:p>
        </w:tc>
      </w:tr>
    </w:tbl>
    <w:p>
      <w:pPr>
        <w:autoSpaceDN w:val="0"/>
        <w:autoSpaceDE w:val="0"/>
        <w:widowControl/>
        <w:spacing w:line="318" w:lineRule="exact" w:before="238" w:after="0"/>
        <w:ind w:left="64" w:right="0" w:firstLine="0"/>
        <w:jc w:val="left"/>
      </w:pPr>
      <w:r>
        <w:rPr>
          <w:spacing w:val="1.0070978249272993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4.2 Hybrid storage architecture</w:t>
      </w:r>
    </w:p>
    <w:p>
      <w:pPr>
        <w:autoSpaceDN w:val="0"/>
        <w:autoSpaceDE w:val="0"/>
        <w:widowControl/>
        <w:spacing w:line="260" w:lineRule="exact" w:before="74" w:after="0"/>
        <w:ind w:left="64" w:right="432" w:firstLine="0"/>
        <w:jc w:val="left"/>
      </w:pPr>
      <w:r>
        <w:rPr>
          <w:spacing w:val="-1.078999787569046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Gateway:</w:t>
      </w:r>
      <w:r>
        <w:rPr>
          <w:spacing w:val="2.39527366594834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short rolling raw buffer, local feature/event queue, model and configuration cache; retain enough data for at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least 30 minutes of disconnected operation. </w:t>
      </w:r>
      <w:r>
        <w:rPr>
          <w:spacing w:val="-1.5293325622876637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Plant platform: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time-series feature store, event/alarm store, machine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metadata, maintenance records and selected raw event snippets. </w:t>
      </w:r>
      <w:r>
        <w:rPr>
          <w:spacing w:val="1.4996673564116096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Long-term storage: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30-day raw diagnostic retention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where selected and at least two years of summarized features/events, model versions and audit records. Apply retention </w:t>
      </w:r>
      <w:r>
        <w:rPr>
          <w:spacing w:val="2.388334547479935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policies and encryption.</w:t>
      </w:r>
    </w:p>
    <w:p>
      <w:pPr>
        <w:autoSpaceDN w:val="0"/>
        <w:autoSpaceDE w:val="0"/>
        <w:widowControl/>
        <w:spacing w:line="318" w:lineRule="exact" w:before="150" w:after="0"/>
        <w:ind w:left="64" w:right="0" w:firstLine="0"/>
        <w:jc w:val="left"/>
      </w:pPr>
      <w:r>
        <w:rPr>
          <w:spacing w:val="5.75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4.3 Storage sizing</w:t>
      </w:r>
    </w:p>
    <w:p>
      <w:pPr>
        <w:autoSpaceDN w:val="0"/>
        <w:autoSpaceDE w:val="0"/>
        <w:widowControl/>
        <w:spacing w:line="260" w:lineRule="exact" w:before="72" w:after="0"/>
        <w:ind w:left="64" w:right="288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If all 200 machines' high-resolution raw streams were retained for 30 days, the estimate is 11.06 TB (from Stage 1). Add a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planning allowance of 30% for metadata, indexes, replication and operational headroom: 11.06 × 1.30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≈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14.38 TB. This is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a conservative upper-bound scenario, not the recommended default.</w:t>
      </w:r>
    </w:p>
    <w:p>
      <w:pPr>
        <w:autoSpaceDN w:val="0"/>
        <w:autoSpaceDE w:val="0"/>
        <w:widowControl/>
        <w:spacing w:line="260" w:lineRule="exact" w:before="100" w:after="0"/>
        <w:ind w:left="64" w:right="288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For feature data at 0.590 GB/day, two years (730 days) requires 0.590 × 730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≈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430.7 GB before replication and metadata.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With a 30% allowance, plan approximately 560 GB. Actual capacity depends on packet overhead, number of features,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additional sensors, compression, retention policy and whether all machines operate at the maximum rate.</w:t>
      </w:r>
    </w:p>
    <w:p>
      <w:pPr>
        <w:autoSpaceDN w:val="0"/>
        <w:autoSpaceDE w:val="0"/>
        <w:widowControl/>
        <w:spacing w:line="260" w:lineRule="exact" w:before="100" w:after="0"/>
        <w:ind w:left="64" w:right="288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The estimate may be invalid if: (1) diagnostic sampling is triggered more often or runs beyond 16 hours/day; (2) the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number of machines/channels or feature fields grows; (3) replication, backup and retention copies differ from the assumed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30%; or (4) network/protocol overhead and raw event snippets are larger than expected.</w:t>
      </w:r>
    </w:p>
    <w:p>
      <w:pPr>
        <w:autoSpaceDN w:val="0"/>
        <w:autoSpaceDE w:val="0"/>
        <w:widowControl/>
        <w:spacing w:line="318" w:lineRule="exact" w:before="150" w:after="0"/>
        <w:ind w:left="64" w:right="0" w:firstLine="0"/>
        <w:jc w:val="left"/>
      </w:pPr>
      <w:r>
        <w:rPr>
          <w:spacing w:val="-2.5346908901746716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4.4 Hadoop/Spark data flow</w:t>
      </w:r>
    </w:p>
    <w:p>
      <w:pPr>
        <w:autoSpaceDN w:val="0"/>
        <w:tabs>
          <w:tab w:pos="9422" w:val="left"/>
        </w:tabs>
        <w:autoSpaceDE w:val="0"/>
        <w:widowControl/>
        <w:spacing w:line="194" w:lineRule="exact" w:before="638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5</w:t>
      </w:r>
    </w:p>
    <w:p>
      <w:pPr>
        <w:sectPr>
          <w:pgSz w:w="11906" w:h="16838"/>
          <w:pgMar w:top="1024" w:right="764" w:bottom="638" w:left="1020" w:header="720" w:footer="720" w:gutter="0"/>
          <w:cols w:num="1" w:equalWidth="0">
            <w:col w:w="10122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64" w:right="288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PLCs / sensors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32883789095767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gateway validation and feature extraction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message broker / secure ingestion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390000392090211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plant feature &amp; event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store 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I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selected raw diagnostic objects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536191287494841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30-day raw retention </w:t>
      </w:r>
      <w:r>
        <w:br/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Feature/event history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238432194672376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Hadoop-compatible distributed storage / data lake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264865775366062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Spark batch + streaming preparation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667693037253149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labelled training dataset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0.771613663242705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model training and validation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model registry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signed deployment to edge gateways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8704580</wp:posOffset>
                </wp:positionV>
                <wp:extent cx="6371590" cy="330200"/>
                <wp:wrapNone/>
                <wp:docPr id="52" name="Text Box 5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8374380</wp:posOffset>
                </wp:positionV>
                <wp:extent cx="6371590" cy="330200"/>
                <wp:wrapNone/>
                <wp:docPr id="53" name="Text Box 5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8158480</wp:posOffset>
                </wp:positionV>
                <wp:extent cx="6371590" cy="215900"/>
                <wp:wrapNone/>
                <wp:docPr id="54" name="Text Box 5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7942580</wp:posOffset>
                </wp:positionV>
                <wp:extent cx="6371590" cy="215900"/>
                <wp:wrapNone/>
                <wp:docPr id="55" name="Text Box 5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4069079</wp:posOffset>
                </wp:positionV>
                <wp:extent cx="6371590" cy="330200"/>
                <wp:wrapNone/>
                <wp:docPr id="56" name="Text Box 5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3624579</wp:posOffset>
                </wp:positionV>
                <wp:extent cx="6371590" cy="444500"/>
                <wp:wrapNone/>
                <wp:docPr id="57" name="Text Box 5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4445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2835910</wp:posOffset>
                </wp:positionV>
                <wp:extent cx="6371590" cy="788669"/>
                <wp:wrapNone/>
                <wp:docPr id="58" name="Text Box 5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78866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2620010</wp:posOffset>
                </wp:positionV>
                <wp:extent cx="6371590" cy="215900"/>
                <wp:wrapNone/>
                <wp:docPr id="59" name="Text Box 5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60" w:lineRule="exact" w:before="100" w:after="0"/>
        <w:ind w:left="64" w:right="432" w:firstLine="0"/>
        <w:jc w:val="left"/>
      </w:pPr>
      <w:r>
        <w:rPr>
          <w:spacing w:val="2.283578216544979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Spark should be used for historical model-training preparation and plant-level stream analytics. It should not be placed in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the critical 100 ms alarm path because network, scheduling and cluster delays are less predictable than local inference.</w:t>
      </w:r>
    </w:p>
    <w:p>
      <w:pPr>
        <w:autoSpaceDN w:val="0"/>
        <w:autoSpaceDE w:val="0"/>
        <w:widowControl/>
        <w:spacing w:line="414" w:lineRule="exact" w:before="226" w:after="0"/>
        <w:ind w:left="64" w:right="0" w:firstLine="0"/>
        <w:jc w:val="left"/>
      </w:pPr>
      <w:r>
        <w:rPr>
          <w:spacing w:val="1.9151618461455104"/>
          <w:rFonts w:ascii="Times New Roman" w:hAnsi="Times New Roman" w:eastAsia="Times New Roman" w:cs="Times New Roman"/>
          <w:b/>
          <w:bCs/>
          <w:i w:val="0"/>
          <w:color w:val="17365D"/>
          <w:sz w:val="30"/>
          <w:szCs w:val="30"/>
        </w:rPr>
        <w:t>5. Stage 5 – AI Decision System</w:t>
      </w:r>
    </w:p>
    <w:p>
      <w:pPr>
        <w:autoSpaceDN w:val="0"/>
        <w:autoSpaceDE w:val="0"/>
        <w:widowControl/>
        <w:spacing w:line="318" w:lineRule="exact" w:before="110" w:after="56"/>
        <w:ind w:left="64" w:right="0" w:firstLine="0"/>
        <w:jc w:val="left"/>
      </w:pPr>
      <w:r>
        <w:rPr>
          <w:spacing w:val="0.30777204098801764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5.1 ML, deep learning and reinforcement 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644"/>
        <w:gridCol w:w="2834"/>
        <w:gridCol w:w="3516"/>
        <w:gridCol w:w="2040"/>
      </w:tblGrid>
      <w:tr>
        <w:trPr>
          <w:trHeight w:hRule="exact" w:val="340"/>
        </w:trPr>
        <w:tc>
          <w:tcPr>
            <w:tcW w:type="dxa" w:w="164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1.228749100118875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Approach</w:t>
            </w:r>
          </w:p>
        </w:tc>
        <w:tc>
          <w:tcPr>
            <w:tcW w:type="dxa" w:w="283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Strengths</w:t>
            </w:r>
          </w:p>
        </w:tc>
        <w:tc>
          <w:tcPr>
            <w:tcW w:type="dxa" w:w="351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767499420505314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Limitations for this plant</w:t>
            </w:r>
          </w:p>
        </w:tc>
        <w:tc>
          <w:tcPr>
            <w:tcW w:type="dxa" w:w="204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1.0687508359552478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Decision</w:t>
            </w:r>
          </w:p>
        </w:tc>
      </w:tr>
      <w:tr>
        <w:trPr>
          <w:trHeight w:hRule="exact" w:val="1240"/>
        </w:trPr>
        <w:tc>
          <w:tcPr>
            <w:tcW w:type="dxa" w:w="164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Supervised ML</w:t>
            </w:r>
          </w:p>
        </w:tc>
        <w:tc>
          <w:tcPr>
            <w:tcW w:type="dxa" w:w="283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Works well with engineered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vibration/process features; interpretable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options; modest compute.</w:t>
            </w:r>
          </w:p>
        </w:tc>
        <w:tc>
          <w:tcPr>
            <w:tcW w:type="dxa" w:w="351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Requires reliable labelled failure/maintenance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examples; rare failures create imbalance.</w:t>
            </w:r>
          </w:p>
        </w:tc>
        <w:tc>
          <w:tcPr>
            <w:tcW w:type="dxa" w:w="204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Primary approach: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gradient-boosted trees or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Random Forest for fault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classification, with anomaly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detection for unseen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behaviour.</w:t>
            </w:r>
          </w:p>
        </w:tc>
      </w:tr>
      <w:tr>
        <w:trPr>
          <w:trHeight w:hRule="exact" w:val="700"/>
        </w:trPr>
        <w:tc>
          <w:tcPr>
            <w:tcW w:type="dxa" w:w="164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Deep learning</w:t>
            </w:r>
          </w:p>
        </w:tc>
        <w:tc>
          <w:tcPr>
            <w:tcW w:type="dxa" w:w="283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Can learn complex patterns from raw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signals and spectrograms.</w:t>
            </w:r>
          </w:p>
        </w:tc>
        <w:tc>
          <w:tcPr>
            <w:tcW w:type="dxa" w:w="351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Needs more labelled data, compute and careful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validation; harder to explain and deploy on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constrained gateways.</w:t>
            </w:r>
          </w:p>
        </w:tc>
        <w:tc>
          <w:tcPr>
            <w:tcW w:type="dxa" w:w="204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Evaluate later if pilot data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justifies the added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complexity.</w:t>
            </w:r>
          </w:p>
        </w:tc>
      </w:tr>
      <w:tr>
        <w:trPr>
          <w:trHeight w:hRule="exact" w:val="520"/>
        </w:trPr>
        <w:tc>
          <w:tcPr>
            <w:tcW w:type="dxa" w:w="164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Reinforcement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learning</w:t>
            </w:r>
          </w:p>
        </w:tc>
        <w:tc>
          <w:tcPr>
            <w:tcW w:type="dxa" w:w="283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Can optimize sequential actions when a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safe reward model exists.</w:t>
            </w:r>
          </w:p>
        </w:tc>
        <w:tc>
          <w:tcPr>
            <w:tcW w:type="dxa" w:w="3516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0" w:right="144" w:firstLine="0"/>
              <w:jc w:val="center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Unsafe to learn maintenance actions by trial and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error on live machinery; reward design is difficult.</w:t>
            </w:r>
          </w:p>
        </w:tc>
        <w:tc>
          <w:tcPr>
            <w:tcW w:type="dxa" w:w="204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Not selected as the first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approach.</w:t>
            </w:r>
          </w:p>
        </w:tc>
      </w:tr>
    </w:tbl>
    <w:p>
      <w:pPr>
        <w:autoSpaceDN w:val="0"/>
        <w:autoSpaceDE w:val="0"/>
        <w:widowControl/>
        <w:spacing w:line="318" w:lineRule="exact" w:before="238" w:after="0"/>
        <w:ind w:left="64" w:right="0" w:firstLine="0"/>
        <w:jc w:val="left"/>
      </w:pPr>
      <w:r>
        <w:rPr>
          <w:spacing w:val="1.273084346204989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5.2 Selected AI pipeline</w:t>
      </w:r>
    </w:p>
    <w:p>
      <w:pPr>
        <w:autoSpaceDN w:val="0"/>
        <w:autoSpaceDE w:val="0"/>
        <w:widowControl/>
        <w:spacing w:line="260" w:lineRule="exact" w:before="74" w:after="0"/>
        <w:ind w:left="64" w:right="288" w:firstLine="0"/>
        <w:jc w:val="left"/>
      </w:pPr>
      <w:r>
        <w:rPr>
          <w:spacing w:val="-0.04999881982804766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Task:</w:t>
      </w:r>
      <w:r>
        <w:rPr>
          <w:spacing w:val="1.733889692359498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machine fault classification into normal, bearing-related, motor-related and hydraulic-related conditions. </w:t>
      </w:r>
      <w:r>
        <w:rPr>
          <w:spacing w:val="0.008573080812175655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 xml:space="preserve">Inputs: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1-second vibration features plus temperature, current, pressure, acoustic level and machine operating state. </w:t>
      </w:r>
      <w:r>
        <w:rPr>
          <w:spacing w:val="-0.37314234461103774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Target:</w:t>
      </w:r>
      <w:r>
        <w:rPr>
          <w:spacing w:val="-2.169999778270721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fault </w:t>
      </w:r>
      <w:r>
        <w:rPr>
          <w:spacing w:val="2.443334573791140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class confirmed by inspection/work order. </w:t>
      </w:r>
      <w:r>
        <w:rPr>
          <w:spacing w:val="-1.3279991873673072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Training data: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historical features joined to verified maintenance outcomes;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exclude uncertain labels. </w:t>
      </w:r>
      <w:r>
        <w:rPr>
          <w:spacing w:val="-2.619635213505143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Validation: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split by machine and time, not random windows alone, to reduce leakage; retain a </w:t>
      </w:r>
      <w:r>
        <w:rPr>
          <w:spacing w:val="2.595532785070708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final unseen test period. Use class weighting or careful resampling only within training data.</w:t>
      </w:r>
    </w:p>
    <w:p>
      <w:pPr>
        <w:autoSpaceDN w:val="0"/>
        <w:autoSpaceDE w:val="0"/>
        <w:widowControl/>
        <w:spacing w:line="258" w:lineRule="exact" w:before="104" w:after="0"/>
        <w:ind w:left="64" w:right="432" w:firstLine="0"/>
        <w:jc w:val="left"/>
      </w:pPr>
      <w:r>
        <w:rPr>
          <w:spacing w:val="0.8104771233740037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Candidate algorithms: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Random Forest, gradient-boosted trees and a one-class anomaly detector. Compare F1, recall,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precision, inference time, memory, explainability and maintenance impact. A boosted-tree model is the proposed primary </w:t>
      </w:r>
      <w:r>
        <w:rPr>
          <w:spacing w:val="2.3162508457899142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classifier; a lightweight anomaly detector provides a secondary warning for unfamiliar patterns.</w:t>
      </w:r>
    </w:p>
    <w:p>
      <w:pPr>
        <w:autoSpaceDN w:val="0"/>
        <w:autoSpaceDE w:val="0"/>
        <w:widowControl/>
        <w:spacing w:line="318" w:lineRule="exact" w:before="150" w:after="0"/>
        <w:ind w:left="64" w:right="0" w:firstLine="0"/>
        <w:jc w:val="left"/>
      </w:pPr>
      <w:r>
        <w:rPr>
          <w:spacing w:val="-0.030068037838779267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5.3 Metrics for rare failures</w:t>
      </w:r>
    </w:p>
    <w:p>
      <w:pPr>
        <w:autoSpaceDN w:val="0"/>
        <w:autoSpaceDE w:val="0"/>
        <w:widowControl/>
        <w:spacing w:line="260" w:lineRule="exact" w:before="72" w:after="0"/>
        <w:ind w:left="64" w:right="288" w:firstLine="0"/>
        <w:jc w:val="left"/>
      </w:pPr>
      <w:r>
        <w:rPr>
          <w:spacing w:val="2.49781585741443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Accuracy alone is unsafe when failures are rare: a model can predict NORMAL for nearly every record and still show high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accuracy while missing failures. Report per-class precision, recall, F1-score, macro-F1, confusion matrix, false alarms per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machine-week, missed critical failures and detection lead time. The acceptance target is macro-F1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≥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0.90 on a </w:t>
      </w:r>
      <w:r>
        <w:rPr>
          <w:spacing w:val="2.138841171195548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time-separated validation set, with critical-fault recall separately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≥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0.95 as a proposed safety-oriented pilot gate. If the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supplied 90% requirement is interpreted as either accuracy or F1, macro-F1 is the more defensible primary metric under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class imbalance. Thresholds must be calibrated with maintenance engineers.</w:t>
      </w:r>
    </w:p>
    <w:p>
      <w:pPr>
        <w:autoSpaceDN w:val="0"/>
        <w:autoSpaceDE w:val="0"/>
        <w:widowControl/>
        <w:spacing w:line="318" w:lineRule="exact" w:before="150" w:after="56"/>
        <w:ind w:left="64" w:right="0" w:firstLine="0"/>
        <w:jc w:val="left"/>
      </w:pPr>
      <w:r>
        <w:rPr>
          <w:spacing w:val="2.0083898339006603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5.4 Decision logic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530"/>
        <w:gridCol w:w="4650"/>
        <w:gridCol w:w="3854"/>
      </w:tblGrid>
      <w:tr>
        <w:trPr>
          <w:trHeight w:hRule="exact" w:val="34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Class</w:t>
            </w:r>
          </w:p>
        </w:tc>
        <w:tc>
          <w:tcPr>
            <w:tcW w:type="dxa" w:w="465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45882276577108216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Illustrative rule</w:t>
            </w:r>
          </w:p>
        </w:tc>
        <w:tc>
          <w:tcPr>
            <w:tcW w:type="dxa" w:w="38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Action</w:t>
            </w:r>
          </w:p>
        </w:tc>
      </w:tr>
      <w:tr>
        <w:trPr>
          <w:trHeight w:hRule="exact" w:val="34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-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NORMAL</w:t>
            </w:r>
          </w:p>
        </w:tc>
        <w:tc>
          <w:tcPr>
            <w:tcW w:type="dxa" w:w="465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Healthy score </w:t>
            </w:r>
            <w:r>
              <w:rPr>
                <w:w w:val="98.66666793823242"/>
                <w:rFonts w:ascii="Symbol" w:hAnsi="Symbol" w:eastAsia="Symbol" w:cs="Symbol"/>
                <w:b w:val="0"/>
                <w:i w:val="0"/>
                <w:color w:val="000000"/>
                <w:sz w:val="15"/>
                <w:szCs w:val="15"/>
              </w:rPr>
              <w:t>≥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 80; no persistent anomaly; data quality acceptable.</w:t>
            </w:r>
          </w:p>
        </w:tc>
        <w:tc>
          <w:tcPr>
            <w:tcW w:type="dxa" w:w="38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Continue operation; log features and monitor trend.</w:t>
            </w:r>
          </w:p>
        </w:tc>
      </w:tr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-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WARNING</w:t>
            </w:r>
          </w:p>
        </w:tc>
        <w:tc>
          <w:tcPr>
            <w:tcW w:type="dxa" w:w="465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72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Health score 50–79 or repeated anomaly / rising trend; no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immediate critical indicator.</w:t>
            </w:r>
          </w:p>
        </w:tc>
        <w:tc>
          <w:tcPr>
            <w:tcW w:type="dxa" w:w="38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Notify operator; schedule inspection; increase sampling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and preserve raw diagnostic window.</w:t>
            </w:r>
          </w:p>
        </w:tc>
      </w:tr>
      <w:tr>
        <w:trPr>
          <w:trHeight w:hRule="exact" w:val="520"/>
        </w:trPr>
        <w:tc>
          <w:tcPr>
            <w:tcW w:type="dxa" w:w="153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-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CRITICAL</w:t>
            </w:r>
          </w:p>
        </w:tc>
        <w:tc>
          <w:tcPr>
            <w:tcW w:type="dxa" w:w="465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Health score &lt; 50, high-confidence critical fault, or validated </w:t>
            </w:r>
            <w:r>
              <w:rPr>
                <w:spacing w:val="1.9095244691485613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hard-limit condition.</w:t>
            </w:r>
          </w:p>
        </w:tc>
        <w:tc>
          <w:tcPr>
            <w:tcW w:type="dxa" w:w="38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Generate local alarm within 100 ms; follow approved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stop/isolation procedure; create urgent work order.</w:t>
            </w:r>
          </w:p>
        </w:tc>
      </w:tr>
    </w:tbl>
    <w:p>
      <w:pPr>
        <w:autoSpaceDN w:val="0"/>
        <w:autoSpaceDE w:val="0"/>
        <w:widowControl/>
        <w:spacing w:line="260" w:lineRule="exact" w:before="188" w:after="0"/>
        <w:ind w:left="64" w:right="394" w:firstLine="0"/>
        <w:jc w:val="both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The numerical health-score boundaries are initial design thresholds and must be tuned on plant data. Operating state and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maintenance history modify interpretation: startup and tool-change transients should not be treated as steady-state faults;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a recently replaced bearing should have a new baseline.</w:t>
      </w:r>
    </w:p>
    <w:p>
      <w:pPr>
        <w:autoSpaceDN w:val="0"/>
        <w:tabs>
          <w:tab w:pos="9422" w:val="left"/>
        </w:tabs>
        <w:autoSpaceDE w:val="0"/>
        <w:widowControl/>
        <w:spacing w:line="194" w:lineRule="exact" w:before="766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6</w:t>
      </w:r>
    </w:p>
    <w:p>
      <w:pPr>
        <w:sectPr>
          <w:pgSz w:w="11906" w:h="16838"/>
          <w:pgMar w:top="1014" w:right="764" w:bottom="638" w:left="1020" w:header="720" w:footer="720" w:gutter="0"/>
          <w:cols w:num="1" w:equalWidth="0">
            <w:col w:w="10122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56"/>
        <w:ind w:left="64" w:right="0" w:firstLine="0"/>
        <w:jc w:val="left"/>
      </w:pPr>
      <w:r>
        <w:rPr>
          <w:spacing w:val="5.75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5.5 Edge versus cloud inference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8285480</wp:posOffset>
                </wp:positionV>
                <wp:extent cx="6371590" cy="330200"/>
                <wp:wrapNone/>
                <wp:docPr id="60" name="Text Box 6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7955280</wp:posOffset>
                </wp:positionV>
                <wp:extent cx="6371590" cy="330200"/>
                <wp:wrapNone/>
                <wp:docPr id="61" name="Text Box 6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7625080</wp:posOffset>
                </wp:positionV>
                <wp:extent cx="6371590" cy="330200"/>
                <wp:wrapNone/>
                <wp:docPr id="62" name="Text Box 6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7294880</wp:posOffset>
                </wp:positionV>
                <wp:extent cx="6371590" cy="330200"/>
                <wp:wrapNone/>
                <wp:docPr id="63" name="Text Box 6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7078980</wp:posOffset>
                </wp:positionV>
                <wp:extent cx="6371590" cy="215900"/>
                <wp:wrapNone/>
                <wp:docPr id="64" name="Text Box 6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4450080</wp:posOffset>
                </wp:positionV>
                <wp:extent cx="6371590" cy="215900"/>
                <wp:wrapNone/>
                <wp:docPr id="65" name="Text Box 6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4234180</wp:posOffset>
                </wp:positionV>
                <wp:extent cx="6371590" cy="215900"/>
                <wp:wrapNone/>
                <wp:docPr id="66" name="Text Box 6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4018279</wp:posOffset>
                </wp:positionV>
                <wp:extent cx="6371590" cy="215900"/>
                <wp:wrapNone/>
                <wp:docPr id="67" name="Text Box 6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3802379</wp:posOffset>
                </wp:positionV>
                <wp:extent cx="6371590" cy="215900"/>
                <wp:wrapNone/>
                <wp:docPr id="68" name="Text Box 6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3586479</wp:posOffset>
                </wp:positionV>
                <wp:extent cx="6371590" cy="215900"/>
                <wp:wrapNone/>
                <wp:docPr id="69" name="Text Box 6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3370579</wp:posOffset>
                </wp:positionV>
                <wp:extent cx="6371590" cy="215900"/>
                <wp:wrapNone/>
                <wp:docPr id="70" name="Text Box 7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3153410</wp:posOffset>
                </wp:positionV>
                <wp:extent cx="6371590" cy="217169"/>
                <wp:wrapNone/>
                <wp:docPr id="71" name="Text Box 7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716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2937510</wp:posOffset>
                </wp:positionV>
                <wp:extent cx="6371590" cy="215900"/>
                <wp:wrapNone/>
                <wp:docPr id="72" name="Text Box 7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2188210</wp:posOffset>
                </wp:positionV>
                <wp:extent cx="6371590" cy="330200"/>
                <wp:wrapNone/>
                <wp:docPr id="73" name="Text Box 7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1972310</wp:posOffset>
                </wp:positionV>
                <wp:extent cx="6371590" cy="215900"/>
                <wp:wrapNone/>
                <wp:docPr id="74" name="Text Box 7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1756410</wp:posOffset>
                </wp:positionV>
                <wp:extent cx="6371590" cy="215900"/>
                <wp:wrapNone/>
                <wp:docPr id="75" name="Text Box 7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1540510</wp:posOffset>
                </wp:positionV>
                <wp:extent cx="6371590" cy="215900"/>
                <wp:wrapNone/>
                <wp:docPr id="76" name="Text Box 7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1324610</wp:posOffset>
                </wp:positionV>
                <wp:extent cx="6371590" cy="215900"/>
                <wp:wrapNone/>
                <wp:docPr id="77" name="Text Box 7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1108710</wp:posOffset>
                </wp:positionV>
                <wp:extent cx="6371590" cy="215900"/>
                <wp:wrapNone/>
                <wp:docPr id="78" name="Text Box 7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892810</wp:posOffset>
                </wp:positionV>
                <wp:extent cx="6371590" cy="215900"/>
                <wp:wrapNone/>
                <wp:docPr id="79" name="Text Box 7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700"/>
        <w:gridCol w:w="4082"/>
        <w:gridCol w:w="4252"/>
      </w:tblGrid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Factor</w:t>
            </w:r>
          </w:p>
        </w:tc>
        <w:tc>
          <w:tcPr>
            <w:tcW w:type="dxa" w:w="408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1.2202185988426257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Central/cloud inference</w:t>
            </w:r>
          </w:p>
        </w:tc>
        <w:tc>
          <w:tcPr>
            <w:tcW w:type="dxa" w:w="42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Edge inference</w:t>
            </w:r>
          </w:p>
        </w:tc>
      </w:tr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Latency</w:t>
            </w:r>
          </w:p>
        </w:tc>
        <w:tc>
          <w:tcPr>
            <w:tcW w:type="dxa" w:w="408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Network-dependent; difficult to guarantee below 100 ms.</w:t>
            </w:r>
          </w:p>
        </w:tc>
        <w:tc>
          <w:tcPr>
            <w:tcW w:type="dxa" w:w="42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Local processing supports deterministic low-latency alarms.</w:t>
            </w:r>
          </w:p>
        </w:tc>
      </w:tr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Connectivity</w:t>
            </w:r>
          </w:p>
        </w:tc>
        <w:tc>
          <w:tcPr>
            <w:tcW w:type="dxa" w:w="408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Requires reliable upstream connection.</w:t>
            </w:r>
          </w:p>
        </w:tc>
        <w:tc>
          <w:tcPr>
            <w:tcW w:type="dxa" w:w="42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Can continue during network loss.</w:t>
            </w:r>
          </w:p>
        </w:tc>
      </w:tr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Privacy / data volume</w:t>
            </w:r>
          </w:p>
        </w:tc>
        <w:tc>
          <w:tcPr>
            <w:tcW w:type="dxa" w:w="408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May require sending more data centrally.</w:t>
            </w:r>
          </w:p>
        </w:tc>
        <w:tc>
          <w:tcPr>
            <w:tcW w:type="dxa" w:w="42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Features and selected snippets leave the gateway.</w:t>
            </w:r>
          </w:p>
        </w:tc>
      </w:tr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Compute</w:t>
            </w:r>
          </w:p>
        </w:tc>
        <w:tc>
          <w:tcPr>
            <w:tcW w:type="dxa" w:w="408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Scales centrally.</w:t>
            </w:r>
          </w:p>
        </w:tc>
        <w:tc>
          <w:tcPr>
            <w:tcW w:type="dxa" w:w="42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Constrained by 4 GB RAM / 20 GB storage per gateway.</w:t>
            </w:r>
          </w:p>
        </w:tc>
      </w:tr>
      <w:tr>
        <w:trPr>
          <w:trHeight w:hRule="exact" w:val="34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Updates</w:t>
            </w:r>
          </w:p>
        </w:tc>
        <w:tc>
          <w:tcPr>
            <w:tcW w:type="dxa" w:w="408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Central model update is simpler.</w:t>
            </w:r>
          </w:p>
        </w:tc>
        <w:tc>
          <w:tcPr>
            <w:tcW w:type="dxa" w:w="42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Requires signed, staged and versioned distribution.</w:t>
            </w:r>
          </w:p>
        </w:tc>
      </w:tr>
      <w:tr>
        <w:trPr>
          <w:trHeight w:hRule="exact" w:val="520"/>
        </w:trPr>
        <w:tc>
          <w:tcPr>
            <w:tcW w:type="dxa" w:w="170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Role</w:t>
            </w:r>
          </w:p>
        </w:tc>
        <w:tc>
          <w:tcPr>
            <w:tcW w:type="dxa" w:w="408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86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Training, fleet analytics, dashboards and model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management.</w:t>
            </w:r>
          </w:p>
        </w:tc>
        <w:tc>
          <w:tcPr>
            <w:tcW w:type="dxa" w:w="42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Primary real-time inference and local alerting.</w:t>
            </w:r>
          </w:p>
        </w:tc>
      </w:tr>
    </w:tbl>
    <w:p>
      <w:pPr>
        <w:autoSpaceDN w:val="0"/>
        <w:autoSpaceDE w:val="0"/>
        <w:widowControl/>
        <w:spacing w:line="318" w:lineRule="exact" w:before="238" w:after="56"/>
        <w:ind w:left="64" w:right="0" w:firstLine="0"/>
        <w:jc w:val="left"/>
      </w:pPr>
      <w:r>
        <w:rPr>
          <w:spacing w:val="1.5096578598022297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5.6 Weighted model-selection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722"/>
        <w:gridCol w:w="2380"/>
        <w:gridCol w:w="2552"/>
        <w:gridCol w:w="2380"/>
      </w:tblGrid>
      <w:tr>
        <w:trPr>
          <w:trHeight w:hRule="exact" w:val="340"/>
        </w:trPr>
        <w:tc>
          <w:tcPr>
            <w:tcW w:type="dxa" w:w="272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9874990930160028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Criterion (weight)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1.1846148853118712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Random Forest</w:t>
            </w:r>
          </w:p>
        </w:tc>
        <w:tc>
          <w:tcPr>
            <w:tcW w:type="dxa" w:w="25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1.6500008851289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Gradient-boosted trees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1-class anomaly model</w:t>
            </w:r>
          </w:p>
        </w:tc>
      </w:tr>
      <w:tr>
        <w:trPr>
          <w:trHeight w:hRule="exact" w:val="340"/>
        </w:trPr>
        <w:tc>
          <w:tcPr>
            <w:tcW w:type="dxa" w:w="272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Predictive performance (30%)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25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</w:tr>
      <w:tr>
        <w:trPr>
          <w:trHeight w:hRule="exact" w:val="340"/>
        </w:trPr>
        <w:tc>
          <w:tcPr>
            <w:tcW w:type="dxa" w:w="272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Inference time (15%)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type="dxa" w:w="25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</w:tr>
      <w:tr>
        <w:trPr>
          <w:trHeight w:hRule="exact" w:val="340"/>
        </w:trPr>
        <w:tc>
          <w:tcPr>
            <w:tcW w:type="dxa" w:w="272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Explainability (15%)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25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</w:tr>
      <w:tr>
        <w:trPr>
          <w:trHeight w:hRule="exact" w:val="340"/>
        </w:trPr>
        <w:tc>
          <w:tcPr>
            <w:tcW w:type="dxa" w:w="272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Memory footprint (15%)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25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</w:tr>
      <w:tr>
        <w:trPr>
          <w:trHeight w:hRule="exact" w:val="340"/>
        </w:trPr>
        <w:tc>
          <w:tcPr>
            <w:tcW w:type="dxa" w:w="272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Training complexity (10%)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25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</w:tr>
      <w:tr>
        <w:trPr>
          <w:trHeight w:hRule="exact" w:val="340"/>
        </w:trPr>
        <w:tc>
          <w:tcPr>
            <w:tcW w:type="dxa" w:w="272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Maintenance impact (15%)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</w:t>
            </w:r>
          </w:p>
        </w:tc>
        <w:tc>
          <w:tcPr>
            <w:tcW w:type="dxa" w:w="25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5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</w:t>
            </w:r>
          </w:p>
        </w:tc>
      </w:tr>
      <w:tr>
        <w:trPr>
          <w:trHeight w:hRule="exact" w:val="340"/>
        </w:trPr>
        <w:tc>
          <w:tcPr>
            <w:tcW w:type="dxa" w:w="272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Weighted score / 5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4.15</w:t>
            </w:r>
          </w:p>
        </w:tc>
        <w:tc>
          <w:tcPr>
            <w:tcW w:type="dxa" w:w="255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4.35</w:t>
            </w:r>
          </w:p>
        </w:tc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3.75</w:t>
            </w:r>
          </w:p>
        </w:tc>
      </w:tr>
    </w:tbl>
    <w:p>
      <w:pPr>
        <w:autoSpaceDN w:val="0"/>
        <w:autoSpaceDE w:val="0"/>
        <w:widowControl/>
        <w:spacing w:line="260" w:lineRule="exact" w:before="188" w:after="0"/>
        <w:ind w:left="64" w:right="432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Scores are design estimates, not measured results. Gradient-boosted trees lead for the proposed labelled classification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task; Random Forest is a strong interpretable benchmark. The anomaly detector is complementary rather than a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replacement for supervised fault labels.</w:t>
      </w:r>
    </w:p>
    <w:p>
      <w:pPr>
        <w:autoSpaceDN w:val="0"/>
        <w:autoSpaceDE w:val="0"/>
        <w:widowControl/>
        <w:spacing w:line="318" w:lineRule="exact" w:before="150" w:after="0"/>
        <w:ind w:left="64" w:right="0" w:firstLine="0"/>
        <w:jc w:val="left"/>
      </w:pPr>
      <w:r>
        <w:rPr>
          <w:spacing w:val="-0.45036235045304546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5.7 Feedback and drift</w:t>
      </w:r>
    </w:p>
    <w:p>
      <w:pPr>
        <w:autoSpaceDN w:val="0"/>
        <w:autoSpaceDE w:val="0"/>
        <w:widowControl/>
        <w:spacing w:line="260" w:lineRule="exact" w:before="72" w:after="0"/>
        <w:ind w:left="64" w:right="288" w:firstLine="0"/>
        <w:jc w:val="left"/>
      </w:pPr>
      <w:r>
        <w:rPr>
          <w:spacing w:val="2.363115663411185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After every inspection or repair, capture the actual fault, component, severity, work performed, replaced part and whether </w:t>
      </w:r>
      <w:r>
        <w:rPr>
          <w:spacing w:val="1.867131380412887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the alert was correct. Compare predictions with outcomes monthly. Monitor data drift (sensor distribution changes),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concept drift (relationship between features and failures changes) and label/prior drift (failure frequency changes). Retrain </w:t>
      </w:r>
      <w:r>
        <w:rPr>
          <w:spacing w:val="2.513470287225682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only after reviewed data, time-based validation and approval; keep rollback to the previous model.</w:t>
      </w:r>
    </w:p>
    <w:p>
      <w:pPr>
        <w:autoSpaceDN w:val="0"/>
        <w:autoSpaceDE w:val="0"/>
        <w:widowControl/>
        <w:spacing w:line="414" w:lineRule="exact" w:before="226" w:after="0"/>
        <w:ind w:left="64" w:right="0" w:firstLine="0"/>
        <w:jc w:val="left"/>
      </w:pPr>
      <w:r>
        <w:rPr>
          <w:spacing w:val="-0.5458170002157203"/>
          <w:rFonts w:ascii="Times New Roman" w:hAnsi="Times New Roman" w:eastAsia="Times New Roman" w:cs="Times New Roman"/>
          <w:b/>
          <w:bCs/>
          <w:i w:val="0"/>
          <w:color w:val="17365D"/>
          <w:sz w:val="30"/>
          <w:szCs w:val="30"/>
        </w:rPr>
        <w:t>6. Stage 6 – Edge AI Deployment and Integrated Solution</w:t>
      </w:r>
    </w:p>
    <w:p>
      <w:pPr>
        <w:autoSpaceDN w:val="0"/>
        <w:autoSpaceDE w:val="0"/>
        <w:widowControl/>
        <w:spacing w:line="318" w:lineRule="exact" w:before="110" w:after="56"/>
        <w:ind w:left="64" w:right="0" w:firstLine="0"/>
        <w:jc w:val="left"/>
      </w:pPr>
      <w:r>
        <w:rPr>
          <w:spacing w:val="-0.6797489896416842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6.1 Deployment option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758"/>
        <w:gridCol w:w="3684"/>
        <w:gridCol w:w="4592"/>
      </w:tblGrid>
      <w:tr>
        <w:trPr>
          <w:trHeight w:hRule="exact" w:val="340"/>
        </w:trPr>
        <w:tc>
          <w:tcPr>
            <w:tcW w:type="dxa" w:w="175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Option</w:t>
            </w:r>
          </w:p>
        </w:tc>
        <w:tc>
          <w:tcPr>
            <w:tcW w:type="dxa" w:w="368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1.8218760080635743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Strength</w:t>
            </w:r>
          </w:p>
        </w:tc>
        <w:tc>
          <w:tcPr>
            <w:tcW w:type="dxa" w:w="459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1.3893761727958687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Constraint / use</w:t>
            </w:r>
          </w:p>
        </w:tc>
      </w:tr>
      <w:tr>
        <w:trPr>
          <w:trHeight w:hRule="exact" w:val="520"/>
        </w:trPr>
        <w:tc>
          <w:tcPr>
            <w:tcW w:type="dxa" w:w="175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-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TinyML</w:t>
            </w:r>
          </w:p>
        </w:tc>
        <w:tc>
          <w:tcPr>
            <w:tcW w:type="dxa" w:w="368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Very small models on microcontrollers; low power.</w:t>
            </w:r>
          </w:p>
        </w:tc>
        <w:tc>
          <w:tcPr>
            <w:tcW w:type="dxa" w:w="459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May be too restrictive for a multi-sensor gateway application with 4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GB RAM; suitable for sensor-side simple detection.</w:t>
            </w:r>
          </w:p>
        </w:tc>
      </w:tr>
      <w:tr>
        <w:trPr>
          <w:trHeight w:hRule="exact" w:val="520"/>
        </w:trPr>
        <w:tc>
          <w:tcPr>
            <w:tcW w:type="dxa" w:w="175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TensorFlow Lite</w:t>
            </w:r>
          </w:p>
        </w:tc>
        <w:tc>
          <w:tcPr>
            <w:tcW w:type="dxa" w:w="368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Optimized inference runtime and quantization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support.</w:t>
            </w:r>
          </w:p>
        </w:tc>
        <w:tc>
          <w:tcPr>
            <w:tcW w:type="dxa" w:w="459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Good when model is compatible with its converter/runtime; validate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operators and target platform.</w:t>
            </w:r>
          </w:p>
        </w:tc>
      </w:tr>
      <w:tr>
        <w:trPr>
          <w:trHeight w:hRule="exact" w:val="520"/>
        </w:trPr>
        <w:tc>
          <w:tcPr>
            <w:tcW w:type="dxa" w:w="175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PyTorch Mobile</w:t>
            </w:r>
          </w:p>
        </w:tc>
        <w:tc>
          <w:tcPr>
            <w:tcW w:type="dxa" w:w="368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86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PyTorch model workflow and deployment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ecosystem.</w:t>
            </w:r>
          </w:p>
        </w:tc>
        <w:tc>
          <w:tcPr>
            <w:tcW w:type="dxa" w:w="459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Runtime footprint and current platform support must be checked for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the chosen device/software version.</w:t>
            </w:r>
          </w:p>
        </w:tc>
      </w:tr>
      <w:tr>
        <w:trPr>
          <w:trHeight w:hRule="exact" w:val="520"/>
        </w:trPr>
        <w:tc>
          <w:tcPr>
            <w:tcW w:type="dxa" w:w="175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1.256665587425232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ONNX Runtime</w:t>
            </w:r>
          </w:p>
        </w:tc>
        <w:tc>
          <w:tcPr>
            <w:tcW w:type="dxa" w:w="368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Portable model interchange and execution across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supported environments.</w:t>
            </w:r>
          </w:p>
        </w:tc>
        <w:tc>
          <w:tcPr>
            <w:tcW w:type="dxa" w:w="4592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Requires operator compatibility and testing on each target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execution provider.</w:t>
            </w:r>
          </w:p>
        </w:tc>
      </w:tr>
    </w:tbl>
    <w:p>
      <w:pPr>
        <w:autoSpaceDN w:val="0"/>
        <w:autoSpaceDE w:val="0"/>
        <w:widowControl/>
        <w:spacing w:line="258" w:lineRule="exact" w:before="192" w:after="0"/>
        <w:ind w:left="64" w:right="288" w:firstLine="0"/>
        <w:jc w:val="left"/>
      </w:pPr>
      <w:r>
        <w:rPr>
          <w:spacing w:val="4.5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Selected route:</w:t>
      </w:r>
      <w:r>
        <w:rPr>
          <w:spacing w:val="0.41922371595808383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train the model centrally and export to ONNX; deploy with ONNX Runtime on the industrial gateway. This </w:t>
      </w:r>
      <w:r>
        <w:rPr>
          <w:spacing w:val="1.804787004095874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supports portability across at least two practical execution environments (for example, x86-64 Linux and ARM64 Linux,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subject to operator/runtime testing) and reduces dependence on one training framework.</w:t>
      </w:r>
    </w:p>
    <w:p>
      <w:pPr>
        <w:autoSpaceDN w:val="0"/>
        <w:autoSpaceDE w:val="0"/>
        <w:widowControl/>
        <w:spacing w:line="318" w:lineRule="exact" w:before="150" w:after="0"/>
        <w:ind w:left="64" w:right="0" w:firstLine="0"/>
        <w:jc w:val="left"/>
      </w:pPr>
      <w:r>
        <w:rPr>
          <w:spacing w:val="2.422280842065811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6.2 Optimization sequence</w:t>
      </w:r>
    </w:p>
    <w:p>
      <w:pPr>
        <w:autoSpaceDN w:val="0"/>
        <w:tabs>
          <w:tab w:pos="9422" w:val="left"/>
        </w:tabs>
        <w:autoSpaceDE w:val="0"/>
        <w:widowControl/>
        <w:spacing w:line="194" w:lineRule="exact" w:before="938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7</w:t>
      </w:r>
    </w:p>
    <w:p>
      <w:pPr>
        <w:sectPr>
          <w:pgSz w:w="11906" w:h="16838"/>
          <w:pgMar w:top="1010" w:right="764" w:bottom="638" w:left="1020" w:header="720" w:footer="720" w:gutter="0"/>
          <w:cols w:num="1" w:equalWidth="0">
            <w:col w:w="10122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64" w:right="288" w:firstLine="0"/>
        <w:jc w:val="left"/>
      </w:pPr>
      <w:r>
        <w:rPr>
          <w:spacing w:val="2.55344891034323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1. Remove redundant inputs after feature-importance review. 2. Limit the model to a compact feature vector and fixed </w:t>
      </w:r>
      <w:r>
        <w:rPr>
          <w:spacing w:val="2.56843080402405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inference window. 3. Apply tree/model simplification where supported. 4. Test quantization or reduced-precision execution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if supported by the selected model/runtime. 5. Benchmark accuracy, memory and latency on the actual gateway. 6. Sign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and version the approved package. Expected effects are a smaller package and lower inference time; any accuracy loss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must be measured and must not violate the macro-F1 and critical-recall acceptance gates.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6443980</wp:posOffset>
                </wp:positionV>
                <wp:extent cx="6371590" cy="330200"/>
                <wp:wrapNone/>
                <wp:docPr id="80" name="Text Box 8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6113780</wp:posOffset>
                </wp:positionV>
                <wp:extent cx="6371590" cy="330200"/>
                <wp:wrapNone/>
                <wp:docPr id="81" name="Text Box 8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5783580</wp:posOffset>
                </wp:positionV>
                <wp:extent cx="6371590" cy="330200"/>
                <wp:wrapNone/>
                <wp:docPr id="82" name="Text Box 8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5453380</wp:posOffset>
                </wp:positionV>
                <wp:extent cx="6371590" cy="330200"/>
                <wp:wrapNone/>
                <wp:docPr id="83" name="Text Box 8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5123180</wp:posOffset>
                </wp:positionV>
                <wp:extent cx="6371590" cy="330200"/>
                <wp:wrapNone/>
                <wp:docPr id="84" name="Text Box 8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4792980</wp:posOffset>
                </wp:positionV>
                <wp:extent cx="6371590" cy="330200"/>
                <wp:wrapNone/>
                <wp:docPr id="85" name="Text Box 8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02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4577080</wp:posOffset>
                </wp:positionV>
                <wp:extent cx="6371590" cy="215900"/>
                <wp:wrapNone/>
                <wp:docPr id="86" name="Text Box 8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18" w:lineRule="exact" w:before="150" w:after="0"/>
        <w:ind w:left="64" w:right="0" w:firstLine="0"/>
        <w:jc w:val="left"/>
      </w:pPr>
      <w:r>
        <w:rPr>
          <w:spacing w:val="-0.2654736548662129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6.3 Thirty-minute network-loss operation</w:t>
      </w:r>
    </w:p>
    <w:p>
      <w:pPr>
        <w:autoSpaceDN w:val="0"/>
        <w:autoSpaceDE w:val="0"/>
        <w:widowControl/>
        <w:spacing w:line="260" w:lineRule="exact" w:before="72" w:after="0"/>
        <w:ind w:left="64" w:right="720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Gateway detects loss of central connection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Continue local sensor acquisition, quality checks and edge inference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Generate local alarms and store event/feature packets in a bounded queue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1.398286548682628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Retain short raw diagnostic ring buffer and prioritize critical events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2.061818913979977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After reconnection: authenticate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synchronize queued records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resolve sequence gaps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1.964707094080308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Check model/configuration version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download signed update if approved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staged validation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1.21500071883201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activate / rollback</w:t>
      </w:r>
    </w:p>
    <w:p>
      <w:pPr>
        <w:autoSpaceDN w:val="0"/>
        <w:autoSpaceDE w:val="0"/>
        <w:widowControl/>
        <w:spacing w:line="260" w:lineRule="exact" w:before="100" w:after="0"/>
        <w:ind w:left="64" w:right="288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The gateway must have sufficient local queue capacity for at least 30 minutes at the measured feature rate, with reserved </w:t>
      </w:r>
      <w:r>
        <w:rPr>
          <w:spacing w:val="2.3455181481509353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space for critical alarms. The local alarm function must not depend on the cloud. Store model version, configuration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version and timestamps with each prediction.</w:t>
      </w:r>
    </w:p>
    <w:p>
      <w:pPr>
        <w:autoSpaceDN w:val="0"/>
        <w:autoSpaceDE w:val="0"/>
        <w:widowControl/>
        <w:spacing w:line="318" w:lineRule="exact" w:before="150" w:after="56"/>
        <w:ind w:left="64" w:right="0" w:firstLine="0"/>
        <w:jc w:val="left"/>
      </w:pPr>
      <w:r>
        <w:rPr>
          <w:spacing w:val="0.05342926510741515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6.4 Requirement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098"/>
        <w:gridCol w:w="4138"/>
        <w:gridCol w:w="3798"/>
      </w:tblGrid>
      <w:tr>
        <w:trPr>
          <w:trHeight w:hRule="exact" w:val="340"/>
        </w:trPr>
        <w:tc>
          <w:tcPr>
            <w:tcW w:type="dxa" w:w="20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02227232672953247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Requirement</w:t>
            </w:r>
          </w:p>
        </w:tc>
        <w:tc>
          <w:tcPr>
            <w:tcW w:type="dxa" w:w="41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Design response</w:t>
            </w:r>
          </w:p>
        </w:tc>
        <w:tc>
          <w:tcPr>
            <w:tcW w:type="dxa" w:w="37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6786833781945079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Verification method</w:t>
            </w:r>
          </w:p>
        </w:tc>
      </w:tr>
      <w:tr>
        <w:trPr>
          <w:trHeight w:hRule="exact" w:val="520"/>
        </w:trPr>
        <w:tc>
          <w:tcPr>
            <w:tcW w:type="dxa" w:w="20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Alert within 100 ms</w:t>
            </w:r>
          </w:p>
        </w:tc>
        <w:tc>
          <w:tcPr>
            <w:tcW w:type="dxa" w:w="41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Local gateway inference and alarm path; cloud not in critical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path.</w:t>
            </w:r>
          </w:p>
        </w:tc>
        <w:tc>
          <w:tcPr>
            <w:tcW w:type="dxa" w:w="37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Measure sensor-observation-to-local-alarm latency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under peak load; require p99 </w:t>
            </w:r>
            <w:r>
              <w:rPr>
                <w:w w:val="98.66666793823242"/>
                <w:rFonts w:ascii="Symbol" w:hAnsi="Symbol" w:eastAsia="Symbol" w:cs="Symbol"/>
                <w:b w:val="0"/>
                <w:i w:val="0"/>
                <w:color w:val="000000"/>
                <w:sz w:val="15"/>
                <w:szCs w:val="15"/>
              </w:rPr>
              <w:t>≤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 100 ms.</w:t>
            </w:r>
          </w:p>
        </w:tc>
      </w:tr>
      <w:tr>
        <w:trPr>
          <w:trHeight w:hRule="exact" w:val="520"/>
        </w:trPr>
        <w:tc>
          <w:tcPr>
            <w:tcW w:type="dxa" w:w="20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4 GB RAM / 20 GB storage</w:t>
            </w:r>
          </w:p>
        </w:tc>
        <w:tc>
          <w:tcPr>
            <w:tcW w:type="dxa" w:w="41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Compact feature model; bounded ring buffer and queue;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local feature store.</w:t>
            </w:r>
          </w:p>
        </w:tc>
        <w:tc>
          <w:tcPr>
            <w:tcW w:type="dxa" w:w="37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Stress test with all assigned channels and 30-minute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disconnection.</w:t>
            </w:r>
          </w:p>
        </w:tc>
      </w:tr>
      <w:tr>
        <w:trPr>
          <w:trHeight w:hRule="exact" w:val="520"/>
        </w:trPr>
        <w:tc>
          <w:tcPr>
            <w:tcW w:type="dxa" w:w="20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At least 90% transmission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reduction</w:t>
            </w:r>
          </w:p>
        </w:tc>
        <w:tc>
          <w:tcPr>
            <w:tcW w:type="dxa" w:w="41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Illustrative feature traffic 10.24 kB/s vs 6.4 MB/s raw;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99.84% reduction.</w:t>
            </w:r>
          </w:p>
        </w:tc>
        <w:tc>
          <w:tcPr>
            <w:tcW w:type="dxa" w:w="37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Measure actual bytes on uplink including protocol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overhead.</w:t>
            </w:r>
          </w:p>
        </w:tc>
      </w:tr>
      <w:tr>
        <w:trPr>
          <w:trHeight w:hRule="exact" w:val="520"/>
        </w:trPr>
        <w:tc>
          <w:tcPr>
            <w:tcW w:type="dxa" w:w="20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-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AI </w:t>
            </w:r>
            <w:r>
              <w:rPr>
                <w:w w:val="98.66666793823242"/>
                <w:rFonts w:ascii="Symbol" w:hAnsi="Symbol" w:eastAsia="Symbol" w:cs="Symbol"/>
                <w:b w:val="0"/>
                <w:i w:val="0"/>
                <w:color w:val="000000"/>
                <w:sz w:val="15"/>
                <w:szCs w:val="15"/>
              </w:rPr>
              <w:t>≥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 90% validation metric</w:t>
            </w:r>
          </w:p>
        </w:tc>
        <w:tc>
          <w:tcPr>
            <w:tcW w:type="dxa" w:w="41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Macro-F1 </w:t>
            </w:r>
            <w:r>
              <w:rPr>
                <w:w w:val="98.66666793823242"/>
                <w:rFonts w:ascii="Symbol" w:hAnsi="Symbol" w:eastAsia="Symbol" w:cs="Symbol"/>
                <w:b w:val="0"/>
                <w:i w:val="0"/>
                <w:color w:val="000000"/>
                <w:sz w:val="15"/>
                <w:szCs w:val="15"/>
              </w:rPr>
              <w:t>≥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 0.90 proposed; critical recall separately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monitored.</w:t>
            </w:r>
          </w:p>
        </w:tc>
        <w:tc>
          <w:tcPr>
            <w:tcW w:type="dxa" w:w="37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576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Time- and machine-separated validation; report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confusion matrix.</w:t>
            </w:r>
          </w:p>
        </w:tc>
      </w:tr>
      <w:tr>
        <w:trPr>
          <w:trHeight w:hRule="exact" w:val="520"/>
        </w:trPr>
        <w:tc>
          <w:tcPr>
            <w:tcW w:type="dxa" w:w="20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Scale 200 to 300 machines</w:t>
            </w:r>
          </w:p>
        </w:tc>
        <w:tc>
          <w:tcPr>
            <w:tcW w:type="dxa" w:w="41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Modular gateway groups, machine registry, horizontal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platform scaling.</w:t>
            </w:r>
          </w:p>
        </w:tc>
        <w:tc>
          <w:tcPr>
            <w:tcW w:type="dxa" w:w="37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Load test 300-machine equivalent throughput and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storage.</w:t>
            </w:r>
          </w:p>
        </w:tc>
      </w:tr>
      <w:tr>
        <w:trPr>
          <w:trHeight w:hRule="exact" w:val="520"/>
        </w:trPr>
        <w:tc>
          <w:tcPr>
            <w:tcW w:type="dxa" w:w="20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Two execution environments</w:t>
            </w:r>
          </w:p>
        </w:tc>
        <w:tc>
          <w:tcPr>
            <w:tcW w:type="dxa" w:w="41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ONNX model and ONNX Runtime portability plan.</w:t>
            </w:r>
          </w:p>
        </w:tc>
        <w:tc>
          <w:tcPr>
            <w:tcW w:type="dxa" w:w="379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432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Run identical test vectors on x86-64 and ARM64;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compare outputs and latency.</w:t>
            </w:r>
          </w:p>
        </w:tc>
      </w:tr>
    </w:tbl>
    <w:p>
      <w:pPr>
        <w:autoSpaceDN w:val="0"/>
        <w:autoSpaceDE w:val="0"/>
        <w:widowControl/>
        <w:spacing w:line="318" w:lineRule="exact" w:before="238" w:after="0"/>
        <w:ind w:left="64" w:right="0" w:firstLine="0"/>
        <w:jc w:val="left"/>
      </w:pPr>
      <w:r>
        <w:rPr>
          <w:spacing w:val="-0.9909510740212113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6.5 Integrated Industrial IoE architecture</w:t>
      </w:r>
    </w:p>
    <w:p>
      <w:pPr>
        <w:autoSpaceDN w:val="0"/>
        <w:autoSpaceDE w:val="0"/>
        <w:widowControl/>
        <w:spacing w:line="260" w:lineRule="exact" w:before="72" w:after="0"/>
        <w:ind w:left="64" w:right="2016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Vibration / temperature / current / pressure / acoustic sensors + PLCs (200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300 machines)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rPr>
          <w:spacing w:val="-0.11439908504486311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Industrial Ethernet / industrial Wi-Fi / fieldbus </w:t>
      </w:r>
      <w:r>
        <w:br/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Edge gateways (4 GB RAM, 20 GB storage each)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rPr>
          <w:spacing w:val="0.8970674053827831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timestamping + quality checks + filtering + windowing + feature extraction </w:t>
      </w:r>
      <w:r>
        <w:br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I</w:t>
      </w:r>
      <w:r>
        <w:rPr>
          <w:spacing w:val="0.7973921869112048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local raw ring buffer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I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local feature store </w:t>
      </w:r>
      <w:r>
        <w:br/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ONNX edge inference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-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local NORMAL / WARNING / CRITICAL alarms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secure feature/event transmission and queued outage synchronization </w:t>
      </w:r>
      <w:r>
        <w:br/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Plant IoE platform: time-series store + event store + selected raw object store + maintenance records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Grafana operator dashboard / Power BI management dashboard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1.299131668132272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Maintenance work order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2.47238207431066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inspection / repair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verified outcome feedback</w:t>
      </w:r>
      <w:r>
        <w:br/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br/>
      </w:r>
      <w:r>
        <w:rPr>
          <w:spacing w:val="2.402712607787831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Hadoop-compatible data lake + Spark batch/stream analytics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-0.8790468261355229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training/validation 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→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model registry</w:t>
      </w:r>
      <w:r>
        <w:rPr>
          <w:rFonts w:ascii="Symbol" w:hAnsi="Symbol" w:eastAsia="Symbol" w:cs="Symbol"/>
          <w:b w:val="0"/>
          <w:i w:val="0"/>
          <w:color w:val="000000"/>
          <w:sz w:val="18"/>
          <w:szCs w:val="18"/>
        </w:rPr>
        <w:t>↓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signed, versioned ONNX model distribution to edge gateways</w:t>
      </w:r>
    </w:p>
    <w:p>
      <w:pPr>
        <w:autoSpaceDN w:val="0"/>
        <w:tabs>
          <w:tab w:pos="9422" w:val="left"/>
        </w:tabs>
        <w:autoSpaceDE w:val="0"/>
        <w:widowControl/>
        <w:spacing w:line="194" w:lineRule="exact" w:before="746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8</w:t>
      </w:r>
    </w:p>
    <w:p>
      <w:pPr>
        <w:sectPr>
          <w:pgSz w:w="11906" w:h="16838"/>
          <w:pgMar w:top="1014" w:right="764" w:bottom="638" w:left="1020" w:header="720" w:footer="720" w:gutter="0"/>
          <w:cols w:num="1" w:equalWidth="0">
            <w:col w:w="10122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56"/>
        <w:ind w:left="64" w:right="0" w:firstLine="0"/>
        <w:jc w:val="left"/>
      </w:pPr>
      <w:r>
        <w:rPr>
          <w:spacing w:val="1.4204556878768866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6.6 Phased implementation roadmap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4602480</wp:posOffset>
                </wp:positionV>
                <wp:extent cx="6371590" cy="215900"/>
                <wp:wrapNone/>
                <wp:docPr id="87" name="Text Box 8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4386580</wp:posOffset>
                </wp:positionV>
                <wp:extent cx="6371590" cy="215900"/>
                <wp:wrapNone/>
                <wp:docPr id="88" name="Text Box 8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4170679</wp:posOffset>
                </wp:positionV>
                <wp:extent cx="6371590" cy="215900"/>
                <wp:wrapNone/>
                <wp:docPr id="89" name="Text Box 8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3954779</wp:posOffset>
                </wp:positionV>
                <wp:extent cx="6371590" cy="215900"/>
                <wp:wrapNone/>
                <wp:docPr id="90" name="Text Box 9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3738879</wp:posOffset>
                </wp:positionV>
                <wp:extent cx="6371590" cy="215900"/>
                <wp:wrapNone/>
                <wp:docPr id="91" name="Text Box 9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3522979</wp:posOffset>
                </wp:positionV>
                <wp:extent cx="6371590" cy="215900"/>
                <wp:wrapNone/>
                <wp:docPr id="92" name="Text Box 9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3191510</wp:posOffset>
                </wp:positionV>
                <wp:extent cx="6371590" cy="331469"/>
                <wp:wrapNone/>
                <wp:docPr id="93" name="Text Box 9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331469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2975610</wp:posOffset>
                </wp:positionV>
                <wp:extent cx="6371590" cy="215900"/>
                <wp:wrapNone/>
                <wp:docPr id="94" name="Text Box 9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2112010</wp:posOffset>
                </wp:positionV>
                <wp:extent cx="6371590" cy="444500"/>
                <wp:wrapNone/>
                <wp:docPr id="95" name="Text Box 9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4445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1667510</wp:posOffset>
                </wp:positionV>
                <wp:extent cx="6371590" cy="444500"/>
                <wp:wrapNone/>
                <wp:docPr id="96" name="Text Box 9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444500"/>
                        </a:xfrm>
                        <a:prstGeom prst="rect"/>
                        <a:solidFill>
                          <a:srgbClr val="f2f6f9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1108710</wp:posOffset>
                </wp:positionV>
                <wp:extent cx="6371590" cy="558800"/>
                <wp:wrapNone/>
                <wp:docPr id="97" name="Text Box 9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558800"/>
                        </a:xfrm>
                        <a:prstGeom prst="rect"/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ge">
                  <wp:posOffset>892810</wp:posOffset>
                </wp:positionV>
                <wp:extent cx="6371590" cy="215900"/>
                <wp:wrapNone/>
                <wp:docPr id="98" name="Text Box 9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1590" cy="215900"/>
                        </a:xfrm>
                        <a:prstGeom prst="rect"/>
                        <a:solidFill>
                          <a:srgbClr val="16365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418"/>
        <w:gridCol w:w="3004"/>
        <w:gridCol w:w="2438"/>
        <w:gridCol w:w="3174"/>
      </w:tblGrid>
      <w:tr>
        <w:trPr>
          <w:trHeight w:hRule="exact" w:val="34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Phase</w:t>
            </w:r>
          </w:p>
        </w:tc>
        <w:tc>
          <w:tcPr>
            <w:tcW w:type="dxa" w:w="300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Work</w:t>
            </w:r>
          </w:p>
        </w:tc>
        <w:tc>
          <w:tcPr>
            <w:tcW w:type="dxa" w:w="24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Main risk</w:t>
            </w:r>
          </w:p>
        </w:tc>
        <w:tc>
          <w:tcPr>
            <w:tcW w:type="dxa" w:w="317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1.3320451988415076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Mitigation / exit gate</w:t>
            </w:r>
          </w:p>
        </w:tc>
      </w:tr>
      <w:tr>
        <w:trPr>
          <w:trHeight w:hRule="exact" w:val="88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1. Pilot</w:t>
            </w:r>
          </w:p>
        </w:tc>
        <w:tc>
          <w:tcPr>
            <w:tcW w:type="dxa" w:w="300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Instrument representative CNC, motor and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hydraulic machines; collect baseline and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labels; validate latency, features and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model.</w:t>
            </w:r>
          </w:p>
        </w:tc>
        <w:tc>
          <w:tcPr>
            <w:tcW w:type="dxa" w:w="24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Insufficient failure labels or noisy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sensors.</w:t>
            </w:r>
          </w:p>
        </w:tc>
        <w:tc>
          <w:tcPr>
            <w:tcW w:type="dxa" w:w="317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Select varied machines; involve maintenance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staff; verify sensor installation and data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quality; proceed only after measured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performance.</w:t>
            </w:r>
          </w:p>
        </w:tc>
      </w:tr>
      <w:tr>
        <w:trPr>
          <w:trHeight w:hRule="exact" w:val="70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2. Plant-wide</w:t>
            </w:r>
          </w:p>
        </w:tc>
        <w:tc>
          <w:tcPr>
            <w:tcW w:type="dxa" w:w="300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Deploy gateway groups, dashboards,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work-order feedback and central storage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across 200 machines.</w:t>
            </w:r>
          </w:p>
        </w:tc>
        <w:tc>
          <w:tcPr>
            <w:tcW w:type="dxa" w:w="24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Network congestion, inconsistent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machine integration and false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alarms.</w:t>
            </w:r>
          </w:p>
        </w:tc>
        <w:tc>
          <w:tcPr>
            <w:tcW w:type="dxa" w:w="317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Segment networks, standardize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protocols/IDs, tune thresholds and roll out by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production cell.</w:t>
            </w:r>
          </w:p>
        </w:tc>
      </w:tr>
      <w:tr>
        <w:trPr>
          <w:trHeight w:hRule="exact" w:val="700"/>
        </w:trPr>
        <w:tc>
          <w:tcPr>
            <w:tcW w:type="dxa" w:w="141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3. Scale to 300</w:t>
            </w:r>
          </w:p>
        </w:tc>
        <w:tc>
          <w:tcPr>
            <w:tcW w:type="dxa" w:w="300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Add gateway capacity, automated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provisioning and ONNX deployment to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x86-64/ARM64.</w:t>
            </w:r>
          </w:p>
        </w:tc>
        <w:tc>
          <w:tcPr>
            <w:tcW w:type="dxa" w:w="2438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Capacity growth, model drift and </w:t>
            </w:r>
            <w:r>
              <w:rPr>
                <w:spacing w:val="1.5840003871917816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platform incompatibility.</w:t>
            </w:r>
          </w:p>
        </w:tc>
        <w:tc>
          <w:tcPr>
            <w:tcW w:type="dxa" w:w="317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288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Load-test 300 machines, monitor </w:t>
            </w:r>
            <w:r>
              <w:br/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storage/throughput, run cross-platform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conformance tests and maintain rollback.</w:t>
            </w:r>
          </w:p>
        </w:tc>
      </w:tr>
    </w:tbl>
    <w:p>
      <w:pPr>
        <w:autoSpaceDN w:val="0"/>
        <w:autoSpaceDE w:val="0"/>
        <w:widowControl/>
        <w:spacing w:line="318" w:lineRule="exact" w:before="238" w:after="56"/>
        <w:ind w:left="64" w:right="0" w:firstLine="0"/>
        <w:jc w:val="left"/>
      </w:pPr>
      <w:r>
        <w:rPr>
          <w:spacing w:val="0.7207818720489811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6.7 Risk and mitigation register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380"/>
        <w:gridCol w:w="7654"/>
      </w:tblGrid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3.7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Risk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96" w:right="0" w:firstLine="0"/>
              <w:jc w:val="left"/>
            </w:pPr>
            <w:r>
              <w:rPr>
                <w:spacing w:val="-0.06699949055908405"/>
                <w:rFonts w:ascii="Times New Roman" w:hAnsi="Times New Roman" w:eastAsia="Times New Roman" w:cs="Times New Roman"/>
                <w:b/>
                <w:bCs/>
                <w:i w:val="0"/>
                <w:color w:val="FFFFFF"/>
                <w:sz w:val="15"/>
                <w:szCs w:val="15"/>
              </w:rPr>
              <w:t>Practical mitigation</w:t>
            </w:r>
          </w:p>
        </w:tc>
      </w:tr>
      <w:tr>
        <w:trPr>
          <w:trHeight w:hRule="exact" w:val="52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Cybersecurity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96" w:right="144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 xml:space="preserve">Network segmentation, device certificates, least-privilege access, encrypted transport, signed updates, patching </w:t>
            </w: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and audit logs.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0.020000555298545147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Model drift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Monitor feature distributions and outcome metrics; retrain only after reviewed labels and validation.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False alarms / missed faults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Use class-specific thresholds, human acknowledgement, critical-recall monitoring and pilot tuning.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1.8425008282065392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Interoperability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Use documented protocols, common machine IDs, standard feature schemas and ONNX model exchange.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Storage growth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Retention tiers, compression, event-based raw capture, quotas and capacity alerts.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Network failure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Local inference, 30-minute queue, local alarms and reliable synchronization after recovery.</w:t>
            </w:r>
          </w:p>
        </w:tc>
      </w:tr>
      <w:tr>
        <w:trPr>
          <w:trHeight w:hRule="exact" w:val="340"/>
        </w:trPr>
        <w:tc>
          <w:tcPr>
            <w:tcW w:type="dxa" w:w="2380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Vendor lock-in</w:t>
            </w:r>
          </w:p>
        </w:tc>
        <w:tc>
          <w:tcPr>
            <w:tcW w:type="dxa" w:w="7654"/>
            <w:tcBorders>
              <w:top w:sz="2.799999952316284" w:val="single" w:color="AAB6C3"/>
              <w:bottom w:sz="2.799999952316284" w:val="single" w:color="AAB6C3"/>
              <w:left w:sz="2.799999952316284" w:val="single" w:color="AAB6C3"/>
              <w:right w:sz="2.799999952316284" w:val="single" w:color="AAB6C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6" w:right="0" w:firstLine="0"/>
              <w:jc w:val="left"/>
            </w:pPr>
            <w:r>
              <w:rPr>
                <w:spacing w:val="3.5"/>
                <w:rFonts w:ascii="Times New Roman" w:hAnsi="Times New Roman" w:eastAsia="Times New Roman" w:cs="Times New Roman"/>
                <w:b w:val="0"/>
                <w:i w:val="0"/>
                <w:color w:val="000000"/>
                <w:sz w:val="14"/>
                <w:szCs w:val="14"/>
              </w:rPr>
              <w:t>Portable formats, open interfaces, exportable data and at least two tested runtime environments.</w:t>
            </w:r>
          </w:p>
        </w:tc>
      </w:tr>
    </w:tbl>
    <w:p>
      <w:pPr>
        <w:autoSpaceDN w:val="0"/>
        <w:autoSpaceDE w:val="0"/>
        <w:widowControl/>
        <w:spacing w:line="414" w:lineRule="exact" w:before="314" w:after="0"/>
        <w:ind w:left="64" w:right="0" w:firstLine="0"/>
        <w:jc w:val="left"/>
      </w:pPr>
      <w:r>
        <w:rPr>
          <w:spacing w:val="-0.36374885588884354"/>
          <w:rFonts w:ascii="Times New Roman" w:hAnsi="Times New Roman" w:eastAsia="Times New Roman" w:cs="Times New Roman"/>
          <w:b/>
          <w:bCs/>
          <w:i w:val="0"/>
          <w:color w:val="17365D"/>
          <w:sz w:val="30"/>
          <w:szCs w:val="30"/>
        </w:rPr>
        <w:t>7. Final Design Decision</w:t>
      </w:r>
    </w:p>
    <w:p>
      <w:pPr>
        <w:autoSpaceDN w:val="0"/>
        <w:autoSpaceDE w:val="0"/>
        <w:widowControl/>
        <w:spacing w:line="300" w:lineRule="exact" w:before="128" w:after="0"/>
        <w:ind w:left="64" w:right="720" w:firstLine="0"/>
        <w:jc w:val="left"/>
      </w:pPr>
      <w:r>
        <w:rPr>
          <w:spacing w:val="-5.75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 xml:space="preserve">APPROVAL RECOMMENDATION: YES – approve a controlled pilot, followed by gated </w:t>
      </w:r>
      <w:r>
        <w:rPr>
          <w:spacing w:val="1.6049103411761092"/>
          <w:rFonts w:ascii="Times New Roman" w:hAnsi="Times New Roman" w:eastAsia="Times New Roman" w:cs="Times New Roman"/>
          <w:b/>
          <w:bCs/>
          <w:i w:val="0"/>
          <w:color w:val="1F4E79"/>
          <w:sz w:val="23"/>
          <w:szCs w:val="23"/>
        </w:rPr>
        <w:t>deployment.</w:t>
      </w:r>
    </w:p>
    <w:p>
      <w:pPr>
        <w:autoSpaceDN w:val="0"/>
        <w:autoSpaceDE w:val="0"/>
        <w:widowControl/>
        <w:spacing w:line="260" w:lineRule="exact" w:before="72" w:after="0"/>
        <w:ind w:left="64" w:right="432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The design is technically defensible because the raw baseline is quantified at 6.4 MB/s and 368.64 GB per 16-hour day.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The proposed illustrative feature packet produces 10.24 kB/s, a 99.84% reduction against continuous raw transmission.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Local inference and local alarm generation address the 100 ms target and 30-minute connectivity-loss requirement. A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hybrid storage policy separates selected raw diagnostic data from long-lived features and events. Spark is assigned to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plant-level analytics and training preparation, while edge gateways handle immediate decisions. ONNX provides a </w:t>
      </w:r>
      <w:r>
        <w:rPr>
          <w:spacing w:val="1.9924008274078462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practical route to cross-platform model execution.</w:t>
      </w:r>
    </w:p>
    <w:p>
      <w:pPr>
        <w:autoSpaceDN w:val="0"/>
        <w:autoSpaceDE w:val="0"/>
        <w:widowControl/>
        <w:spacing w:line="260" w:lineRule="exact" w:before="100" w:after="0"/>
        <w:ind w:left="64" w:right="288" w:firstLine="0"/>
        <w:jc w:val="left"/>
      </w:pPr>
      <w:r>
        <w:rPr>
          <w:spacing w:val="2.368800624847417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Approval is conditional on evidence from the pilot: (1) p99 observation-to-alarm latency no greater than 100 ms; (2) at least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30 minutes of disconnected local operation; (3) measured uplink reduction of at least 90%; (4) macro-F1 at least 0.90 and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acceptable critical-fault recall on a time-separated test set; (5) gateway memory/storage within 4 GB/20 GB; and (6)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successful 300-machine load and cross-platform tests before full expansion. If any gate fails, revise sampling, gateway </w:t>
      </w:r>
      <w:r>
        <w:rPr>
          <w:spacing w:val="2.5720597733469637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sizing, model complexity or thresholds before plant-wide deployment.</w:t>
      </w:r>
    </w:p>
    <w:p>
      <w:pPr>
        <w:autoSpaceDN w:val="0"/>
        <w:autoSpaceDE w:val="0"/>
        <w:widowControl/>
        <w:spacing w:line="414" w:lineRule="exact" w:before="226" w:after="0"/>
        <w:ind w:left="64" w:right="0" w:firstLine="0"/>
        <w:jc w:val="left"/>
      </w:pPr>
      <w:r>
        <w:rPr>
          <w:spacing w:val="7.5"/>
          <w:rFonts w:ascii="Times New Roman" w:hAnsi="Times New Roman" w:eastAsia="Times New Roman" w:cs="Times New Roman"/>
          <w:b/>
          <w:bCs/>
          <w:i w:val="0"/>
          <w:color w:val="17365D"/>
          <w:sz w:val="30"/>
          <w:szCs w:val="30"/>
        </w:rPr>
        <w:t>8. References and Design Basis</w:t>
      </w:r>
    </w:p>
    <w:p>
      <w:pPr>
        <w:autoSpaceDN w:val="0"/>
        <w:autoSpaceDE w:val="0"/>
        <w:widowControl/>
        <w:spacing w:line="260" w:lineRule="exact" w:before="80" w:after="0"/>
        <w:ind w:left="64" w:right="720" w:firstLine="0"/>
        <w:jc w:val="left"/>
      </w:pPr>
      <w:r>
        <w:rPr>
          <w:spacing w:val="1.391455045613373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1. CO2 Application-Based Assignment: “Smart Manufacturing: Evaluate, Design and Deploy an AI-Driven Predictive </w:t>
      </w:r>
      <w:r>
        <w:rPr>
          <w:spacing w:val="1.679579503912679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Maintenance System”, ECA58 – IoE and AI Driven System, Unit II (the supplied assignment brief).</w:t>
      </w:r>
    </w:p>
    <w:p>
      <w:pPr>
        <w:autoSpaceDN w:val="0"/>
        <w:autoSpaceDE w:val="0"/>
        <w:widowControl/>
        <w:spacing w:line="260" w:lineRule="exact" w:before="100" w:after="0"/>
        <w:ind w:left="64" w:right="1008" w:firstLine="0"/>
        <w:jc w:val="left"/>
      </w:pPr>
      <w:r>
        <w:rPr>
          <w:spacing w:val="1.6550450905234393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2. IEEE 2413 – Architectural Framework for the Internet of Things (reference framework identified in the supplied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assessment rubric).</w:t>
      </w:r>
    </w:p>
    <w:p>
      <w:pPr>
        <w:autoSpaceDN w:val="0"/>
        <w:autoSpaceDE w:val="0"/>
        <w:widowControl/>
        <w:spacing w:line="260" w:lineRule="exact" w:before="100" w:after="0"/>
        <w:ind w:left="64" w:right="576" w:firstLine="0"/>
        <w:jc w:val="left"/>
      </w:pPr>
      <w:r>
        <w:rPr>
          <w:spacing w:val="2.4519017826427096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3. IEEE 2301 – Guide for Cloud Portability and Interoperability Profiles (reference identified in the supplied assessment </w:t>
      </w:r>
      <w:r>
        <w:rPr>
          <w:spacing w:val="-1.707498803734779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rubric).</w:t>
      </w:r>
    </w:p>
    <w:p>
      <w:pPr>
        <w:autoSpaceDN w:val="0"/>
        <w:autoSpaceDE w:val="0"/>
        <w:widowControl/>
        <w:spacing w:line="260" w:lineRule="exact" w:before="100" w:after="0"/>
        <w:ind w:left="64" w:right="432" w:firstLine="0"/>
        <w:jc w:val="left"/>
      </w:pP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4. IEEE 7000 series – Ethical and trust considerations in system design (reference identified in the supplied assessment </w:t>
      </w:r>
      <w:r>
        <w:rPr>
          <w:spacing w:val="-1.7074988037347794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rubric).</w:t>
      </w:r>
    </w:p>
    <w:p>
      <w:pPr>
        <w:autoSpaceDN w:val="0"/>
        <w:tabs>
          <w:tab w:pos="9422" w:val="left"/>
        </w:tabs>
        <w:autoSpaceDE w:val="0"/>
        <w:widowControl/>
        <w:spacing w:line="194" w:lineRule="exact" w:before="626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9</w:t>
      </w:r>
    </w:p>
    <w:p>
      <w:pPr>
        <w:sectPr>
          <w:pgSz w:w="11906" w:h="16838"/>
          <w:pgMar w:top="1010" w:right="764" w:bottom="638" w:left="1020" w:header="720" w:footer="720" w:gutter="0"/>
          <w:cols w:num="1" w:equalWidth="0">
            <w:col w:w="10122" w:space="0"/>
          </w:cols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64" w:right="288" w:firstLine="0"/>
        <w:jc w:val="left"/>
      </w:pPr>
      <w:r>
        <w:rPr>
          <w:spacing w:val="0.5007276339964413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5. Apache Hadoop, Apache Spark, Grafana, Microsoft Power BI, Tableau, ONNX and ONNX Runtime official technical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documentation should be consulted during detailed implementation and procurement. Product versions and supported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operators must be checked at deployment time.</w:t>
      </w:r>
    </w:p>
    <w:p>
      <w:pPr>
        <w:autoSpaceDN w:val="0"/>
        <w:autoSpaceDE w:val="0"/>
        <w:widowControl/>
        <w:spacing w:line="260" w:lineRule="exact" w:before="102" w:after="0"/>
        <w:ind w:left="64" w:right="0" w:firstLine="0"/>
        <w:jc w:val="left"/>
      </w:pPr>
      <w:r>
        <w:rPr>
          <w:spacing w:val="-4.5"/>
          <w:rFonts w:ascii="Times New Roman" w:hAnsi="Times New Roman" w:eastAsia="Times New Roman" w:cs="Times New Roman"/>
          <w:b/>
          <w:bCs/>
          <w:i w:val="0"/>
          <w:color w:val="000000"/>
          <w:sz w:val="18"/>
          <w:szCs w:val="18"/>
        </w:rPr>
        <w:t>Note: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 The weighted scores, packet format, thresholds and storage allowances in this report are explicit engineering </w:t>
      </w:r>
      <w:r>
        <w:rPr>
          <w:spacing w:val="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 xml:space="preserve">proposals/assumptions for the assignment scenario. They are not measured plant results and must be validated during the </w:t>
      </w:r>
      <w:r>
        <w:rPr>
          <w:spacing w:val="-4.5"/>
          <w:rFonts w:ascii="Times New Roman" w:hAnsi="Times New Roman" w:eastAsia="Times New Roman" w:cs="Times New Roman"/>
          <w:b w:val="0"/>
          <w:i w:val="0"/>
          <w:color w:val="000000"/>
          <w:sz w:val="18"/>
          <w:szCs w:val="18"/>
        </w:rPr>
        <w:t>pilot.</w:t>
      </w:r>
    </w:p>
    <w:p>
      <w:pPr>
        <w:autoSpaceDN w:val="0"/>
        <w:tabs>
          <w:tab w:pos="9344" w:val="left"/>
        </w:tabs>
        <w:autoSpaceDE w:val="0"/>
        <w:widowControl/>
        <w:spacing w:line="194" w:lineRule="exact" w:before="13306" w:after="0"/>
        <w:ind w:left="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 xml:space="preserve">Jeeva R | 1912260266 | CO2 Application-Based Assignment </w:t>
      </w:r>
      <w:r>
        <w:t xml:space="preserve">                                                                          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666666"/>
          <w:sz w:val="14"/>
          <w:szCs w:val="14"/>
        </w:rPr>
        <w:t>Page 10</w:t>
      </w:r>
    </w:p>
    <w:sectPr w:rsidR="00FC693F" w:rsidRPr="0006063C" w:rsidSect="00034616">
      <w:pgSz w:w="11906" w:h="16838"/>
      <w:pgMar w:top="1014" w:right="1000" w:bottom="638" w:left="1020" w:header="720" w:footer="720" w:gutter="0"/>
      <w:cols w:num="1" w:equalWidth="0">
        <w:col w:w="988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