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330" w:lineRule="exact" w:before="0" w:after="0"/>
        <w:ind w:left="2792" w:right="0" w:firstLine="0"/>
        <w:jc w:val="left"/>
      </w:pPr>
      <w:r>
        <w:rPr>
          <w:spacing w:val="-6.0"/>
          <w:rFonts w:ascii="Times New Roman" w:hAnsi="Times New Roman" w:eastAsia="Times New Roman" w:cs="Times New Roman"/>
          <w:b w:val="0"/>
          <w:i w:val="0"/>
          <w:color w:val="000000"/>
          <w:sz w:val="24"/>
          <w:szCs w:val="24"/>
        </w:rPr>
        <w:t>ECA58 – IoE AND AI DRIVEN SYSTEM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641350</wp:posOffset>
                </wp:positionH>
                <wp:positionV relativeFrom="page">
                  <wp:posOffset>10181590</wp:posOffset>
                </wp:positionV>
                <wp:extent cx="6277609" cy="12700"/>
                <wp:wrapNone/>
                <wp:docPr id="1" name="Text Box 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7609" cy="12700"/>
                        </a:xfrm>
                        <a:prstGeom prst="rect"/>
                        <a:solidFill>
                          <a:srgbClr val="b6c8d3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524" w:lineRule="exact" w:before="542" w:after="0"/>
        <w:ind w:left="1354" w:right="0" w:firstLine="0"/>
        <w:jc w:val="left"/>
      </w:pPr>
      <w:r>
        <w:rPr>
          <w:spacing w:val="-9.5"/>
          <w:rFonts w:ascii="Times New Roman" w:hAnsi="Times New Roman" w:eastAsia="Times New Roman" w:cs="Times New Roman"/>
          <w:b/>
          <w:bCs/>
          <w:i w:val="0"/>
          <w:color w:val="163A5F"/>
          <w:sz w:val="38"/>
          <w:szCs w:val="38"/>
        </w:rPr>
        <w:t>CO1 – CONCEPT-BASED ASSIGNMENT</w:t>
      </w:r>
    </w:p>
    <w:p>
      <w:pPr>
        <w:autoSpaceDN w:val="0"/>
        <w:autoSpaceDE w:val="0"/>
        <w:widowControl/>
        <w:spacing w:line="340" w:lineRule="exact" w:before="174" w:after="0"/>
        <w:ind w:left="576" w:right="576" w:firstLine="0"/>
        <w:jc w:val="center"/>
      </w:pPr>
      <w:r>
        <w:rPr>
          <w:spacing w:val="2.199001139402398"/>
          <w:rFonts w:ascii="Times New Roman" w:hAnsi="Times New Roman" w:eastAsia="Times New Roman" w:cs="Times New Roman"/>
          <w:b w:val="0"/>
          <w:i w:val="0"/>
          <w:color w:val="000000"/>
          <w:sz w:val="24"/>
          <w:szCs w:val="24"/>
        </w:rPr>
        <w:t xml:space="preserve">Design and Validation of a Connected Smart Hospital using Internet of Everything </w:t>
      </w:r>
      <w:r>
        <w:rPr>
          <w:spacing w:val="6.0"/>
          <w:rFonts w:ascii="Times New Roman" w:hAnsi="Times New Roman" w:eastAsia="Times New Roman" w:cs="Times New Roman"/>
          <w:b w:val="0"/>
          <w:i w:val="0"/>
          <w:color w:val="000000"/>
          <w:sz w:val="24"/>
          <w:szCs w:val="24"/>
        </w:rPr>
        <w:t>Technologies</w:t>
      </w:r>
    </w:p>
    <w:p>
      <w:pPr>
        <w:autoSpaceDN w:val="0"/>
        <w:autoSpaceDE w:val="0"/>
        <w:widowControl/>
        <w:spacing w:line="330" w:lineRule="exact" w:before="632" w:after="0"/>
        <w:ind w:left="4172" w:right="0" w:firstLine="0"/>
        <w:jc w:val="left"/>
      </w:pPr>
      <w:r>
        <w:rPr>
          <w:spacing w:val="1.0906678835550803"/>
          <w:rFonts w:ascii="Times New Roman" w:hAnsi="Times New Roman" w:eastAsia="Times New Roman" w:cs="Times New Roman"/>
          <w:b/>
          <w:bCs/>
          <w:i w:val="0"/>
          <w:color w:val="000000"/>
          <w:sz w:val="24"/>
          <w:szCs w:val="24"/>
        </w:rPr>
        <w:t>Submitted by</w:t>
      </w:r>
    </w:p>
    <w:p>
      <w:pPr>
        <w:autoSpaceDN w:val="0"/>
        <w:autoSpaceDE w:val="0"/>
        <w:widowControl/>
        <w:spacing w:line="524" w:lineRule="exact" w:before="140" w:after="0"/>
        <w:ind w:left="4214" w:right="0" w:firstLine="0"/>
        <w:jc w:val="left"/>
      </w:pPr>
      <w:r>
        <w:rPr>
          <w:spacing w:val="4.7417139155524115"/>
          <w:rFonts w:ascii="Times New Roman" w:hAnsi="Times New Roman" w:eastAsia="Times New Roman" w:cs="Times New Roman"/>
          <w:b/>
          <w:bCs/>
          <w:i w:val="0"/>
          <w:color w:val="163A5F"/>
          <w:sz w:val="38"/>
          <w:szCs w:val="38"/>
        </w:rPr>
        <w:t>Jeeva.R</w:t>
      </w:r>
    </w:p>
    <w:p>
      <w:pPr>
        <w:autoSpaceDN w:val="0"/>
        <w:autoSpaceDE w:val="0"/>
        <w:widowControl/>
        <w:spacing w:line="330" w:lineRule="exact" w:before="184" w:after="0"/>
        <w:ind w:left="3292" w:right="0" w:firstLine="0"/>
        <w:jc w:val="left"/>
      </w:pPr>
      <w:r>
        <w:rPr>
          <w:spacing w:val="6.0"/>
          <w:rFonts w:ascii="Times New Roman" w:hAnsi="Times New Roman" w:eastAsia="Times New Roman" w:cs="Times New Roman"/>
          <w:b w:val="0"/>
          <w:i w:val="0"/>
          <w:color w:val="000000"/>
          <w:sz w:val="24"/>
          <w:szCs w:val="24"/>
        </w:rPr>
        <w:t>Register Number: 1912260266</w:t>
      </w:r>
    </w:p>
    <w:p>
      <w:pPr>
        <w:autoSpaceDN w:val="0"/>
        <w:autoSpaceDE w:val="0"/>
        <w:widowControl/>
        <w:spacing w:line="338" w:lineRule="exact" w:before="464" w:after="0"/>
        <w:ind w:left="0" w:right="0" w:firstLine="0"/>
        <w:jc w:val="center"/>
      </w:pPr>
      <w:r>
        <w:rPr>
          <w:spacing w:val="2.7216012001037484"/>
          <w:rFonts w:ascii="Times New Roman" w:hAnsi="Times New Roman" w:eastAsia="Times New Roman" w:cs="Times New Roman"/>
          <w:b/>
          <w:bCs/>
          <w:i w:val="0"/>
          <w:color w:val="000000"/>
          <w:sz w:val="24"/>
          <w:szCs w:val="24"/>
        </w:rPr>
        <w:t>Course Outcome:</w:t>
      </w:r>
      <w:r>
        <w:rPr>
          <w:spacing w:val="1.9053535730066433"/>
          <w:rFonts w:ascii="Times New Roman" w:hAnsi="Times New Roman" w:eastAsia="Times New Roman" w:cs="Times New Roman"/>
          <w:b w:val="0"/>
          <w:i w:val="0"/>
          <w:color w:val="000000"/>
          <w:sz w:val="24"/>
          <w:szCs w:val="24"/>
        </w:rPr>
        <w:t xml:space="preserve"> Understand foundational IoE principles, framework components, enabling </w:t>
      </w:r>
      <w:r>
        <w:rPr>
          <w:spacing w:val="6.0"/>
          <w:rFonts w:ascii="Times New Roman" w:hAnsi="Times New Roman" w:eastAsia="Times New Roman" w:cs="Times New Roman"/>
          <w:b w:val="0"/>
          <w:i w:val="0"/>
          <w:color w:val="000000"/>
          <w:sz w:val="24"/>
          <w:szCs w:val="24"/>
        </w:rPr>
        <w:t>technologies and layered architecture.</w:t>
      </w:r>
    </w:p>
    <w:p>
      <w:pPr>
        <w:autoSpaceDN w:val="0"/>
        <w:autoSpaceDE w:val="0"/>
        <w:widowControl/>
        <w:spacing w:line="332" w:lineRule="exact" w:before="150" w:after="0"/>
        <w:ind w:left="1254" w:right="0" w:firstLine="0"/>
        <w:jc w:val="left"/>
      </w:pPr>
      <w:r>
        <w:rPr>
          <w:spacing w:val="6.0"/>
          <w:rFonts w:ascii="Times New Roman" w:hAnsi="Times New Roman" w:eastAsia="Times New Roman" w:cs="Times New Roman"/>
          <w:b/>
          <w:bCs/>
          <w:i w:val="0"/>
          <w:color w:val="000000"/>
          <w:sz w:val="24"/>
          <w:szCs w:val="24"/>
        </w:rPr>
        <w:t>Assessment:</w:t>
      </w:r>
      <w:r>
        <w:rPr>
          <w:spacing w:val="2.812500782310945"/>
          <w:rFonts w:ascii="Times New Roman" w:hAnsi="Times New Roman" w:eastAsia="Times New Roman" w:cs="Times New Roman"/>
          <w:b w:val="0"/>
          <w:i w:val="0"/>
          <w:color w:val="000000"/>
          <w:sz w:val="24"/>
          <w:szCs w:val="24"/>
        </w:rPr>
        <w:t xml:space="preserve"> Design and Evaluation Report | </w:t>
      </w:r>
      <w:r>
        <w:rPr>
          <w:spacing w:val="-6.0"/>
          <w:rFonts w:ascii="Times New Roman" w:hAnsi="Times New Roman" w:eastAsia="Times New Roman" w:cs="Times New Roman"/>
          <w:b/>
          <w:bCs/>
          <w:i w:val="0"/>
          <w:color w:val="000000"/>
          <w:sz w:val="24"/>
          <w:szCs w:val="24"/>
        </w:rPr>
        <w:t>Maximum Marks:</w:t>
      </w:r>
      <w:r>
        <w:rPr>
          <w:spacing w:val="6.0"/>
          <w:rFonts w:ascii="Times New Roman" w:hAnsi="Times New Roman" w:eastAsia="Times New Roman" w:cs="Times New Roman"/>
          <w:b w:val="0"/>
          <w:i w:val="0"/>
          <w:color w:val="000000"/>
          <w:sz w:val="24"/>
          <w:szCs w:val="24"/>
        </w:rPr>
        <w:t xml:space="preserve"> 100</w:t>
      </w:r>
    </w:p>
    <w:p>
      <w:pPr>
        <w:autoSpaceDN w:val="0"/>
        <w:tabs>
          <w:tab w:pos="9358" w:val="left"/>
        </w:tabs>
        <w:autoSpaceDE w:val="0"/>
        <w:widowControl/>
        <w:spacing w:line="220" w:lineRule="exact" w:before="9032" w:after="0"/>
        <w:ind w:left="0" w:right="0" w:firstLine="0"/>
        <w:jc w:val="left"/>
      </w:pPr>
      <w:r>
        <w:rPr>
          <w:spacing w:val="4.0"/>
          <w:rFonts w:ascii="Times New Roman" w:hAnsi="Times New Roman" w:eastAsia="Times New Roman" w:cs="Times New Roman"/>
          <w:b w:val="0"/>
          <w:i w:val="0"/>
          <w:color w:val="526574"/>
          <w:sz w:val="16"/>
          <w:szCs w:val="16"/>
        </w:rPr>
        <w:t xml:space="preserve">Jeeva.R | 1912260266 | ECA58 – IoE and AI Driven System </w:t>
      </w:r>
      <w:r>
        <w:t xml:space="preserve">                                                            </w:t>
      </w:r>
      <w:r>
        <w:rPr>
          <w:spacing w:val="4.0"/>
          <w:rFonts w:ascii="Times New Roman" w:hAnsi="Times New Roman" w:eastAsia="Times New Roman" w:cs="Times New Roman"/>
          <w:b w:val="0"/>
          <w:i w:val="0"/>
          <w:color w:val="526574"/>
          <w:sz w:val="16"/>
          <w:szCs w:val="16"/>
        </w:rPr>
        <w:t>Page 1</w:t>
      </w:r>
    </w:p>
    <w:p>
      <w:pPr>
        <w:sectPr>
          <w:pgSz w:w="11906" w:h="16838"/>
          <w:pgMar w:top="952" w:right="1000" w:bottom="462" w:left="1020" w:header="720" w:footer="720" w:gutter="0"/>
          <w:cols w:num="1" w:equalWidth="0">
            <w:col w:w="9886" w:space="0"/>
          </w:cols>
          <w:docGrid w:linePitch="360"/>
        </w:sectPr>
      </w:pPr>
    </w:p>
    <w:p>
      <w:pPr>
        <w:autoSpaceDN w:val="0"/>
        <w:autoSpaceDE w:val="0"/>
        <w:widowControl/>
        <w:spacing w:line="386" w:lineRule="exact" w:before="0" w:after="0"/>
        <w:ind w:left="8" w:right="0" w:firstLine="0"/>
        <w:jc w:val="left"/>
      </w:pPr>
      <w:r>
        <w:rPr>
          <w:spacing w:val="2.072000812081703"/>
          <w:rFonts w:ascii="Times New Roman" w:hAnsi="Times New Roman" w:eastAsia="Times New Roman" w:cs="Times New Roman"/>
          <w:b/>
          <w:bCs/>
          <w:i w:val="0"/>
          <w:color w:val="163A5F"/>
          <w:sz w:val="28"/>
          <w:szCs w:val="28"/>
        </w:rPr>
        <w:t>Executive Summary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652780</wp:posOffset>
                </wp:positionH>
                <wp:positionV relativeFrom="page">
                  <wp:posOffset>7677150</wp:posOffset>
                </wp:positionV>
                <wp:extent cx="6254750" cy="209550"/>
                <wp:wrapNone/>
                <wp:docPr id="2" name="Text Box 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4750" cy="209550"/>
                        </a:xfrm>
                        <a:prstGeom prst="rect"/>
                        <a:solidFill>
                          <a:srgbClr val="dbe9f4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652780</wp:posOffset>
                </wp:positionH>
                <wp:positionV relativeFrom="page">
                  <wp:posOffset>4794250</wp:posOffset>
                </wp:positionV>
                <wp:extent cx="6254750" cy="209550"/>
                <wp:wrapNone/>
                <wp:docPr id="3" name="Text Box 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4750" cy="209550"/>
                        </a:xfrm>
                        <a:prstGeom prst="rect"/>
                        <a:solidFill>
                          <a:srgbClr val="dbe9f4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641350</wp:posOffset>
                </wp:positionH>
                <wp:positionV relativeFrom="page">
                  <wp:posOffset>10181590</wp:posOffset>
                </wp:positionV>
                <wp:extent cx="6277609" cy="12700"/>
                <wp:wrapNone/>
                <wp:docPr id="4" name="Text Box 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7609" cy="12700"/>
                        </a:xfrm>
                        <a:prstGeom prst="rect"/>
                        <a:solidFill>
                          <a:srgbClr val="b6c8d3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240" w:lineRule="exact" w:before="100" w:after="0"/>
        <w:ind w:left="8" w:right="28" w:firstLine="0"/>
        <w:jc w:val="both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This report proposes an integrated Internet of Everything (IoE) design for a 300-bed multi-speciality hospital. It connects people,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processes, data and physical things rather than leaving cameras, building systems and barcode wristbands in separate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departmental silos. The design combines NFC for bedside medication checks, RFID for contactless identity and selected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equipment tracking, BLE for wearables and indoor location, low-power wide-area connectivity for remote oxygen sensors, and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wired Ethernet/Wi-Fi for high-bandwidth clinical systems. Critical video analytics and alarms run on redundant on-premises edge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servers so they continue during internet failure and can target sub-20 ms local processing. A fog layer coordinates wards and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gateways; a cloud layer supports approved long-term analytics and backups. Open interfaces, segmented security, local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fail-safe controls and staged deployment reduce risk and vendor lock-in.</w:t>
      </w:r>
    </w:p>
    <w:p>
      <w:pPr>
        <w:autoSpaceDN w:val="0"/>
        <w:autoSpaceDE w:val="0"/>
        <w:widowControl/>
        <w:spacing w:line="386" w:lineRule="exact" w:before="174" w:after="0"/>
        <w:ind w:left="8" w:right="0" w:firstLine="0"/>
        <w:jc w:val="left"/>
      </w:pPr>
      <w:r>
        <w:rPr>
          <w:spacing w:val="7.0"/>
          <w:rFonts w:ascii="Times New Roman" w:hAnsi="Times New Roman" w:eastAsia="Times New Roman" w:cs="Times New Roman"/>
          <w:b/>
          <w:bCs/>
          <w:i w:val="0"/>
          <w:color w:val="163A5F"/>
          <w:sz w:val="28"/>
          <w:szCs w:val="28"/>
        </w:rPr>
        <w:t>Design Assumptions</w:t>
      </w:r>
    </w:p>
    <w:p>
      <w:pPr>
        <w:autoSpaceDN w:val="0"/>
        <w:autoSpaceDE w:val="0"/>
        <w:widowControl/>
        <w:spacing w:line="240" w:lineRule="exact" w:before="100" w:after="0"/>
        <w:ind w:left="8" w:right="0" w:firstLine="0"/>
        <w:jc w:val="left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• Baseline values below are planning assumptions for evaluation, not measured hospital results. A pilot must establish real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baselines.</w:t>
      </w:r>
    </w:p>
    <w:p>
      <w:pPr>
        <w:autoSpaceDN w:val="0"/>
        <w:autoSpaceDE w:val="0"/>
        <w:widowControl/>
        <w:spacing w:line="240" w:lineRule="exact" w:before="100" w:after="0"/>
        <w:ind w:left="8" w:right="0" w:firstLine="0"/>
        <w:jc w:val="left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• Critical alerts are generated and processed locally; the 20 ms target refers to the local analytics-to-alert path, not the complete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remote human response.</w:t>
      </w:r>
    </w:p>
    <w:p>
      <w:pPr>
        <w:autoSpaceDN w:val="0"/>
        <w:autoSpaceDE w:val="0"/>
        <w:widowControl/>
        <w:spacing w:line="238" w:lineRule="exact" w:before="102" w:after="0"/>
        <w:ind w:left="8" w:right="0" w:firstLine="0"/>
        <w:jc w:val="left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• Clinical decisions remain with qualified staff. AI and automation support decisions and trigger defined safety workflows.</w:t>
      </w:r>
    </w:p>
    <w:p>
      <w:pPr>
        <w:autoSpaceDN w:val="0"/>
        <w:autoSpaceDE w:val="0"/>
        <w:widowControl/>
        <w:spacing w:line="240" w:lineRule="exact" w:before="100" w:after="0"/>
        <w:ind w:left="8" w:right="0" w:firstLine="0"/>
        <w:jc w:val="left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• Patient-identifiable data remains on hospital premises by default. Any external transfer requires approval, legal review and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access controls.</w:t>
      </w:r>
    </w:p>
    <w:p>
      <w:pPr>
        <w:autoSpaceDN w:val="0"/>
        <w:autoSpaceDE w:val="0"/>
        <w:widowControl/>
        <w:spacing w:line="238" w:lineRule="exact" w:before="102" w:after="0"/>
        <w:ind w:left="8" w:right="0" w:firstLine="0"/>
        <w:jc w:val="left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• Redundancy, monitoring, backup power and periodic failover tests are required to target 99.9% availability for critical alerts.</w:t>
      </w:r>
    </w:p>
    <w:p>
      <w:pPr>
        <w:autoSpaceDN w:val="0"/>
        <w:autoSpaceDE w:val="0"/>
        <w:widowControl/>
        <w:spacing w:line="386" w:lineRule="exact" w:before="174" w:after="0"/>
        <w:ind w:left="8" w:right="0" w:firstLine="0"/>
        <w:jc w:val="left"/>
      </w:pPr>
      <w:r>
        <w:rPr>
          <w:spacing w:val="-2.4152717075564696"/>
          <w:rFonts w:ascii="Times New Roman" w:hAnsi="Times New Roman" w:eastAsia="Times New Roman" w:cs="Times New Roman"/>
          <w:b/>
          <w:bCs/>
          <w:i w:val="0"/>
          <w:color w:val="163A5F"/>
          <w:sz w:val="28"/>
          <w:szCs w:val="28"/>
        </w:rPr>
        <w:t>Stage 1 – Evaluate the Shift from IoT to IoE</w:t>
      </w:r>
    </w:p>
    <w:p>
      <w:pPr>
        <w:autoSpaceDN w:val="0"/>
        <w:autoSpaceDE w:val="0"/>
        <w:widowControl/>
        <w:spacing w:line="304" w:lineRule="exact" w:before="98" w:after="48"/>
        <w:ind w:left="8" w:right="0" w:firstLine="0"/>
        <w:jc w:val="left"/>
      </w:pPr>
      <w:r>
        <w:rPr>
          <w:spacing w:val="-0.12512482330203412"/>
          <w:rFonts w:ascii="Times New Roman" w:hAnsi="Times New Roman" w:eastAsia="Times New Roman" w:cs="Times New Roman"/>
          <w:b/>
          <w:bCs/>
          <w:i w:val="0"/>
          <w:color w:val="245B78"/>
          <w:sz w:val="22"/>
          <w:szCs w:val="22"/>
        </w:rPr>
        <w:t>1.1 Gap Analysis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462"/>
        <w:gridCol w:w="2462"/>
        <w:gridCol w:w="2464"/>
        <w:gridCol w:w="2462"/>
      </w:tblGrid>
      <w:tr>
        <w:trPr>
          <w:trHeight w:hRule="exact" w:val="330"/>
        </w:trPr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0.45666761199633754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Pillar</w:t>
            </w:r>
          </w:p>
        </w:tc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Present state</w:t>
            </w:r>
          </w:p>
        </w:tc>
        <w:tc>
          <w:tcPr>
            <w:tcW w:type="dxa" w:w="246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Gap</w:t>
            </w:r>
          </w:p>
        </w:tc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Impact</w:t>
            </w:r>
          </w:p>
        </w:tc>
      </w:tr>
      <w:tr>
        <w:trPr>
          <w:trHeight w:hRule="exact" w:val="670"/>
        </w:trPr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People</w:t>
            </w:r>
          </w:p>
        </w:tc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0" w:right="288" w:firstLine="0"/>
              <w:jc w:val="center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Doctors, nurses and patients use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separate identification methods.</w:t>
            </w:r>
          </w:p>
        </w:tc>
        <w:tc>
          <w:tcPr>
            <w:tcW w:type="dxa" w:w="246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288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No unified, role-aware identity and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context across departments.</w:t>
            </w:r>
          </w:p>
        </w:tc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288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More manual checks and delays;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increased risk of wrong-person or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wrong-patient actions.</w:t>
            </w:r>
          </w:p>
        </w:tc>
      </w:tr>
      <w:tr>
        <w:trPr>
          <w:trHeight w:hRule="exact" w:val="670"/>
        </w:trPr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Process</w:t>
            </w:r>
          </w:p>
        </w:tc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Departments operate in silos; building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dashboard is separate.</w:t>
            </w:r>
          </w:p>
        </w:tc>
        <w:tc>
          <w:tcPr>
            <w:tcW w:type="dxa" w:w="246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Medication, alarms, equipment search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and facilities workflows are not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integrated.</w:t>
            </w:r>
          </w:p>
        </w:tc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Slow escalation, duplicated work and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unclear accountability.</w:t>
            </w:r>
          </w:p>
        </w:tc>
      </w:tr>
      <w:tr>
        <w:trPr>
          <w:trHeight w:hRule="exact" w:val="500"/>
        </w:trPr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1.429999411106131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Data</w:t>
            </w:r>
          </w:p>
        </w:tc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Camera, barcode and building data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are isolated.</w:t>
            </w:r>
          </w:p>
        </w:tc>
        <w:tc>
          <w:tcPr>
            <w:tcW w:type="dxa" w:w="246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No common data model, timestamps,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event rules or governed sharing.</w:t>
            </w:r>
          </w:p>
        </w:tc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288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Limited whole-hospital insight and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weak analytics.</w:t>
            </w:r>
          </w:p>
        </w:tc>
      </w:tr>
      <w:tr>
        <w:trPr>
          <w:trHeight w:hRule="exact" w:val="670"/>
        </w:trPr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Things</w:t>
            </w:r>
          </w:p>
        </w:tc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Wi-Fi cameras, building systems and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barcode wristbands exist.</w:t>
            </w:r>
          </w:p>
        </w:tc>
        <w:tc>
          <w:tcPr>
            <w:tcW w:type="dxa" w:w="246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Missing connected sensors, reliable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gateways, location tags and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automated feedback.</w:t>
            </w:r>
          </w:p>
        </w:tc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344" w:firstLine="0"/>
              <w:jc w:val="both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Blind spots in cold rooms, oxygen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stores, occupancy and equipment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tracking.</w:t>
            </w:r>
          </w:p>
        </w:tc>
      </w:tr>
    </w:tbl>
    <w:p>
      <w:pPr>
        <w:autoSpaceDN w:val="0"/>
        <w:autoSpaceDE w:val="0"/>
        <w:widowControl/>
        <w:spacing w:line="240" w:lineRule="exact" w:before="202" w:after="0"/>
        <w:ind w:left="8" w:right="28" w:firstLine="0"/>
        <w:jc w:val="both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Judgement: The current hospital is closer to an early IoT deployment than a complete IoE system. It has connected things, but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the devices and departments work independently. IoE requires people, process, data and things to work together in shared,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secure workflows. For example, a bedside scan should connect the patient identity, prescription, medicine record, nurse identity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and administration process. The proposed design creates this integration while keeping safety-critical functions local.</w:t>
      </w:r>
    </w:p>
    <w:p>
      <w:pPr>
        <w:autoSpaceDN w:val="0"/>
        <w:autoSpaceDE w:val="0"/>
        <w:widowControl/>
        <w:spacing w:line="304" w:lineRule="exact" w:before="118" w:after="48"/>
        <w:ind w:left="8" w:right="0" w:firstLine="0"/>
        <w:jc w:val="left"/>
      </w:pPr>
      <w:r>
        <w:rPr>
          <w:spacing w:val="-0.027574804696180105"/>
          <w:rFonts w:ascii="Times New Roman" w:hAnsi="Times New Roman" w:eastAsia="Times New Roman" w:cs="Times New Roman"/>
          <w:b/>
          <w:bCs/>
          <w:i w:val="0"/>
          <w:color w:val="245B78"/>
          <w:sz w:val="22"/>
          <w:szCs w:val="22"/>
        </w:rPr>
        <w:t>1.2 Measurable operational impact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462"/>
        <w:gridCol w:w="2462"/>
        <w:gridCol w:w="2464"/>
        <w:gridCol w:w="2462"/>
      </w:tblGrid>
      <w:tr>
        <w:trPr>
          <w:trHeight w:hRule="exact" w:val="330"/>
        </w:trPr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0.46222315894234434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Indicator</w:t>
            </w:r>
          </w:p>
        </w:tc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Assumed baseline</w:t>
            </w:r>
          </w:p>
        </w:tc>
        <w:tc>
          <w:tcPr>
            <w:tcW w:type="dxa" w:w="246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Target after deployment</w:t>
            </w:r>
          </w:p>
        </w:tc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Measurement method</w:t>
            </w:r>
          </w:p>
        </w:tc>
      </w:tr>
      <w:tr>
        <w:trPr>
          <w:trHeight w:hRule="exact" w:val="500"/>
        </w:trPr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Critical alert delivery</w:t>
            </w:r>
          </w:p>
        </w:tc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Typical local path 100 ms or more; not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measured</w:t>
            </w:r>
          </w:p>
        </w:tc>
        <w:tc>
          <w:tcPr>
            <w:tcW w:type="dxa" w:w="246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Local analytics-to-alert under 20 ms;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99.9% availability</w:t>
            </w:r>
          </w:p>
        </w:tc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Timestamped event logs and monthly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uptime</w:t>
            </w:r>
          </w:p>
        </w:tc>
      </w:tr>
      <w:tr>
        <w:trPr>
          <w:trHeight w:hRule="exact" w:val="500"/>
        </w:trPr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Mobile equipment search</w:t>
            </w:r>
          </w:p>
        </w:tc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Average 12 minutes per request</w:t>
            </w:r>
          </w:p>
        </w:tc>
        <w:tc>
          <w:tcPr>
            <w:tcW w:type="dxa" w:w="246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Average 4 minutes or less</w:t>
            </w:r>
          </w:p>
        </w:tc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Time-stamped equipment requests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and location records</w:t>
            </w:r>
          </w:p>
        </w:tc>
      </w:tr>
      <w:tr>
        <w:trPr>
          <w:trHeight w:hRule="exact" w:val="670"/>
        </w:trPr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Medication verification</w:t>
            </w:r>
          </w:p>
        </w:tc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Manual checks and barcode workflow;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error baseline to be measured</w:t>
            </w:r>
          </w:p>
        </w:tc>
        <w:tc>
          <w:tcPr>
            <w:tcW w:type="dxa" w:w="246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288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At least 50% fewer preventable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verification mismatches reaching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administration</w:t>
            </w:r>
          </w:p>
        </w:tc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288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Near-miss and medication incident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reports; never bypass checks</w:t>
            </w:r>
          </w:p>
        </w:tc>
      </w:tr>
      <w:tr>
        <w:trPr>
          <w:trHeight w:hRule="exact" w:val="500"/>
        </w:trPr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Energy use</w:t>
            </w:r>
          </w:p>
        </w:tc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Current monthly electricity and water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use to be established</w:t>
            </w:r>
          </w:p>
        </w:tc>
        <w:tc>
          <w:tcPr>
            <w:tcW w:type="dxa" w:w="246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10–15% reduction in controllable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HVAC/lighting energy in pilot areas</w:t>
            </w:r>
          </w:p>
        </w:tc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432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Meter readings normalised for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occupancy and weather</w:t>
            </w:r>
          </w:p>
        </w:tc>
      </w:tr>
      <w:tr>
        <w:trPr>
          <w:trHeight w:hRule="exact" w:val="670"/>
        </w:trPr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Cold-room excursions</w:t>
            </w:r>
          </w:p>
        </w:tc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288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Detection and response time not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consistently integrated</w:t>
            </w:r>
          </w:p>
        </w:tc>
        <w:tc>
          <w:tcPr>
            <w:tcW w:type="dxa" w:w="246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288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Alarm within 1 minute of threshold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breach; backup cooling starts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automatically</w:t>
            </w:r>
          </w:p>
        </w:tc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0" w:right="864" w:firstLine="0"/>
              <w:jc w:val="center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Sensor logs and alarm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acknowledgement time</w:t>
            </w:r>
          </w:p>
        </w:tc>
      </w:tr>
    </w:tbl>
    <w:p>
      <w:pPr>
        <w:autoSpaceDN w:val="0"/>
        <w:tabs>
          <w:tab w:pos="9358" w:val="left"/>
        </w:tabs>
        <w:autoSpaceDE w:val="0"/>
        <w:widowControl/>
        <w:spacing w:line="220" w:lineRule="exact" w:before="872" w:after="0"/>
        <w:ind w:left="0" w:right="0" w:firstLine="0"/>
        <w:jc w:val="left"/>
      </w:pPr>
      <w:r>
        <w:rPr>
          <w:spacing w:val="4.0"/>
          <w:rFonts w:ascii="Times New Roman" w:hAnsi="Times New Roman" w:eastAsia="Times New Roman" w:cs="Times New Roman"/>
          <w:b w:val="0"/>
          <w:i w:val="0"/>
          <w:color w:val="526574"/>
          <w:sz w:val="16"/>
          <w:szCs w:val="16"/>
        </w:rPr>
        <w:t xml:space="preserve">Jeeva.R | 1912260266 | ECA58 – IoE and AI Driven System </w:t>
      </w:r>
      <w:r>
        <w:t xml:space="preserve">                                                            </w:t>
      </w:r>
      <w:r>
        <w:rPr>
          <w:spacing w:val="4.0"/>
          <w:rFonts w:ascii="Times New Roman" w:hAnsi="Times New Roman" w:eastAsia="Times New Roman" w:cs="Times New Roman"/>
          <w:b w:val="0"/>
          <w:i w:val="0"/>
          <w:color w:val="526574"/>
          <w:sz w:val="16"/>
          <w:szCs w:val="16"/>
        </w:rPr>
        <w:t>Page 2</w:t>
      </w:r>
    </w:p>
    <w:p>
      <w:pPr>
        <w:sectPr>
          <w:pgSz w:w="11906" w:h="16838"/>
          <w:pgMar w:top="950" w:right="1000" w:bottom="462" w:left="1020" w:header="720" w:footer="720" w:gutter="0"/>
          <w:cols w:num="1" w:equalWidth="0">
            <w:col w:w="9886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0"/>
        <w:ind w:left="8" w:right="0" w:firstLine="0"/>
        <w:jc w:val="left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Targets are proposed evaluation goals rather than guaranteed outcomes. Results should be reviewed after a 90-day pilot and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adjusted using actual data.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652780</wp:posOffset>
                </wp:positionH>
                <wp:positionV relativeFrom="page">
                  <wp:posOffset>7791450</wp:posOffset>
                </wp:positionV>
                <wp:extent cx="6254750" cy="209550"/>
                <wp:wrapNone/>
                <wp:docPr id="5" name="Text Box 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4750" cy="209550"/>
                        </a:xfrm>
                        <a:prstGeom prst="rect"/>
                        <a:solidFill>
                          <a:srgbClr val="dbe9f4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641350</wp:posOffset>
                </wp:positionH>
                <wp:positionV relativeFrom="page">
                  <wp:posOffset>10181590</wp:posOffset>
                </wp:positionV>
                <wp:extent cx="6277609" cy="12700"/>
                <wp:wrapNone/>
                <wp:docPr id="6" name="Text Box 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7609" cy="12700"/>
                        </a:xfrm>
                        <a:prstGeom prst="rect"/>
                        <a:solidFill>
                          <a:srgbClr val="b6c8d3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304" w:lineRule="exact" w:before="118" w:after="0"/>
        <w:ind w:left="8" w:right="0" w:firstLine="0"/>
        <w:jc w:val="left"/>
      </w:pPr>
      <w:r>
        <w:rPr>
          <w:spacing w:val="-0.5477319697539164"/>
          <w:rFonts w:ascii="Times New Roman" w:hAnsi="Times New Roman" w:eastAsia="Times New Roman" w:cs="Times New Roman"/>
          <w:b/>
          <w:bCs/>
          <w:i w:val="0"/>
          <w:color w:val="245B78"/>
          <w:sz w:val="22"/>
          <w:szCs w:val="22"/>
        </w:rPr>
        <w:t>1.3 Future trends and priority</w:t>
      </w:r>
    </w:p>
    <w:p>
      <w:pPr>
        <w:autoSpaceDN w:val="0"/>
        <w:autoSpaceDE w:val="0"/>
        <w:widowControl/>
        <w:spacing w:line="238" w:lineRule="exact" w:before="82" w:after="0"/>
        <w:ind w:left="8" w:right="0" w:firstLine="0"/>
        <w:jc w:val="left"/>
      </w:pPr>
      <w:r>
        <w:rPr>
          <w:spacing w:val="4.25"/>
          <w:rFonts w:ascii="Times New Roman" w:hAnsi="Times New Roman" w:eastAsia="Times New Roman" w:cs="Times New Roman"/>
          <w:b/>
          <w:bCs/>
          <w:i w:val="0"/>
          <w:color w:val="000000"/>
          <w:sz w:val="17"/>
          <w:szCs w:val="17"/>
        </w:rPr>
        <w:t>Trend 1 – Edge AI and privacy-preserving analytics: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 More inference can run inside the hospital, reducing delay, bandwidth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use and exposure of identifiable video. The main risks are model drift, false alarms and the need for local computing support.</w:t>
      </w:r>
    </w:p>
    <w:p>
      <w:pPr>
        <w:autoSpaceDN w:val="0"/>
        <w:autoSpaceDE w:val="0"/>
        <w:widowControl/>
        <w:spacing w:line="238" w:lineRule="exact" w:before="0" w:after="0"/>
        <w:ind w:left="8" w:right="0" w:firstLine="0"/>
        <w:jc w:val="left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This deserves first priority because the under-20 ms and offline requirements cannot safely depend on a remote cloud.</w:t>
      </w:r>
    </w:p>
    <w:p>
      <w:pPr>
        <w:autoSpaceDN w:val="0"/>
        <w:autoSpaceDE w:val="0"/>
        <w:widowControl/>
        <w:spacing w:line="240" w:lineRule="exact" w:before="102" w:after="0"/>
        <w:ind w:left="8" w:right="28" w:firstLine="0"/>
        <w:jc w:val="both"/>
      </w:pPr>
      <w:r>
        <w:rPr>
          <w:spacing w:val="4.25"/>
          <w:rFonts w:ascii="Times New Roman" w:hAnsi="Times New Roman" w:eastAsia="Times New Roman" w:cs="Times New Roman"/>
          <w:b/>
          <w:bCs/>
          <w:i w:val="0"/>
          <w:color w:val="000000"/>
          <w:sz w:val="17"/>
          <w:szCs w:val="17"/>
        </w:rPr>
        <w:t>Trend 2 – 5G now and emerging 6G: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 5G can support high-throughput mobile video, tele-ICU and low-latency services when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coverage and network configuration are suitable. 6G capabilities such as sub-THz links and AI-native networking remain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evolving and should not be treated as guaranteed near-term features. The roadmap should deploy 5G selectively while keeping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interfaces and network equipment upgradeable for future standards.</w:t>
      </w:r>
    </w:p>
    <w:p>
      <w:pPr>
        <w:autoSpaceDN w:val="0"/>
        <w:autoSpaceDE w:val="0"/>
        <w:widowControl/>
        <w:spacing w:line="386" w:lineRule="exact" w:before="174" w:after="0"/>
        <w:ind w:left="8" w:right="0" w:firstLine="0"/>
        <w:jc w:val="left"/>
      </w:pPr>
      <w:r>
        <w:rPr>
          <w:spacing w:val="-2.868172886578948"/>
          <w:rFonts w:ascii="Times New Roman" w:hAnsi="Times New Roman" w:eastAsia="Times New Roman" w:cs="Times New Roman"/>
          <w:b/>
          <w:bCs/>
          <w:i w:val="0"/>
          <w:color w:val="163A5F"/>
          <w:sz w:val="28"/>
          <w:szCs w:val="28"/>
        </w:rPr>
        <w:t>Stage 2 – Design the IoE Framework (IEEE 2413)</w:t>
      </w:r>
    </w:p>
    <w:p>
      <w:pPr>
        <w:autoSpaceDN w:val="0"/>
        <w:autoSpaceDE w:val="0"/>
        <w:widowControl/>
        <w:spacing w:line="304" w:lineRule="exact" w:before="98" w:after="0"/>
        <w:ind w:left="8" w:right="0" w:firstLine="0"/>
        <w:jc w:val="left"/>
      </w:pPr>
      <w:r>
        <w:rPr>
          <w:spacing w:val="-1.4650822058320045"/>
          <w:rFonts w:ascii="Times New Roman" w:hAnsi="Times New Roman" w:eastAsia="Times New Roman" w:cs="Times New Roman"/>
          <w:b/>
          <w:bCs/>
          <w:i w:val="0"/>
          <w:color w:val="245B78"/>
          <w:sz w:val="22"/>
          <w:szCs w:val="22"/>
        </w:rPr>
        <w:t>2.1 Framework evaluation</w:t>
      </w:r>
    </w:p>
    <w:p>
      <w:pPr>
        <w:autoSpaceDN w:val="0"/>
        <w:autoSpaceDE w:val="0"/>
        <w:widowControl/>
        <w:spacing w:line="240" w:lineRule="exact" w:before="78" w:after="0"/>
        <w:ind w:left="8" w:right="28" w:firstLine="0"/>
        <w:jc w:val="both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IEEE 2413 provides a cross-domain architectural framework that helps organise devices, connectivity, data handling,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applications and security across clinical, facilities, security and administrative domains. It encourages reuse and interoperability.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However, a framework alone does not specify every clinical workflow, guarantee a vendor's implementation will interoperate, or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automatically achieve latency, privacy and availability targets. The hospital must add detailed interface standards, clinical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governance, threat modelling, safety validation and service-level tests.</w:t>
      </w:r>
    </w:p>
    <w:p>
      <w:pPr>
        <w:autoSpaceDN w:val="0"/>
        <w:autoSpaceDE w:val="0"/>
        <w:widowControl/>
        <w:spacing w:line="304" w:lineRule="exact" w:before="118" w:after="0"/>
        <w:ind w:left="8" w:right="0" w:firstLine="0"/>
        <w:jc w:val="left"/>
      </w:pPr>
      <w:r>
        <w:rPr>
          <w:spacing w:val="-0.3805702498981134"/>
          <w:rFonts w:ascii="Times New Roman" w:hAnsi="Times New Roman" w:eastAsia="Times New Roman" w:cs="Times New Roman"/>
          <w:b/>
          <w:bCs/>
          <w:i w:val="0"/>
          <w:color w:val="245B78"/>
          <w:sz w:val="22"/>
          <w:szCs w:val="22"/>
        </w:rPr>
        <w:t>2.2 Layered IoE architecture</w:t>
      </w:r>
    </w:p>
    <w:p>
      <w:pPr>
        <w:autoSpaceDN w:val="0"/>
        <w:autoSpaceDE w:val="0"/>
        <w:widowControl/>
        <w:spacing w:line="240" w:lineRule="exact" w:before="78" w:after="0"/>
        <w:ind w:left="8" w:right="0" w:firstLine="0"/>
        <w:jc w:val="left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Things / sensing layer: NFC readers, RFID readers and tags, BLE wearables and beacons, occupancy sensors,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temperature/humidity probes, oxygen pressure/level sensors, smart meters, cameras, relays and cooling actuators.</w:t>
      </w:r>
    </w:p>
    <w:p>
      <w:pPr>
        <w:autoSpaceDN w:val="0"/>
        <w:autoSpaceDE w:val="0"/>
        <w:widowControl/>
        <w:spacing w:line="240" w:lineRule="exact" w:before="100" w:after="0"/>
        <w:ind w:left="8" w:right="28" w:firstLine="0"/>
        <w:jc w:val="both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Communication layer: Ethernet for fixed critical infrastructure; Wi-Fi for authorised mobile devices and high-data-rate coverage;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BLE for wearable-to-phone links; NFC for tap verification; RFID for portal identification; Zigbee/IEEE 802.15.4 mesh for selected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room controls; LoRaWAN or NB-IoT for remote low-rate sensors; secured IP backhaul.</w:t>
      </w:r>
    </w:p>
    <w:p>
      <w:pPr>
        <w:autoSpaceDN w:val="0"/>
        <w:autoSpaceDE w:val="0"/>
        <w:widowControl/>
        <w:spacing w:line="240" w:lineRule="exact" w:before="100" w:after="0"/>
        <w:ind w:left="8" w:right="0" w:firstLine="0"/>
        <w:jc w:val="left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Data and processing layer: local edge inference and event broker; ward/plant fog gateways; time-series database, device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registry, rules engine, audit logging and approved cloud analytics.</w:t>
      </w:r>
    </w:p>
    <w:p>
      <w:pPr>
        <w:autoSpaceDN w:val="0"/>
        <w:autoSpaceDE w:val="0"/>
        <w:widowControl/>
        <w:spacing w:line="240" w:lineRule="exact" w:before="100" w:after="0"/>
        <w:ind w:left="8" w:right="28" w:firstLine="0"/>
        <w:jc w:val="both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Application and people layer: nurse dashboard, medication verification app, facilities dashboard, biomedical equipment locator,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cold-room alarm console, tele-ICU interface and hospital operations reporting. People and processes span every layer through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roles, approvals, escalation and feedback.</w:t>
      </w:r>
    </w:p>
    <w:p>
      <w:pPr>
        <w:autoSpaceDN w:val="0"/>
        <w:autoSpaceDE w:val="0"/>
        <w:widowControl/>
        <w:spacing w:line="304" w:lineRule="exact" w:before="118" w:after="0"/>
        <w:ind w:left="8" w:right="0" w:firstLine="0"/>
        <w:jc w:val="left"/>
      </w:pPr>
      <w:r>
        <w:rPr>
          <w:spacing w:val="0.30850060582159244"/>
          <w:rFonts w:ascii="Times New Roman" w:hAnsi="Times New Roman" w:eastAsia="Times New Roman" w:cs="Times New Roman"/>
          <w:b/>
          <w:bCs/>
          <w:i w:val="0"/>
          <w:color w:val="245B78"/>
          <w:sz w:val="22"/>
          <w:szCs w:val="22"/>
        </w:rPr>
        <w:t>Architecture diagram</w:t>
      </w:r>
    </w:p>
    <w:p>
      <w:pPr>
        <w:autoSpaceDN w:val="0"/>
        <w:autoSpaceDE w:val="0"/>
        <w:widowControl/>
        <w:spacing w:line="180" w:lineRule="exact" w:before="62" w:after="0"/>
        <w:ind w:left="1132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4"/>
          <w:szCs w:val="14"/>
        </w:rPr>
        <w:t>PEOPLE &amp; PROCESS: clinicians | patients | facilities | administrators | safety workflows</w:t>
      </w:r>
    </w:p>
    <w:p>
      <w:pPr>
        <w:autoSpaceDN w:val="0"/>
        <w:autoSpaceDE w:val="0"/>
        <w:widowControl/>
        <w:spacing w:line="180" w:lineRule="exact" w:before="140" w:after="0"/>
        <w:ind w:left="31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4"/>
          <w:szCs w:val="14"/>
        </w:rPr>
        <w:t>APPLICATIONS: medication check | nurse alerts | equipment finder | HVAC | cold-chain | analytics | tele-ICU</w:t>
      </w:r>
    </w:p>
    <w:p>
      <w:pPr>
        <w:autoSpaceDN w:val="0"/>
        <w:autoSpaceDE w:val="0"/>
        <w:widowControl/>
        <w:spacing w:line="180" w:lineRule="exact" w:before="140" w:after="0"/>
        <w:ind w:left="526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4"/>
          <w:szCs w:val="14"/>
        </w:rPr>
        <w:t>DATA / EDGE / FOG: local AI + event rules | ward gateways | audit + time-series store | approved cloud</w:t>
      </w:r>
    </w:p>
    <w:p>
      <w:pPr>
        <w:autoSpaceDN w:val="0"/>
        <w:autoSpaceDE w:val="0"/>
        <w:widowControl/>
        <w:spacing w:line="180" w:lineRule="exact" w:before="140" w:after="0"/>
        <w:ind w:left="1218" w:right="0" w:firstLine="0"/>
        <w:jc w:val="left"/>
      </w:pPr>
      <w:r>
        <w:rPr>
          <w:spacing w:val="3.5"/>
          <w:rFonts w:ascii="Times New Roman" w:hAnsi="Times New Roman" w:eastAsia="Times New Roman" w:cs="Times New Roman"/>
          <w:b w:val="0"/>
          <w:i w:val="0"/>
          <w:color w:val="000000"/>
          <w:sz w:val="14"/>
          <w:szCs w:val="14"/>
        </w:rPr>
        <w:t>COMMUNICATION: Ethernet / Wi-Fi / BLE / NFC / RFID / 802.15.4 mesh / LoRaWAN or NB-IoT</w:t>
      </w:r>
    </w:p>
    <w:p>
      <w:pPr>
        <w:autoSpaceDN w:val="0"/>
        <w:autoSpaceDE w:val="0"/>
        <w:widowControl/>
        <w:spacing w:line="180" w:lineRule="exact" w:before="140" w:after="0"/>
        <w:ind w:left="484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4"/>
          <w:szCs w:val="14"/>
        </w:rPr>
        <w:t>THINGS: wearables | wristbands/tags | cameras | room sensors | meters | oxygen sensors | relays/cooling</w:t>
      </w:r>
    </w:p>
    <w:p>
      <w:pPr>
        <w:autoSpaceDN w:val="0"/>
        <w:autoSpaceDE w:val="0"/>
        <w:widowControl/>
        <w:spacing w:line="194" w:lineRule="exact" w:before="120" w:after="0"/>
        <w:ind w:left="8" w:right="0" w:firstLine="0"/>
        <w:jc w:val="left"/>
      </w:pPr>
      <w:r>
        <w:rPr>
          <w:spacing w:val="3.5"/>
          <w:rFonts w:ascii="Times New Roman" w:hAnsi="Times New Roman" w:eastAsia="Times New Roman" w:cs="Times New Roman"/>
          <w:b w:val="0"/>
          <w:i w:val="0"/>
          <w:color w:val="000000"/>
          <w:sz w:val="14"/>
          <w:szCs w:val="14"/>
        </w:rPr>
        <w:t>Security, identity, monitoring, time synchronisation and resilience apply across all layers.</w:t>
      </w:r>
    </w:p>
    <w:p>
      <w:pPr>
        <w:autoSpaceDN w:val="0"/>
        <w:autoSpaceDE w:val="0"/>
        <w:widowControl/>
        <w:spacing w:line="304" w:lineRule="exact" w:before="100" w:after="48"/>
        <w:ind w:left="8" w:right="0" w:firstLine="0"/>
        <w:jc w:val="left"/>
      </w:pPr>
      <w:r>
        <w:rPr>
          <w:spacing w:val="-0.6203323172198496"/>
          <w:rFonts w:ascii="Times New Roman" w:hAnsi="Times New Roman" w:eastAsia="Times New Roman" w:cs="Times New Roman"/>
          <w:b/>
          <w:bCs/>
          <w:i w:val="0"/>
          <w:color w:val="245B78"/>
          <w:sz w:val="22"/>
          <w:szCs w:val="22"/>
        </w:rPr>
        <w:t>2.3 Pillar mapping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282"/>
        <w:gridCol w:w="3284"/>
        <w:gridCol w:w="3284"/>
      </w:tblGrid>
      <w:tr>
        <w:trPr>
          <w:trHeight w:hRule="exact" w:val="330"/>
        </w:trPr>
        <w:tc>
          <w:tcPr>
            <w:tcW w:type="dxa" w:w="328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-0.551999253034594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IoE pillar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Hospital implementation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Example output</w:t>
            </w:r>
          </w:p>
        </w:tc>
      </w:tr>
      <w:tr>
        <w:trPr>
          <w:trHeight w:hRule="exact" w:val="500"/>
        </w:trPr>
        <w:tc>
          <w:tcPr>
            <w:tcW w:type="dxa" w:w="328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People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288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Staff identity, patient identity, role-based access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and nurse phone notifications.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Correct person receives the relevant alert.</w:t>
            </w:r>
          </w:p>
        </w:tc>
      </w:tr>
      <w:tr>
        <w:trPr>
          <w:trHeight w:hRule="exact" w:val="500"/>
        </w:trPr>
        <w:tc>
          <w:tcPr>
            <w:tcW w:type="dxa" w:w="328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Process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Medication rights checks, escalation rules,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cold-room response and maintenance workflows.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A defined action follows each event.</w:t>
            </w:r>
          </w:p>
        </w:tc>
      </w:tr>
      <w:tr>
        <w:trPr>
          <w:trHeight w:hRule="exact" w:val="670"/>
        </w:trPr>
        <w:tc>
          <w:tcPr>
            <w:tcW w:type="dxa" w:w="328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1.429999411106131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Data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396" w:firstLine="0"/>
              <w:jc w:val="both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Patient context, prescriptions, vital summaries,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location events and sensor history with access </w:t>
            </w:r>
            <w:r>
              <w:rPr>
                <w:spacing w:val="1.2475009337067888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control.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Timely and auditable decisions.</w:t>
            </w:r>
          </w:p>
        </w:tc>
      </w:tr>
      <w:tr>
        <w:trPr>
          <w:trHeight w:hRule="exact" w:val="500"/>
        </w:trPr>
        <w:tc>
          <w:tcPr>
            <w:tcW w:type="dxa" w:w="328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Things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432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Sensors, tags, readers, wearables, cameras,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actuators and gateways.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Physical conditions are measured and controlled.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0"/>
        <w:ind w:left="8" w:right="0" w:firstLine="0"/>
        <w:jc w:val="left"/>
      </w:pPr>
      <w:r>
        <w:rPr>
          <w:spacing w:val="0.4380737207152585"/>
          <w:rFonts w:ascii="Times New Roman" w:hAnsi="Times New Roman" w:eastAsia="Times New Roman" w:cs="Times New Roman"/>
          <w:b/>
          <w:bCs/>
          <w:i w:val="0"/>
          <w:color w:val="245B78"/>
          <w:sz w:val="22"/>
          <w:szCs w:val="22"/>
        </w:rPr>
        <w:t>2.4 End-to-end flow A – bedside medication verification</w:t>
      </w:r>
    </w:p>
    <w:p>
      <w:pPr>
        <w:autoSpaceDN w:val="0"/>
        <w:tabs>
          <w:tab w:pos="9358" w:val="left"/>
        </w:tabs>
        <w:autoSpaceDE w:val="0"/>
        <w:widowControl/>
        <w:spacing w:line="220" w:lineRule="exact" w:before="818" w:after="0"/>
        <w:ind w:left="0" w:right="0" w:firstLine="0"/>
        <w:jc w:val="left"/>
      </w:pPr>
      <w:r>
        <w:rPr>
          <w:spacing w:val="4.0"/>
          <w:rFonts w:ascii="Times New Roman" w:hAnsi="Times New Roman" w:eastAsia="Times New Roman" w:cs="Times New Roman"/>
          <w:b w:val="0"/>
          <w:i w:val="0"/>
          <w:color w:val="526574"/>
          <w:sz w:val="16"/>
          <w:szCs w:val="16"/>
        </w:rPr>
        <w:t xml:space="preserve">Jeeva.R | 1912260266 | ECA58 – IoE and AI Driven System </w:t>
      </w:r>
      <w:r>
        <w:t xml:space="preserve">                                                            </w:t>
      </w:r>
      <w:r>
        <w:rPr>
          <w:spacing w:val="4.0"/>
          <w:rFonts w:ascii="Times New Roman" w:hAnsi="Times New Roman" w:eastAsia="Times New Roman" w:cs="Times New Roman"/>
          <w:b w:val="0"/>
          <w:i w:val="0"/>
          <w:color w:val="526574"/>
          <w:sz w:val="16"/>
          <w:szCs w:val="16"/>
        </w:rPr>
        <w:t>Page 3</w:t>
      </w:r>
    </w:p>
    <w:p>
      <w:pPr>
        <w:sectPr>
          <w:pgSz w:w="11906" w:h="16838"/>
          <w:pgMar w:top="958" w:right="1000" w:bottom="462" w:left="1020" w:header="720" w:footer="720" w:gutter="0"/>
          <w:cols w:num="1" w:equalWidth="0">
            <w:col w:w="988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8" w:right="28" w:firstLine="0"/>
        <w:jc w:val="both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1. Things: nurse taps phone on patient NFC wristband and scans/taps the medicine identifier. 2. Data: the app retrieves the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patient identity, active order, medicine, dose, route and scheduled time from the hospital system. 3. Process: local rules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compare the medication rights and check for allergy/duplicate/expired-order warnings where available. 4. Intelligence and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decision: the rules engine flags a mismatch; the app blocks confirmation and asks for authorised review. 5. People: nurse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checks the warning and contacts the prescriber/pharmacist if required. 6. Feedback: after a valid check and nurse confirmation,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administration is recorded with a timestamp and audit trail. A scan alone must never be treated as proof that the medicine is </w:t>
      </w:r>
      <w:r>
        <w:rPr>
          <w:spacing w:val="1.6921747871067114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clinically appropriate.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652780</wp:posOffset>
                </wp:positionH>
                <wp:positionV relativeFrom="page">
                  <wp:posOffset>8051800</wp:posOffset>
                </wp:positionV>
                <wp:extent cx="6254750" cy="209550"/>
                <wp:wrapNone/>
                <wp:docPr id="7" name="Text Box 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4750" cy="209550"/>
                        </a:xfrm>
                        <a:prstGeom prst="rect"/>
                        <a:solidFill>
                          <a:srgbClr val="dbe9f4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652780</wp:posOffset>
                </wp:positionH>
                <wp:positionV relativeFrom="page">
                  <wp:posOffset>4146550</wp:posOffset>
                </wp:positionV>
                <wp:extent cx="6191250" cy="209550"/>
                <wp:wrapNone/>
                <wp:docPr id="8" name="Text Box 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1250" cy="209550"/>
                        </a:xfrm>
                        <a:prstGeom prst="rect"/>
                        <a:solidFill>
                          <a:srgbClr val="dbe9f4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641350</wp:posOffset>
                </wp:positionH>
                <wp:positionV relativeFrom="page">
                  <wp:posOffset>10181590</wp:posOffset>
                </wp:positionV>
                <wp:extent cx="6277609" cy="12700"/>
                <wp:wrapNone/>
                <wp:docPr id="9" name="Text Box 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7609" cy="12700"/>
                        </a:xfrm>
                        <a:prstGeom prst="rect"/>
                        <a:solidFill>
                          <a:srgbClr val="b6c8d3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304" w:lineRule="exact" w:before="118" w:after="0"/>
        <w:ind w:left="8" w:right="0" w:firstLine="0"/>
        <w:jc w:val="left"/>
      </w:pPr>
      <w:r>
        <w:rPr>
          <w:spacing w:val="0.08180883182929549"/>
          <w:rFonts w:ascii="Times New Roman" w:hAnsi="Times New Roman" w:eastAsia="Times New Roman" w:cs="Times New Roman"/>
          <w:b/>
          <w:bCs/>
          <w:i w:val="0"/>
          <w:color w:val="245B78"/>
          <w:sz w:val="22"/>
          <w:szCs w:val="22"/>
        </w:rPr>
        <w:t>2.5 End-to-end flow B – vaccine cold-room monitoring</w:t>
      </w:r>
    </w:p>
    <w:p>
      <w:pPr>
        <w:autoSpaceDN w:val="0"/>
        <w:autoSpaceDE w:val="0"/>
        <w:widowControl/>
        <w:spacing w:line="240" w:lineRule="exact" w:before="78" w:after="0"/>
        <w:ind w:left="8" w:right="28" w:firstLine="0"/>
        <w:jc w:val="both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1. Things: calibrated temperature probe measures the cold-room temperature; a controller drives a local alarm and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backup-cooling relay. 2. Data: readings are timestamped and sent to the local gateway. 3. Process: a rule compares the reading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with the approved vaccine storage range and checks persistence to avoid nuisance alarms. 4. Intelligence and decision: the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local controller decides whether to alarm and switch to backup cooling. 5. People: facilities and pharmacy staff receive the alert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and acknowledge it. 6. Feedback: the system records temperature recovery, relay state and staff action. Network loss must not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stop the local alarm or cooling control.</w:t>
      </w:r>
    </w:p>
    <w:p>
      <w:pPr>
        <w:autoSpaceDN w:val="0"/>
        <w:autoSpaceDE w:val="0"/>
        <w:widowControl/>
        <w:spacing w:line="240" w:lineRule="exact" w:before="100" w:after="0"/>
        <w:ind w:left="8" w:right="28" w:firstLine="0"/>
        <w:jc w:val="both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A weak pillar can defeat excellent technology. If staff are poorly trained or the process allows alerts to be ignored, a correct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medication mismatch alert may still be overridden. Mitigation: role-based training, mandatory acknowledgement, escalation,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audit review and a safe override process with reason capture.</w:t>
      </w:r>
    </w:p>
    <w:p>
      <w:pPr>
        <w:autoSpaceDN w:val="0"/>
        <w:autoSpaceDE w:val="0"/>
        <w:widowControl/>
        <w:spacing w:line="386" w:lineRule="exact" w:before="174" w:after="0"/>
        <w:ind w:left="8" w:right="0" w:firstLine="0"/>
        <w:jc w:val="left"/>
      </w:pPr>
      <w:r>
        <w:rPr>
          <w:spacing w:val="3.882840287300837"/>
          <w:rFonts w:ascii="Times New Roman" w:hAnsi="Times New Roman" w:eastAsia="Times New Roman" w:cs="Times New Roman"/>
          <w:b/>
          <w:bCs/>
          <w:i w:val="0"/>
          <w:color w:val="163A5F"/>
          <w:sz w:val="28"/>
          <w:szCs w:val="28"/>
        </w:rPr>
        <w:t>Stage 3 – Enabling Technologies</w:t>
      </w:r>
    </w:p>
    <w:p>
      <w:pPr>
        <w:autoSpaceDN w:val="0"/>
        <w:autoSpaceDE w:val="0"/>
        <w:widowControl/>
        <w:spacing w:line="304" w:lineRule="exact" w:before="98" w:after="48"/>
        <w:ind w:left="8" w:right="0" w:firstLine="0"/>
        <w:jc w:val="left"/>
      </w:pPr>
      <w:r>
        <w:rPr>
          <w:spacing w:val="0.5780428362389264"/>
          <w:rFonts w:ascii="Times New Roman" w:hAnsi="Times New Roman" w:eastAsia="Times New Roman" w:cs="Times New Roman"/>
          <w:b/>
          <w:bCs/>
          <w:i w:val="0"/>
          <w:color w:val="245B78"/>
          <w:sz w:val="22"/>
          <w:szCs w:val="22"/>
        </w:rPr>
        <w:t>3.1 Sensor / Actuator / Identification Selection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416"/>
        <w:gridCol w:w="1872"/>
        <w:gridCol w:w="2096"/>
        <w:gridCol w:w="2382"/>
        <w:gridCol w:w="1984"/>
      </w:tblGrid>
      <w:tr>
        <w:trPr>
          <w:trHeight w:hRule="exact" w:val="330"/>
        </w:trPr>
        <w:tc>
          <w:tcPr>
            <w:tcW w:type="dxa" w:w="141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Need</w:t>
            </w:r>
          </w:p>
        </w:tc>
        <w:tc>
          <w:tcPr>
            <w:tcW w:type="dxa" w:w="187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Candidates evaluated</w:t>
            </w:r>
          </w:p>
        </w:tc>
        <w:tc>
          <w:tcPr>
            <w:tcW w:type="dxa" w:w="209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Selected device</w:t>
            </w:r>
          </w:p>
        </w:tc>
        <w:tc>
          <w:tcPr>
            <w:tcW w:type="dxa" w:w="238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Justification</w:t>
            </w:r>
          </w:p>
        </w:tc>
        <w:tc>
          <w:tcPr>
            <w:tcW w:type="dxa" w:w="19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1.6824999302625088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Risk</w:t>
            </w:r>
          </w:p>
        </w:tc>
      </w:tr>
      <w:tr>
        <w:trPr>
          <w:trHeight w:hRule="exact" w:val="670"/>
        </w:trPr>
        <w:tc>
          <w:tcPr>
            <w:tcW w:type="dxa" w:w="141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Ward entrances /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pharmacy / cabinets</w:t>
            </w:r>
          </w:p>
        </w:tc>
        <w:tc>
          <w:tcPr>
            <w:tcW w:type="dxa" w:w="187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Passive RFID, NFC, BLE</w:t>
            </w:r>
          </w:p>
        </w:tc>
        <w:tc>
          <w:tcPr>
            <w:tcW w:type="dxa" w:w="209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Passive RFID portals for rapid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authorised tag reads; access </w:t>
            </w:r>
            <w:r>
              <w:rPr>
                <w:spacing w:val="1.8768755830824446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control linked to staff identity</w:t>
            </w:r>
          </w:p>
        </w:tc>
        <w:tc>
          <w:tcPr>
            <w:tcW w:type="dxa" w:w="238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RFID offers hands-free portal reads;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access decisions remain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server/controller governed.</w:t>
            </w:r>
          </w:p>
        </w:tc>
        <w:tc>
          <w:tcPr>
            <w:tcW w:type="dxa" w:w="19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Missed or stray reads; use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tuned antennas, door sensors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and audit logs.</w:t>
            </w:r>
          </w:p>
        </w:tc>
      </w:tr>
      <w:tr>
        <w:trPr>
          <w:trHeight w:hRule="exact" w:val="840"/>
        </w:trPr>
        <w:tc>
          <w:tcPr>
            <w:tcW w:type="dxa" w:w="141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Bedside medicine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check</w:t>
            </w:r>
          </w:p>
        </w:tc>
        <w:tc>
          <w:tcPr>
            <w:tcW w:type="dxa" w:w="187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1.568333619170722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Barcode, NFC, RFID</w:t>
            </w:r>
          </w:p>
        </w:tc>
        <w:tc>
          <w:tcPr>
            <w:tcW w:type="dxa" w:w="209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NFC wristband plus medicine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barcode/NFC identifier on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managed nurse phone</w:t>
            </w:r>
          </w:p>
        </w:tc>
        <w:tc>
          <w:tcPr>
            <w:tcW w:type="dxa" w:w="238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Short tap range reduces accidental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reads and supports deliberate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patient confirmation.</w:t>
            </w:r>
          </w:p>
        </w:tc>
        <w:tc>
          <w:tcPr>
            <w:tcW w:type="dxa" w:w="19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Phone loss or cloned tag;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device management,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authentication and server-side </w:t>
            </w:r>
            <w:r>
              <w:rPr>
                <w:spacing w:val="1.5918187228116534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validation.</w:t>
            </w:r>
          </w:p>
        </w:tc>
      </w:tr>
      <w:tr>
        <w:trPr>
          <w:trHeight w:hRule="exact" w:val="840"/>
        </w:trPr>
        <w:tc>
          <w:tcPr>
            <w:tcW w:type="dxa" w:w="141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Equipment location</w:t>
            </w:r>
          </w:p>
        </w:tc>
        <w:tc>
          <w:tcPr>
            <w:tcW w:type="dxa" w:w="187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BLE beacons, RFID portals, </w:t>
            </w:r>
            <w:r>
              <w:rPr>
                <w:spacing w:val="-1.466667493184464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UWB</w:t>
            </w:r>
          </w:p>
        </w:tc>
        <w:tc>
          <w:tcPr>
            <w:tcW w:type="dxa" w:w="209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BLE tags for room/zone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location; RFID at selected exits</w:t>
            </w:r>
          </w:p>
        </w:tc>
        <w:tc>
          <w:tcPr>
            <w:tcW w:type="dxa" w:w="238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BLE gives practical battery-powered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zone tracking; RFID portal events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help detect movement.</w:t>
            </w:r>
          </w:p>
        </w:tc>
        <w:tc>
          <w:tcPr>
            <w:tcW w:type="dxa" w:w="19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BLE location is approximate;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label confidence and use staff </w:t>
            </w:r>
            <w:r>
              <w:rPr>
                <w:spacing w:val="1.1572005033493042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confirmation for critical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equipment.</w:t>
            </w:r>
          </w:p>
        </w:tc>
      </w:tr>
      <w:tr>
        <w:trPr>
          <w:trHeight w:hRule="exact" w:val="670"/>
        </w:trPr>
        <w:tc>
          <w:tcPr>
            <w:tcW w:type="dxa" w:w="141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288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Ward occupancy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and climate</w:t>
            </w:r>
          </w:p>
        </w:tc>
        <w:tc>
          <w:tcPr>
            <w:tcW w:type="dxa" w:w="187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288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PIR, mmWave,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temperature/RH sensors</w:t>
            </w:r>
          </w:p>
        </w:tc>
        <w:tc>
          <w:tcPr>
            <w:tcW w:type="dxa" w:w="209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Privacy-conscious occupancy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sensor, digital temperature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probe and RH sensor</w:t>
            </w:r>
          </w:p>
        </w:tc>
        <w:tc>
          <w:tcPr>
            <w:tcW w:type="dxa" w:w="238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Supports occupancy-aware HVAC </w:t>
            </w:r>
            <w:r>
              <w:rPr>
                <w:spacing w:val="1.8836673299471538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and comfort monitoring without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relying on video.</w:t>
            </w:r>
          </w:p>
        </w:tc>
        <w:tc>
          <w:tcPr>
            <w:tcW w:type="dxa" w:w="19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Sensor placement/calibration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can affect readings.</w:t>
            </w:r>
          </w:p>
        </w:tc>
      </w:tr>
      <w:tr>
        <w:trPr>
          <w:trHeight w:hRule="exact" w:val="670"/>
        </w:trPr>
        <w:tc>
          <w:tcPr>
            <w:tcW w:type="dxa" w:w="141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0.8435298274545158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Lighting and HVAC</w:t>
            </w:r>
          </w:p>
        </w:tc>
        <w:tc>
          <w:tcPr>
            <w:tcW w:type="dxa" w:w="187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288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Manual switches, smart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relays, building bus</w:t>
            </w:r>
          </w:p>
        </w:tc>
        <w:tc>
          <w:tcPr>
            <w:tcW w:type="dxa" w:w="209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Rated relay/contactor with local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manual override and safe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default</w:t>
            </w:r>
          </w:p>
        </w:tc>
        <w:tc>
          <w:tcPr>
            <w:tcW w:type="dxa" w:w="238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288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Enables control while preserving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local operation and electrical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isolation.</w:t>
            </w:r>
          </w:p>
        </w:tc>
        <w:tc>
          <w:tcPr>
            <w:tcW w:type="dxa" w:w="19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Wrong rating or unsafe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switching; qualified installation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and interlocks.</w:t>
            </w:r>
          </w:p>
        </w:tc>
      </w:tr>
      <w:tr>
        <w:trPr>
          <w:trHeight w:hRule="exact" w:val="670"/>
        </w:trPr>
        <w:tc>
          <w:tcPr>
            <w:tcW w:type="dxa" w:w="141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Vaccine/blood cold </w:t>
            </w:r>
            <w:r>
              <w:rPr>
                <w:spacing w:val="1.8600007593631673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room</w:t>
            </w:r>
          </w:p>
        </w:tc>
        <w:tc>
          <w:tcPr>
            <w:tcW w:type="dxa" w:w="187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432" w:firstLine="0"/>
              <w:jc w:val="left"/>
            </w:pPr>
            <w:r>
              <w:rPr>
                <w:spacing w:val="1.115652372007787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RTD/thermistor, digital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probes; alarm/relay</w:t>
            </w:r>
          </w:p>
        </w:tc>
        <w:tc>
          <w:tcPr>
            <w:tcW w:type="dxa" w:w="209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576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Calibrated probe, local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controller, buzzer and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backup-cooling relay</w:t>
            </w:r>
          </w:p>
        </w:tc>
        <w:tc>
          <w:tcPr>
            <w:tcW w:type="dxa" w:w="238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242" w:firstLine="0"/>
              <w:jc w:val="both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Local closed-loop response works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during network loss; accuracy and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traceability are important.</w:t>
            </w:r>
          </w:p>
        </w:tc>
        <w:tc>
          <w:tcPr>
            <w:tcW w:type="dxa" w:w="19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Probe failure or stuck relay;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dual-sensor plausibility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checks and periodic tests.</w:t>
            </w:r>
          </w:p>
        </w:tc>
      </w:tr>
      <w:tr>
        <w:trPr>
          <w:trHeight w:hRule="exact" w:val="840"/>
        </w:trPr>
        <w:tc>
          <w:tcPr>
            <w:tcW w:type="dxa" w:w="141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Oxygen plant</w:t>
            </w:r>
          </w:p>
        </w:tc>
        <w:tc>
          <w:tcPr>
            <w:tcW w:type="dxa" w:w="187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Pressure transducer, level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sensor</w:t>
            </w:r>
          </w:p>
        </w:tc>
        <w:tc>
          <w:tcPr>
            <w:tcW w:type="dxa" w:w="209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Industrial pressure transducer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plus suitable cylinder/bank level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sensing and local gateway</w:t>
            </w:r>
          </w:p>
        </w:tc>
        <w:tc>
          <w:tcPr>
            <w:tcW w:type="dxa" w:w="238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482" w:firstLine="0"/>
              <w:jc w:val="both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Measures pressure/remaining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supply and supports threshold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alarms.</w:t>
            </w:r>
          </w:p>
        </w:tc>
        <w:tc>
          <w:tcPr>
            <w:tcW w:type="dxa" w:w="19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Hazardous environment and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calibration; use certified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installation and independent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safety controls.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48"/>
        <w:ind w:left="8" w:right="0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245B78"/>
          <w:sz w:val="22"/>
          <w:szCs w:val="22"/>
        </w:rPr>
        <w:t>3.2 Suitable ranges and actions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282"/>
        <w:gridCol w:w="3284"/>
        <w:gridCol w:w="3284"/>
      </w:tblGrid>
      <w:tr>
        <w:trPr>
          <w:trHeight w:hRule="exact" w:val="330"/>
        </w:trPr>
        <w:tc>
          <w:tcPr>
            <w:tcW w:type="dxa" w:w="328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Measurement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Design range / target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-0.2016665736833071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Action</w:t>
            </w:r>
          </w:p>
        </w:tc>
      </w:tr>
      <w:tr>
        <w:trPr>
          <w:trHeight w:hRule="exact" w:val="500"/>
        </w:trPr>
        <w:tc>
          <w:tcPr>
            <w:tcW w:type="dxa" w:w="328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Ward temperature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0–50 °C sensor range; about ±0.5 °C accuracy or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better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Notify facilities if outside configured comfort limits;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HVAC response follows approved policy.</w:t>
            </w:r>
          </w:p>
        </w:tc>
      </w:tr>
      <w:tr>
        <w:trPr>
          <w:trHeight w:hRule="exact" w:val="500"/>
        </w:trPr>
        <w:tc>
          <w:tcPr>
            <w:tcW w:type="dxa" w:w="328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Relative humidity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0–100% RH; about ±3% RH accuracy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432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Alert and adjust ventilation/HVAC if sustained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outside configured range.</w:t>
            </w:r>
          </w:p>
        </w:tc>
      </w:tr>
      <w:tr>
        <w:trPr>
          <w:trHeight w:hRule="exact" w:val="500"/>
        </w:trPr>
        <w:tc>
          <w:tcPr>
            <w:tcW w:type="dxa" w:w="328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Bed occupancy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576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Occupied / unoccupied detection; validate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false-positive rate in pilot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576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Adjust lighting/HVAC only within safety and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patient-care rules.</w:t>
            </w:r>
          </w:p>
        </w:tc>
      </w:tr>
      <w:tr>
        <w:trPr>
          <w:trHeight w:hRule="exact" w:val="500"/>
        </w:trPr>
        <w:tc>
          <w:tcPr>
            <w:tcW w:type="dxa" w:w="328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Cold-room temperature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Choose probe covering the specified storage range;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target ±0.5 °C or better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0" w:right="432" w:firstLine="0"/>
              <w:jc w:val="center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Local alarm and backup cooling on threshold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breach; threshold set for each stored product.</w:t>
            </w:r>
          </w:p>
        </w:tc>
      </w:tr>
    </w:tbl>
    <w:p>
      <w:pPr>
        <w:autoSpaceDN w:val="0"/>
        <w:tabs>
          <w:tab w:pos="9358" w:val="left"/>
        </w:tabs>
        <w:autoSpaceDE w:val="0"/>
        <w:widowControl/>
        <w:spacing w:line="220" w:lineRule="exact" w:before="1122" w:after="0"/>
        <w:ind w:left="0" w:right="0" w:firstLine="0"/>
        <w:jc w:val="left"/>
      </w:pPr>
      <w:r>
        <w:rPr>
          <w:spacing w:val="4.0"/>
          <w:rFonts w:ascii="Times New Roman" w:hAnsi="Times New Roman" w:eastAsia="Times New Roman" w:cs="Times New Roman"/>
          <w:b w:val="0"/>
          <w:i w:val="0"/>
          <w:color w:val="526574"/>
          <w:sz w:val="16"/>
          <w:szCs w:val="16"/>
        </w:rPr>
        <w:t xml:space="preserve">Jeeva.R | 1912260266 | ECA58 – IoE and AI Driven System </w:t>
      </w:r>
      <w:r>
        <w:t xml:space="preserve">                                                            </w:t>
      </w:r>
      <w:r>
        <w:rPr>
          <w:spacing w:val="4.0"/>
          <w:rFonts w:ascii="Times New Roman" w:hAnsi="Times New Roman" w:eastAsia="Times New Roman" w:cs="Times New Roman"/>
          <w:b w:val="0"/>
          <w:i w:val="0"/>
          <w:color w:val="526574"/>
          <w:sz w:val="16"/>
          <w:szCs w:val="16"/>
        </w:rPr>
        <w:t>Page 4</w:t>
      </w:r>
    </w:p>
    <w:p>
      <w:pPr>
        <w:sectPr>
          <w:pgSz w:w="11906" w:h="16838"/>
          <w:pgMar w:top="958" w:right="1000" w:bottom="462" w:left="1020" w:header="720" w:footer="720" w:gutter="0"/>
          <w:cols w:num="1" w:equalWidth="0">
            <w:col w:w="988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282"/>
        <w:gridCol w:w="3284"/>
        <w:gridCol w:w="3284"/>
      </w:tblGrid>
      <w:tr>
        <w:trPr>
          <w:trHeight w:hRule="exact" w:val="330"/>
        </w:trPr>
        <w:tc>
          <w:tcPr>
            <w:tcW w:type="dxa" w:w="3282"/>
            <w:tcBorders>
              <w:top w:sz="2.799999952316284" w:val="single" w:color="9AAEBA"/>
              <w:bottom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80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Measurement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Design range / target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-0.2016665736833071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Action</w:t>
            </w:r>
          </w:p>
        </w:tc>
      </w:tr>
      <w:tr>
        <w:trPr>
          <w:trHeight w:hRule="exact" w:val="670"/>
        </w:trPr>
        <w:tc>
          <w:tcPr>
            <w:tcW w:type="dxa" w:w="3282"/>
            <w:tcBorders>
              <w:top w:sz="2.799999952316284" w:val="single" w:color="9AAEBA"/>
              <w:bottom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80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Oxygen pressure/level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Sensor range selected from actual manifold/cylinder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specification; target about ±1% full-scale where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justified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Low-pressure/low-level alarm and replenishment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escalation.</w:t>
            </w:r>
          </w:p>
        </w:tc>
      </w:tr>
      <w:tr>
        <w:trPr>
          <w:trHeight w:hRule="exact" w:val="500"/>
        </w:trPr>
        <w:tc>
          <w:tcPr>
            <w:tcW w:type="dxa" w:w="3282"/>
            <w:tcBorders>
              <w:top w:sz="2.799999952316284" w:val="single" w:color="9AAEBA"/>
              <w:bottom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80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Energy/water meters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Certified meter with pulse or digital output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Read every 15 minutes; flag abnormal consumption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and leaks.</w:t>
            </w:r>
          </w:p>
        </w:tc>
      </w:tr>
    </w:tbl>
    <w:p>
      <w:pPr>
        <w:autoSpaceDN w:val="0"/>
        <w:autoSpaceDE w:val="0"/>
        <w:widowControl/>
        <w:spacing w:line="240" w:lineRule="exact" w:before="202" w:after="0"/>
        <w:ind w:left="8" w:right="28" w:firstLine="0"/>
        <w:jc w:val="both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Accuracy costs more and can increase calibration effort. For cold-chain and oxygen safety, favour reliable calibrated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industrial-grade sensors over the cheapest option. For noncritical occupancy, a lower-cost sensor may be acceptable after a site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trial. Exact oxygen ranges and vaccine thresholds must be set from equipment specifications and clinical/pharmacy policy, not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guessed.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652780</wp:posOffset>
                </wp:positionH>
                <wp:positionV relativeFrom="page">
                  <wp:posOffset>8566150</wp:posOffset>
                </wp:positionV>
                <wp:extent cx="6254750" cy="209550"/>
                <wp:wrapNone/>
                <wp:docPr id="10" name="Text Box 1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4750" cy="209550"/>
                        </a:xfrm>
                        <a:prstGeom prst="rect"/>
                        <a:solidFill>
                          <a:srgbClr val="dbe9f4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652780</wp:posOffset>
                </wp:positionH>
                <wp:positionV relativeFrom="page">
                  <wp:posOffset>5124450</wp:posOffset>
                </wp:positionV>
                <wp:extent cx="6254750" cy="209550"/>
                <wp:wrapNone/>
                <wp:docPr id="11" name="Text Box 1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4750" cy="209550"/>
                        </a:xfrm>
                        <a:prstGeom prst="rect"/>
                        <a:solidFill>
                          <a:srgbClr val="dbe9f4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652780</wp:posOffset>
                </wp:positionH>
                <wp:positionV relativeFrom="page">
                  <wp:posOffset>615950</wp:posOffset>
                </wp:positionV>
                <wp:extent cx="6254750" cy="209550"/>
                <wp:wrapNone/>
                <wp:docPr id="12" name="Text Box 1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4750" cy="209550"/>
                        </a:xfrm>
                        <a:prstGeom prst="rect"/>
                        <a:solidFill>
                          <a:srgbClr val="dbe9f4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650240</wp:posOffset>
                </wp:positionH>
                <wp:positionV relativeFrom="page">
                  <wp:posOffset>822960</wp:posOffset>
                </wp:positionV>
                <wp:extent cx="3809" cy="748030"/>
                <wp:wrapNone/>
                <wp:docPr id="13" name="Text Box 1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" cy="748030"/>
                        </a:xfrm>
                        <a:prstGeom prst="rect"/>
                        <a:solidFill>
                          <a:srgbClr val="9aaeba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650240</wp:posOffset>
                </wp:positionH>
                <wp:positionV relativeFrom="page">
                  <wp:posOffset>613410</wp:posOffset>
                </wp:positionV>
                <wp:extent cx="3809" cy="214630"/>
                <wp:wrapNone/>
                <wp:docPr id="14" name="Text Box 1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9" cy="214630"/>
                        </a:xfrm>
                        <a:prstGeom prst="rect"/>
                        <a:solidFill>
                          <a:srgbClr val="9aaeba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641350</wp:posOffset>
                </wp:positionH>
                <wp:positionV relativeFrom="page">
                  <wp:posOffset>10181590</wp:posOffset>
                </wp:positionV>
                <wp:extent cx="6277609" cy="12700"/>
                <wp:wrapNone/>
                <wp:docPr id="15" name="Text Box 1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7609" cy="12700"/>
                        </a:xfrm>
                        <a:prstGeom prst="rect"/>
                        <a:solidFill>
                          <a:srgbClr val="b6c8d3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304" w:lineRule="exact" w:before="118" w:after="0"/>
        <w:ind w:left="8" w:right="0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245B78"/>
          <w:sz w:val="22"/>
          <w:szCs w:val="22"/>
        </w:rPr>
        <w:t>3.3 Cold-room sense–process–act node</w:t>
      </w:r>
    </w:p>
    <w:p>
      <w:pPr>
        <w:autoSpaceDN w:val="0"/>
        <w:autoSpaceDE w:val="0"/>
        <w:widowControl/>
        <w:spacing w:line="192" w:lineRule="exact" w:before="50" w:after="0"/>
        <w:ind w:left="10" w:right="0" w:firstLine="0"/>
        <w:jc w:val="left"/>
      </w:pPr>
      <w:r>
        <w:rPr>
          <w:spacing w:val="-3.5"/>
          <w:rFonts w:ascii="Times New Roman" w:hAnsi="Times New Roman" w:eastAsia="Times New Roman" w:cs="Times New Roman"/>
          <w:b w:val="0"/>
          <w:i w:val="0"/>
          <w:color w:val="000000"/>
          <w:sz w:val="14"/>
          <w:szCs w:val="14"/>
        </w:rPr>
        <w:t xml:space="preserve">CALIBRATED TEMPERATURE PROBE </w:t>
      </w:r>
      <w:r>
        <w:rPr>
          <w:w w:val="102.85714013235909"/>
          <w:rFonts w:ascii="Symbol" w:hAnsi="Symbol" w:eastAsia="Symbol" w:cs="Symbol"/>
          <w:b w:val="0"/>
          <w:i w:val="0"/>
          <w:color w:val="000000"/>
          <w:sz w:val="14"/>
          <w:szCs w:val="14"/>
        </w:rPr>
        <w:t>→</w:t>
      </w:r>
      <w:r>
        <w:rPr>
          <w:spacing w:val="3.5"/>
          <w:rFonts w:ascii="Times New Roman" w:hAnsi="Times New Roman" w:eastAsia="Times New Roman" w:cs="Times New Roman"/>
          <w:b w:val="0"/>
          <w:i w:val="0"/>
          <w:color w:val="000000"/>
          <w:sz w:val="14"/>
          <w:szCs w:val="14"/>
        </w:rPr>
        <w:t xml:space="preserve"> LOCAL MCU/PLC (threshold + sensor-fault check) </w:t>
      </w:r>
      <w:r>
        <w:rPr>
          <w:w w:val="102.85714013235909"/>
          <w:rFonts w:ascii="Symbol" w:hAnsi="Symbol" w:eastAsia="Symbol" w:cs="Symbol"/>
          <w:b w:val="0"/>
          <w:i w:val="0"/>
          <w:color w:val="000000"/>
          <w:sz w:val="14"/>
          <w:szCs w:val="14"/>
        </w:rPr>
        <w:t>→</w:t>
      </w:r>
      <w:r>
        <w:rPr>
          <w:spacing w:val="-3.5"/>
          <w:rFonts w:ascii="Times New Roman" w:hAnsi="Times New Roman" w:eastAsia="Times New Roman" w:cs="Times New Roman"/>
          <w:b w:val="0"/>
          <w:i w:val="0"/>
          <w:color w:val="000000"/>
          <w:sz w:val="14"/>
          <w:szCs w:val="14"/>
        </w:rPr>
        <w:t xml:space="preserve"> RELAY/CONTACTOR </w:t>
      </w:r>
      <w:r>
        <w:rPr>
          <w:w w:val="102.85714013235909"/>
          <w:rFonts w:ascii="Symbol" w:hAnsi="Symbol" w:eastAsia="Symbol" w:cs="Symbol"/>
          <w:b w:val="0"/>
          <w:i w:val="0"/>
          <w:color w:val="000000"/>
          <w:sz w:val="14"/>
          <w:szCs w:val="14"/>
        </w:rPr>
        <w:t>→</w:t>
      </w:r>
      <w:r>
        <w:rPr>
          <w:spacing w:val="-3.5"/>
          <w:rFonts w:ascii="Times New Roman" w:hAnsi="Times New Roman" w:eastAsia="Times New Roman" w:cs="Times New Roman"/>
          <w:b w:val="0"/>
          <w:i w:val="0"/>
          <w:color w:val="000000"/>
          <w:sz w:val="14"/>
          <w:szCs w:val="14"/>
        </w:rPr>
        <w:t xml:space="preserve"> BACKUP COOLING</w:t>
      </w:r>
    </w:p>
    <w:p>
      <w:pPr>
        <w:autoSpaceDN w:val="0"/>
        <w:autoSpaceDE w:val="0"/>
        <w:widowControl/>
        <w:spacing w:line="180" w:lineRule="exact" w:before="140" w:after="0"/>
        <w:ind w:left="341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4"/>
          <w:szCs w:val="14"/>
        </w:rPr>
        <w:t>I</w:t>
      </w:r>
      <w:r>
        <w:rPr>
          <w:spacing w:val="3.5"/>
          <w:rFonts w:ascii="Times New Roman" w:hAnsi="Times New Roman" w:eastAsia="Times New Roman" w:cs="Times New Roman"/>
          <w:b w:val="0"/>
          <w:i w:val="0"/>
          <w:color w:val="000000"/>
          <w:sz w:val="14"/>
          <w:szCs w:val="14"/>
        </w:rPr>
        <w:t xml:space="preserve"> LOCAL BUZZER / BEACON / EVENT LOG</w:t>
      </w:r>
    </w:p>
    <w:p>
      <w:pPr>
        <w:autoSpaceDN w:val="0"/>
        <w:autoSpaceDE w:val="0"/>
        <w:widowControl/>
        <w:spacing w:line="192" w:lineRule="exact" w:before="128" w:after="0"/>
        <w:ind w:left="1134" w:right="0" w:firstLine="0"/>
        <w:jc w:val="left"/>
      </w:pPr>
      <w:r>
        <w:rPr>
          <w:spacing w:val="-3.5"/>
          <w:rFonts w:ascii="Times New Roman" w:hAnsi="Times New Roman" w:eastAsia="Times New Roman" w:cs="Times New Roman"/>
          <w:b w:val="0"/>
          <w:i w:val="0"/>
          <w:color w:val="000000"/>
          <w:sz w:val="14"/>
          <w:szCs w:val="14"/>
        </w:rPr>
        <w:t xml:space="preserve">LOCAL CONTROLLER </w:t>
      </w:r>
      <w:r>
        <w:rPr>
          <w:w w:val="102.85714013235909"/>
          <w:rFonts w:ascii="Symbol" w:hAnsi="Symbol" w:eastAsia="Symbol" w:cs="Symbol"/>
          <w:b w:val="0"/>
          <w:i w:val="0"/>
          <w:color w:val="000000"/>
          <w:sz w:val="14"/>
          <w:szCs w:val="14"/>
        </w:rPr>
        <w:t>→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4"/>
          <w:szCs w:val="14"/>
        </w:rPr>
        <w:t xml:space="preserve"> wired Ethernet or secured Wi-Fi </w:t>
      </w:r>
      <w:r>
        <w:rPr>
          <w:w w:val="102.85714013235909"/>
          <w:rFonts w:ascii="Symbol" w:hAnsi="Symbol" w:eastAsia="Symbol" w:cs="Symbol"/>
          <w:b w:val="0"/>
          <w:i w:val="0"/>
          <w:color w:val="000000"/>
          <w:sz w:val="14"/>
          <w:szCs w:val="14"/>
        </w:rPr>
        <w:t>→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14"/>
          <w:szCs w:val="14"/>
        </w:rPr>
        <w:t xml:space="preserve"> ward/facility gateway </w:t>
      </w:r>
      <w:r>
        <w:rPr>
          <w:w w:val="102.85714013235909"/>
          <w:rFonts w:ascii="Symbol" w:hAnsi="Symbol" w:eastAsia="Symbol" w:cs="Symbol"/>
          <w:b w:val="0"/>
          <w:i w:val="0"/>
          <w:color w:val="000000"/>
          <w:sz w:val="14"/>
          <w:szCs w:val="14"/>
        </w:rPr>
        <w:t>→</w:t>
      </w:r>
      <w:r>
        <w:rPr>
          <w:spacing w:val="3.5"/>
          <w:rFonts w:ascii="Times New Roman" w:hAnsi="Times New Roman" w:eastAsia="Times New Roman" w:cs="Times New Roman"/>
          <w:b w:val="0"/>
          <w:i w:val="0"/>
          <w:color w:val="000000"/>
          <w:sz w:val="14"/>
          <w:szCs w:val="14"/>
        </w:rPr>
        <w:t xml:space="preserve"> dashboard</w:t>
      </w:r>
    </w:p>
    <w:p>
      <w:pPr>
        <w:autoSpaceDN w:val="0"/>
        <w:autoSpaceDE w:val="0"/>
        <w:widowControl/>
        <w:spacing w:line="240" w:lineRule="exact" w:before="116" w:after="0"/>
        <w:ind w:left="8" w:right="28" w:firstLine="0"/>
        <w:jc w:val="both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Power: mains with UPS; controller and alarm remain powered during brief outages. Fail-safe: on network loss, continue sensing,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alarm locally and control backup cooling; buffer readings for later upload. On sensor fault, raise a fault alarm and invoke the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documented safe procedure rather than assuming temperature is normal. Use manual override, relay-state feedback, calibration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schedule and periodic failover tests.</w:t>
      </w:r>
    </w:p>
    <w:p>
      <w:pPr>
        <w:autoSpaceDN w:val="0"/>
        <w:autoSpaceDE w:val="0"/>
        <w:widowControl/>
        <w:spacing w:line="386" w:lineRule="exact" w:before="174" w:after="0"/>
        <w:ind w:left="8" w:right="0" w:firstLine="0"/>
        <w:jc w:val="left"/>
      </w:pPr>
      <w:r>
        <w:rPr>
          <w:spacing w:val="0.6578882347862676"/>
          <w:rFonts w:ascii="Times New Roman" w:hAnsi="Times New Roman" w:eastAsia="Times New Roman" w:cs="Times New Roman"/>
          <w:b/>
          <w:bCs/>
          <w:i w:val="0"/>
          <w:color w:val="163A5F"/>
          <w:sz w:val="28"/>
          <w:szCs w:val="28"/>
        </w:rPr>
        <w:t>Stage 4 – Computing Architecture: Cloud, Edge and Fog</w:t>
      </w:r>
    </w:p>
    <w:p>
      <w:pPr>
        <w:autoSpaceDN w:val="0"/>
        <w:autoSpaceDE w:val="0"/>
        <w:widowControl/>
        <w:spacing w:line="304" w:lineRule="exact" w:before="98" w:after="0"/>
        <w:ind w:left="8" w:right="0" w:firstLine="0"/>
        <w:jc w:val="left"/>
      </w:pPr>
      <w:r>
        <w:rPr>
          <w:spacing w:val="-0.3648950416466285"/>
          <w:rFonts w:ascii="Times New Roman" w:hAnsi="Times New Roman" w:eastAsia="Times New Roman" w:cs="Times New Roman"/>
          <w:b/>
          <w:bCs/>
          <w:i w:val="0"/>
          <w:color w:val="245B78"/>
          <w:sz w:val="22"/>
          <w:szCs w:val="22"/>
        </w:rPr>
        <w:t>4.1 Cloud provider evaluation</w:t>
      </w:r>
    </w:p>
    <w:p>
      <w:pPr>
        <w:autoSpaceDN w:val="0"/>
        <w:autoSpaceDE w:val="0"/>
        <w:widowControl/>
        <w:spacing w:line="240" w:lineRule="exact" w:before="78" w:after="90"/>
        <w:ind w:left="8" w:right="28" w:firstLine="0"/>
        <w:jc w:val="both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The hospital should run critical clinical control locally and select a cloud only for approved workloads. The following illustrative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weighted matrix uses a 1–5 score (5 = strongest fit); weights prioritise security/residency and edge support. Scores are planning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judgements that must be validated against contracts, region availability, current pricing and the hospital's compliance review.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970"/>
        <w:gridCol w:w="1970"/>
        <w:gridCol w:w="1970"/>
        <w:gridCol w:w="1970"/>
        <w:gridCol w:w="1970"/>
      </w:tblGrid>
      <w:tr>
        <w:trPr>
          <w:trHeight w:hRule="exact" w:val="330"/>
        </w:trPr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0.46888991859224427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Criterion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Weight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AWS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Azure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Google Cloud</w:t>
            </w:r>
          </w:p>
        </w:tc>
      </w:tr>
      <w:tr>
        <w:trPr>
          <w:trHeight w:hRule="exact" w:val="500"/>
        </w:trPr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288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Device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management/connectivity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15%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5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5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4</w:t>
            </w:r>
          </w:p>
        </w:tc>
      </w:tr>
      <w:tr>
        <w:trPr>
          <w:trHeight w:hRule="exact" w:val="330"/>
        </w:trPr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Analytics and AI services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15%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5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5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5</w:t>
            </w:r>
          </w:p>
        </w:tc>
      </w:tr>
      <w:tr>
        <w:trPr>
          <w:trHeight w:hRule="exact" w:val="330"/>
        </w:trPr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Security/compliance controls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20%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5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5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5</w:t>
            </w:r>
          </w:p>
        </w:tc>
      </w:tr>
      <w:tr>
        <w:trPr>
          <w:trHeight w:hRule="exact" w:val="500"/>
        </w:trPr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Data residency / deployment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options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20%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4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5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4</w:t>
            </w:r>
          </w:p>
        </w:tc>
      </w:tr>
      <w:tr>
        <w:trPr>
          <w:trHeight w:hRule="exact" w:val="330"/>
        </w:trPr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Edge support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15%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5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5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4</w:t>
            </w:r>
          </w:p>
        </w:tc>
      </w:tr>
      <w:tr>
        <w:trPr>
          <w:trHeight w:hRule="exact" w:val="500"/>
        </w:trPr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288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Cost transparency / cost </w:t>
            </w:r>
            <w:r>
              <w:rPr>
                <w:spacing w:val="1.0300010272434739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control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5%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3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3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4</w:t>
            </w:r>
          </w:p>
        </w:tc>
      </w:tr>
      <w:tr>
        <w:trPr>
          <w:trHeight w:hRule="exact" w:val="330"/>
        </w:trPr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1.1750007867813066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Portability / lock-in risk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10%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3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3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3</w:t>
            </w:r>
          </w:p>
        </w:tc>
      </w:tr>
      <w:tr>
        <w:trPr>
          <w:trHeight w:hRule="exact" w:val="330"/>
        </w:trPr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Weighted score (out of 5)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100%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4.45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4.65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4.30</w:t>
            </w:r>
          </w:p>
        </w:tc>
      </w:tr>
    </w:tbl>
    <w:p>
      <w:pPr>
        <w:autoSpaceDN w:val="0"/>
        <w:autoSpaceDE w:val="0"/>
        <w:widowControl/>
        <w:spacing w:line="240" w:lineRule="exact" w:before="202" w:after="0"/>
        <w:ind w:left="8" w:right="28" w:firstLine="0"/>
        <w:jc w:val="both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Azure is the illustrative first choice where hybrid identity and on-premises integration are strong priorities; AWS is a close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alternative with broad IoT/edge capabilities; Google Cloud is strong for analytics and AI. This is not a universal ranking. The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procurement decision should use a proof of concept, data-processing terms, local region availability, exit costs and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interoperability tests. Keep application data in open formats, use standard APIs/MQTT where suitable, containerise portable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workloads and avoid provider-specific dependencies in critical control paths.</w:t>
      </w:r>
    </w:p>
    <w:p>
      <w:pPr>
        <w:autoSpaceDN w:val="0"/>
        <w:autoSpaceDE w:val="0"/>
        <w:widowControl/>
        <w:spacing w:line="304" w:lineRule="exact" w:before="118" w:after="48"/>
        <w:ind w:left="8" w:right="0" w:firstLine="0"/>
        <w:jc w:val="left"/>
      </w:pPr>
      <w:r>
        <w:rPr>
          <w:spacing w:val="-0.7154535488648927"/>
          <w:rFonts w:ascii="Times New Roman" w:hAnsi="Times New Roman" w:eastAsia="Times New Roman" w:cs="Times New Roman"/>
          <w:b/>
          <w:bCs/>
          <w:i w:val="0"/>
          <w:color w:val="245B78"/>
          <w:sz w:val="22"/>
          <w:szCs w:val="22"/>
        </w:rPr>
        <w:t>4.2 Workload placement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282"/>
        <w:gridCol w:w="3284"/>
        <w:gridCol w:w="3284"/>
      </w:tblGrid>
      <w:tr>
        <w:trPr>
          <w:trHeight w:hRule="exact" w:val="330"/>
        </w:trPr>
        <w:tc>
          <w:tcPr>
            <w:tcW w:type="dxa" w:w="328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1.3487510383129298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Function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Placement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Reason</w:t>
            </w:r>
          </w:p>
        </w:tc>
      </w:tr>
      <w:tr>
        <w:trPr>
          <w:trHeight w:hRule="exact" w:val="500"/>
        </w:trPr>
        <w:tc>
          <w:tcPr>
            <w:tcW w:type="dxa" w:w="328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OT/ICU critical video alert under 20 ms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432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On-premises edge GPU/accelerator and local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network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Avoids WAN latency; works offline; video remains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local.</w:t>
            </w:r>
          </w:p>
        </w:tc>
      </w:tr>
      <w:tr>
        <w:trPr>
          <w:trHeight w:hRule="exact" w:val="500"/>
        </w:trPr>
        <w:tc>
          <w:tcPr>
            <w:tcW w:type="dxa" w:w="328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0.620000488617846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Ward HVAC control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Local controller with ward/plant fog gateway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Fast local response and autonomous fallback; cloud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not required.</w:t>
            </w:r>
          </w:p>
        </w:tc>
      </w:tr>
      <w:tr>
        <w:trPr>
          <w:trHeight w:hRule="exact" w:val="500"/>
        </w:trPr>
        <w:tc>
          <w:tcPr>
            <w:tcW w:type="dxa" w:w="328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Hospital-wide monthly energy/equipment analytics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Fog aggregation plus approved cloud or on-prem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analytics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Aggregates data efficiently; cloud provides scalable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historical analysis if approved.</w:t>
            </w:r>
          </w:p>
        </w:tc>
      </w:tr>
    </w:tbl>
    <w:p>
      <w:pPr>
        <w:autoSpaceDN w:val="0"/>
        <w:tabs>
          <w:tab w:pos="9358" w:val="left"/>
        </w:tabs>
        <w:autoSpaceDE w:val="0"/>
        <w:widowControl/>
        <w:spacing w:line="220" w:lineRule="exact" w:before="812" w:after="0"/>
        <w:ind w:left="0" w:right="0" w:firstLine="0"/>
        <w:jc w:val="left"/>
      </w:pPr>
      <w:r>
        <w:rPr>
          <w:spacing w:val="4.0"/>
          <w:rFonts w:ascii="Times New Roman" w:hAnsi="Times New Roman" w:eastAsia="Times New Roman" w:cs="Times New Roman"/>
          <w:b w:val="0"/>
          <w:i w:val="0"/>
          <w:color w:val="526574"/>
          <w:sz w:val="16"/>
          <w:szCs w:val="16"/>
        </w:rPr>
        <w:t xml:space="preserve">Jeeva.R | 1912260266 | ECA58 – IoE and AI Driven System </w:t>
      </w:r>
      <w:r>
        <w:t xml:space="preserve">                                                            </w:t>
      </w:r>
      <w:r>
        <w:rPr>
          <w:spacing w:val="4.0"/>
          <w:rFonts w:ascii="Times New Roman" w:hAnsi="Times New Roman" w:eastAsia="Times New Roman" w:cs="Times New Roman"/>
          <w:b w:val="0"/>
          <w:i w:val="0"/>
          <w:color w:val="526574"/>
          <w:sz w:val="16"/>
          <w:szCs w:val="16"/>
        </w:rPr>
        <w:t>Page 5</w:t>
      </w:r>
    </w:p>
    <w:p>
      <w:pPr>
        <w:sectPr>
          <w:pgSz w:w="11906" w:h="16838"/>
          <w:pgMar w:top="966" w:right="1000" w:bottom="462" w:left="1020" w:header="720" w:footer="720" w:gutter="0"/>
          <w:cols w:num="1" w:equalWidth="0">
            <w:col w:w="988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282"/>
        <w:gridCol w:w="3284"/>
        <w:gridCol w:w="3284"/>
      </w:tblGrid>
      <w:tr>
        <w:trPr>
          <w:trHeight w:hRule="exact" w:val="330"/>
        </w:trPr>
        <w:tc>
          <w:tcPr>
            <w:tcW w:type="dxa" w:w="328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1.3487510383129298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Function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Placement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Reason</w:t>
            </w:r>
          </w:p>
        </w:tc>
      </w:tr>
      <w:tr>
        <w:trPr>
          <w:trHeight w:hRule="exact" w:val="500"/>
        </w:trPr>
        <w:tc>
          <w:tcPr>
            <w:tcW w:type="dxa" w:w="328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Long-term patient trends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288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Hospital-controlled clinical database; approved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encrypted backup/analytics only</w:t>
            </w:r>
          </w:p>
        </w:tc>
        <w:tc>
          <w:tcPr>
            <w:tcW w:type="dxa" w:w="32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Access governed by clinical policy and residency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approval; preserve audit and retention rules.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0"/>
        <w:ind w:left="8" w:right="0" w:firstLine="0"/>
        <w:jc w:val="left"/>
      </w:pPr>
      <w:r>
        <w:rPr>
          <w:spacing w:val="0.26828699736367545"/>
          <w:rFonts w:ascii="Times New Roman" w:hAnsi="Times New Roman" w:eastAsia="Times New Roman" w:cs="Times New Roman"/>
          <w:b/>
          <w:bCs/>
          <w:i w:val="0"/>
          <w:color w:val="245B78"/>
          <w:sz w:val="22"/>
          <w:szCs w:val="22"/>
        </w:rPr>
        <w:t>4.3 Three-tier Edge–Fog–Cloud architecture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652780</wp:posOffset>
                </wp:positionH>
                <wp:positionV relativeFrom="page">
                  <wp:posOffset>7708900</wp:posOffset>
                </wp:positionV>
                <wp:extent cx="6254750" cy="317500"/>
                <wp:wrapNone/>
                <wp:docPr id="16" name="Text Box 1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4750" cy="317500"/>
                        </a:xfrm>
                        <a:prstGeom prst="rect"/>
                        <a:solidFill>
                          <a:srgbClr val="dbe9f4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652780</wp:posOffset>
                </wp:positionH>
                <wp:positionV relativeFrom="page">
                  <wp:posOffset>3619500</wp:posOffset>
                </wp:positionV>
                <wp:extent cx="6254750" cy="209550"/>
                <wp:wrapNone/>
                <wp:docPr id="17" name="Text Box 1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4750" cy="209550"/>
                        </a:xfrm>
                        <a:prstGeom prst="rect"/>
                        <a:solidFill>
                          <a:srgbClr val="dbe9f4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652780</wp:posOffset>
                </wp:positionH>
                <wp:positionV relativeFrom="page">
                  <wp:posOffset>615950</wp:posOffset>
                </wp:positionV>
                <wp:extent cx="6254750" cy="209550"/>
                <wp:wrapNone/>
                <wp:docPr id="18" name="Text Box 1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4750" cy="209550"/>
                        </a:xfrm>
                        <a:prstGeom prst="rect"/>
                        <a:solidFill>
                          <a:srgbClr val="dbe9f4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641350</wp:posOffset>
                </wp:positionH>
                <wp:positionV relativeFrom="page">
                  <wp:posOffset>10181590</wp:posOffset>
                </wp:positionV>
                <wp:extent cx="6277609" cy="12700"/>
                <wp:wrapNone/>
                <wp:docPr id="19" name="Text Box 1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7609" cy="12700"/>
                        </a:xfrm>
                        <a:prstGeom prst="rect"/>
                        <a:solidFill>
                          <a:srgbClr val="b6c8d3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180" w:lineRule="exact" w:before="62" w:after="0"/>
        <w:ind w:left="57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4"/>
          <w:szCs w:val="14"/>
        </w:rPr>
        <w:t>EDGE: cameras + local AI inference + alarm service + room controllers. Critical decisions stay local.</w:t>
      </w:r>
    </w:p>
    <w:p>
      <w:pPr>
        <w:autoSpaceDN w:val="0"/>
        <w:autoSpaceDE w:val="0"/>
        <w:widowControl/>
        <w:spacing w:line="180" w:lineRule="exact" w:before="140" w:after="0"/>
        <w:ind w:left="786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4"/>
          <w:szCs w:val="14"/>
        </w:rPr>
        <w:t>FOG: redundant ward/plant gateways + event broker + local data cache + identity/policy services.</w:t>
      </w:r>
    </w:p>
    <w:p>
      <w:pPr>
        <w:autoSpaceDN w:val="0"/>
        <w:autoSpaceDE w:val="0"/>
        <w:widowControl/>
        <w:spacing w:line="180" w:lineRule="exact" w:before="140" w:after="0"/>
        <w:ind w:left="354" w:right="0" w:firstLine="0"/>
        <w:jc w:val="left"/>
      </w:pPr>
      <w:r>
        <w:rPr>
          <w:spacing w:val="3.5"/>
          <w:rFonts w:ascii="Times New Roman" w:hAnsi="Times New Roman" w:eastAsia="Times New Roman" w:cs="Times New Roman"/>
          <w:b w:val="0"/>
          <w:i w:val="0"/>
          <w:color w:val="000000"/>
          <w:sz w:val="14"/>
          <w:szCs w:val="14"/>
        </w:rPr>
        <w:t>CLOUD / CENTRAL DATA: approved de-identified analytics, backups, fleet management and long-term reporting.</w:t>
      </w:r>
    </w:p>
    <w:p>
      <w:pPr>
        <w:autoSpaceDN w:val="0"/>
        <w:autoSpaceDE w:val="0"/>
        <w:widowControl/>
        <w:spacing w:line="240" w:lineRule="exact" w:before="116" w:after="0"/>
        <w:ind w:left="8" w:right="28" w:firstLine="0"/>
        <w:jc w:val="both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If internet fails: edge analytics and local alarms continue; fog gateways buffer events and maintain ward control; cloud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dashboards and remote support may become temporarily unavailable. After recovery, buffered data is synchronised with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duplicate-event protection. Two local edge nodes, redundant switches/power, dual paths where feasible, UPS and monitored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failover support the 99.9% critical-alert objective. The hospital must test the complete failure path; cloud availability alone cannot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establish this target.</w:t>
      </w:r>
    </w:p>
    <w:p>
      <w:pPr>
        <w:autoSpaceDN w:val="0"/>
        <w:autoSpaceDE w:val="0"/>
        <w:widowControl/>
        <w:spacing w:line="386" w:lineRule="exact" w:before="174" w:after="0"/>
        <w:ind w:left="8" w:right="0" w:firstLine="0"/>
        <w:jc w:val="left"/>
      </w:pPr>
      <w:r>
        <w:rPr>
          <w:spacing w:val="-0.3909462031565394"/>
          <w:rFonts w:ascii="Times New Roman" w:hAnsi="Times New Roman" w:eastAsia="Times New Roman" w:cs="Times New Roman"/>
          <w:b/>
          <w:bCs/>
          <w:i w:val="0"/>
          <w:color w:val="163A5F"/>
          <w:sz w:val="28"/>
          <w:szCs w:val="28"/>
        </w:rPr>
        <w:t>Stage 5 – Communication Network Design</w:t>
      </w:r>
    </w:p>
    <w:p>
      <w:pPr>
        <w:autoSpaceDN w:val="0"/>
        <w:autoSpaceDE w:val="0"/>
        <w:widowControl/>
        <w:spacing w:line="304" w:lineRule="exact" w:before="98" w:after="48"/>
        <w:ind w:left="8" w:right="0" w:firstLine="0"/>
        <w:jc w:val="left"/>
      </w:pPr>
      <w:r>
        <w:rPr>
          <w:spacing w:val="2.066961412429805"/>
          <w:rFonts w:ascii="Times New Roman" w:hAnsi="Times New Roman" w:eastAsia="Times New Roman" w:cs="Times New Roman"/>
          <w:b/>
          <w:bCs/>
          <w:i w:val="0"/>
          <w:color w:val="245B78"/>
          <w:sz w:val="22"/>
          <w:szCs w:val="22"/>
        </w:rPr>
        <w:t>5.1 Technology comparison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970"/>
        <w:gridCol w:w="1970"/>
        <w:gridCol w:w="1970"/>
        <w:gridCol w:w="1970"/>
        <w:gridCol w:w="1970"/>
      </w:tblGrid>
      <w:tr>
        <w:trPr>
          <w:trHeight w:hRule="exact" w:val="330"/>
        </w:trPr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Technology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Range / rate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Power and topology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Spectrum / coverage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Best fit and limitation</w:t>
            </w:r>
          </w:p>
        </w:tc>
      </w:tr>
      <w:tr>
        <w:trPr>
          <w:trHeight w:hRule="exact" w:val="840"/>
        </w:trPr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Wi-Fi (802.11)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576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Room/building; high </w:t>
            </w:r>
            <w:r>
              <w:rPr>
                <w:spacing w:val="1.781001091003418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throughput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Moderate/high power; star via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APs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576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Unlicensed; coverage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affected by walls and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congestion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Cameras, managed phones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and high-rate clinical traffic;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poor choice for tiny sensors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needing years of battery.</w:t>
            </w:r>
          </w:p>
        </w:tc>
      </w:tr>
      <w:tr>
        <w:trPr>
          <w:trHeight w:hRule="exact" w:val="840"/>
        </w:trPr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-1.376666108767163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BLE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Room/zone; low-to-moderate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data rate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0" w:right="432" w:firstLine="0"/>
              <w:jc w:val="center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Very low power; star or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beacon-based location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2.4 GHz unlicensed; affected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by interference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Wearables to nurse phones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and equipment zone location;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not a guarantee of precise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location.</w:t>
            </w:r>
          </w:p>
        </w:tc>
      </w:tr>
      <w:tr>
        <w:trPr>
          <w:trHeight w:hRule="exact" w:val="670"/>
        </w:trPr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Zigbee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Building/room mesh; low data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rate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Low power; mesh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2.4 GHz or regional sub-GHz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variants; mesh helps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coverage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1.1469236360146449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Lighting and HVAC control;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requires reliable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coordinator/gateway design.</w:t>
            </w:r>
          </w:p>
        </w:tc>
      </w:tr>
      <w:tr>
        <w:trPr>
          <w:trHeight w:hRule="exact" w:val="840"/>
        </w:trPr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6LoWPAN / IEEE 802.15.4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Short-range low-rate IP mesh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Low power; mesh or star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432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Usually unlicensed;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constrained throughput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IPv6 reachability for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constrained sensors and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room controls; needs border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router and careful security.</w:t>
            </w:r>
          </w:p>
        </w:tc>
      </w:tr>
      <w:tr>
        <w:trPr>
          <w:trHeight w:hRule="exact" w:val="840"/>
        </w:trPr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-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NB-IoT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288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Wide-area cellular; small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messages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288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Low-to-moderate device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power depending on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coverage and reporting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Licensed cellular spectrum;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carrier coverage required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Remote oxygen stores and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difficult locations; recurring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service and operator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dependence.</w:t>
            </w:r>
          </w:p>
        </w:tc>
      </w:tr>
      <w:tr>
        <w:trPr>
          <w:trHeight w:hRule="exact" w:val="840"/>
        </w:trPr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-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LoRaWAN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Long range; small messages,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low data rate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Very low power; star-of-stars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through gateways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288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Unlicensed sub-GHz; site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gateway can improve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coverage</w:t>
            </w:r>
          </w:p>
        </w:tc>
        <w:tc>
          <w:tcPr>
            <w:tcW w:type="dxa" w:w="1970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Remote oxygen readings;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payload, duty-cycle and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downlink constraints; private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gateway may be needed.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0"/>
        <w:ind w:left="8" w:right="0" w:firstLine="0"/>
        <w:jc w:val="left"/>
      </w:pPr>
      <w:r>
        <w:rPr>
          <w:spacing w:val="1.408143658723142"/>
          <w:rFonts w:ascii="Times New Roman" w:hAnsi="Times New Roman" w:eastAsia="Times New Roman" w:cs="Times New Roman"/>
          <w:b/>
          <w:bCs/>
          <w:i w:val="0"/>
          <w:color w:val="245B78"/>
          <w:sz w:val="22"/>
          <w:szCs w:val="22"/>
        </w:rPr>
        <w:t>5.2 Weighted decision matrix</w:t>
      </w:r>
    </w:p>
    <w:p>
      <w:pPr>
        <w:autoSpaceDN w:val="0"/>
        <w:autoSpaceDE w:val="0"/>
        <w:widowControl/>
        <w:spacing w:line="240" w:lineRule="exact" w:before="78" w:after="90"/>
        <w:ind w:left="8" w:right="0" w:firstLine="0"/>
        <w:jc w:val="left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Weights: range/coverage 20%, power 20%, data rate 15%, topology 10%, security 15%, cost 10%, difficult-location resilience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10%. Scores 1–5 (5 best for the stated link). These are design estimates, not measured RF results.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172"/>
        <w:gridCol w:w="1084"/>
        <w:gridCol w:w="1086"/>
        <w:gridCol w:w="1084"/>
        <w:gridCol w:w="1086"/>
        <w:gridCol w:w="1084"/>
        <w:gridCol w:w="1084"/>
        <w:gridCol w:w="1086"/>
        <w:gridCol w:w="1084"/>
      </w:tblGrid>
      <w:tr>
        <w:trPr>
          <w:trHeight w:hRule="exact" w:val="500"/>
        </w:trPr>
        <w:tc>
          <w:tcPr>
            <w:tcW w:type="dxa" w:w="117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Link / candidate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Range</w:t>
            </w:r>
          </w:p>
        </w:tc>
        <w:tc>
          <w:tcPr>
            <w:tcW w:type="dxa" w:w="108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Power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Rate</w:t>
            </w:r>
          </w:p>
        </w:tc>
        <w:tc>
          <w:tcPr>
            <w:tcW w:type="dxa" w:w="108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Topology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Security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Cost</w:t>
            </w:r>
          </w:p>
        </w:tc>
        <w:tc>
          <w:tcPr>
            <w:tcW w:type="dxa" w:w="108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0.48142869983402237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Difficult site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288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Weighted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score</w:t>
            </w:r>
          </w:p>
        </w:tc>
      </w:tr>
      <w:tr>
        <w:trPr>
          <w:trHeight w:hRule="exact" w:val="670"/>
        </w:trPr>
        <w:tc>
          <w:tcPr>
            <w:tcW w:type="dxa" w:w="117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288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Wearable </w:t>
            </w:r>
            <w:r>
              <w:rPr>
                <w:w w:val="97.14285986764091"/>
                <w:rFonts w:ascii="Symbol" w:hAnsi="Symbol" w:eastAsia="Symbol" w:cs="Symbol"/>
                <w:b w:val="0"/>
                <w:i w:val="0"/>
                <w:color w:val="000000"/>
                <w:sz w:val="14"/>
                <w:szCs w:val="14"/>
              </w:rPr>
              <w:t>→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nurse phone: </w:t>
            </w:r>
            <w:r>
              <w:rPr>
                <w:spacing w:val="-1.376666108767163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BLE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3</w:t>
            </w:r>
          </w:p>
        </w:tc>
        <w:tc>
          <w:tcPr>
            <w:tcW w:type="dxa" w:w="108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5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3</w:t>
            </w:r>
          </w:p>
        </w:tc>
        <w:tc>
          <w:tcPr>
            <w:tcW w:type="dxa" w:w="108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4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4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5</w:t>
            </w:r>
          </w:p>
        </w:tc>
        <w:tc>
          <w:tcPr>
            <w:tcW w:type="dxa" w:w="108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3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3.90</w:t>
            </w:r>
          </w:p>
        </w:tc>
      </w:tr>
      <w:tr>
        <w:trPr>
          <w:trHeight w:hRule="exact" w:val="670"/>
        </w:trPr>
        <w:tc>
          <w:tcPr>
            <w:tcW w:type="dxa" w:w="117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288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Wearable </w:t>
            </w:r>
            <w:r>
              <w:rPr>
                <w:w w:val="97.14285986764091"/>
                <w:rFonts w:ascii="Symbol" w:hAnsi="Symbol" w:eastAsia="Symbol" w:cs="Symbol"/>
                <w:b w:val="0"/>
                <w:i w:val="0"/>
                <w:color w:val="000000"/>
                <w:sz w:val="14"/>
                <w:szCs w:val="14"/>
              </w:rPr>
              <w:t>→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nurse phone: </w:t>
            </w:r>
            <w:r>
              <w:rPr>
                <w:spacing w:val="-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Wi-Fi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3</w:t>
            </w:r>
          </w:p>
        </w:tc>
        <w:tc>
          <w:tcPr>
            <w:tcW w:type="dxa" w:w="108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2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5</w:t>
            </w:r>
          </w:p>
        </w:tc>
        <w:tc>
          <w:tcPr>
            <w:tcW w:type="dxa" w:w="108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3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4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3</w:t>
            </w:r>
          </w:p>
        </w:tc>
        <w:tc>
          <w:tcPr>
            <w:tcW w:type="dxa" w:w="108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3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3.25</w:t>
            </w:r>
          </w:p>
        </w:tc>
      </w:tr>
      <w:tr>
        <w:trPr>
          <w:trHeight w:hRule="exact" w:val="500"/>
        </w:trPr>
        <w:tc>
          <w:tcPr>
            <w:tcW w:type="dxa" w:w="117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Room controls: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Zigbee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4</w:t>
            </w:r>
          </w:p>
        </w:tc>
        <w:tc>
          <w:tcPr>
            <w:tcW w:type="dxa" w:w="108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5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2</w:t>
            </w:r>
          </w:p>
        </w:tc>
        <w:tc>
          <w:tcPr>
            <w:tcW w:type="dxa" w:w="108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5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4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4</w:t>
            </w:r>
          </w:p>
        </w:tc>
        <w:tc>
          <w:tcPr>
            <w:tcW w:type="dxa" w:w="108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4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4.00</w:t>
            </w:r>
          </w:p>
        </w:tc>
      </w:tr>
      <w:tr>
        <w:trPr>
          <w:trHeight w:hRule="exact" w:val="670"/>
        </w:trPr>
        <w:tc>
          <w:tcPr>
            <w:tcW w:type="dxa" w:w="117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Room controls: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802.15.4 + </w:t>
            </w:r>
            <w:r>
              <w:br/>
            </w:r>
            <w:r>
              <w:rPr>
                <w:spacing w:val="-0.5585715259824602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6LoWPAN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4</w:t>
            </w:r>
          </w:p>
        </w:tc>
        <w:tc>
          <w:tcPr>
            <w:tcW w:type="dxa" w:w="108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5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2</w:t>
            </w:r>
          </w:p>
        </w:tc>
        <w:tc>
          <w:tcPr>
            <w:tcW w:type="dxa" w:w="108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5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4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4</w:t>
            </w:r>
          </w:p>
        </w:tc>
        <w:tc>
          <w:tcPr>
            <w:tcW w:type="dxa" w:w="108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4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4.00</w:t>
            </w:r>
          </w:p>
        </w:tc>
      </w:tr>
    </w:tbl>
    <w:p>
      <w:pPr>
        <w:autoSpaceDN w:val="0"/>
        <w:tabs>
          <w:tab w:pos="9358" w:val="left"/>
        </w:tabs>
        <w:autoSpaceDE w:val="0"/>
        <w:widowControl/>
        <w:spacing w:line="220" w:lineRule="exact" w:before="982" w:after="0"/>
        <w:ind w:left="0" w:right="0" w:firstLine="0"/>
        <w:jc w:val="left"/>
      </w:pPr>
      <w:r>
        <w:rPr>
          <w:spacing w:val="4.0"/>
          <w:rFonts w:ascii="Times New Roman" w:hAnsi="Times New Roman" w:eastAsia="Times New Roman" w:cs="Times New Roman"/>
          <w:b w:val="0"/>
          <w:i w:val="0"/>
          <w:color w:val="526574"/>
          <w:sz w:val="16"/>
          <w:szCs w:val="16"/>
        </w:rPr>
        <w:t xml:space="preserve">Jeeva.R | 1912260266 | ECA58 – IoE and AI Driven System </w:t>
      </w:r>
      <w:r>
        <w:t xml:space="preserve">                                                            </w:t>
      </w:r>
      <w:r>
        <w:rPr>
          <w:spacing w:val="4.0"/>
          <w:rFonts w:ascii="Times New Roman" w:hAnsi="Times New Roman" w:eastAsia="Times New Roman" w:cs="Times New Roman"/>
          <w:b w:val="0"/>
          <w:i w:val="0"/>
          <w:color w:val="526574"/>
          <w:sz w:val="16"/>
          <w:szCs w:val="16"/>
        </w:rPr>
        <w:t>Page 6</w:t>
      </w:r>
    </w:p>
    <w:p>
      <w:pPr>
        <w:sectPr>
          <w:pgSz w:w="11906" w:h="16838"/>
          <w:pgMar w:top="966" w:right="1000" w:bottom="462" w:left="1020" w:header="720" w:footer="720" w:gutter="0"/>
          <w:cols w:num="1" w:equalWidth="0">
            <w:col w:w="988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172"/>
        <w:gridCol w:w="1084"/>
        <w:gridCol w:w="1086"/>
        <w:gridCol w:w="1084"/>
        <w:gridCol w:w="1086"/>
        <w:gridCol w:w="1084"/>
        <w:gridCol w:w="1084"/>
        <w:gridCol w:w="1086"/>
        <w:gridCol w:w="1084"/>
      </w:tblGrid>
      <w:tr>
        <w:trPr>
          <w:trHeight w:hRule="exact" w:val="500"/>
        </w:trPr>
        <w:tc>
          <w:tcPr>
            <w:tcW w:type="dxa" w:w="117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Link / candidate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Range</w:t>
            </w:r>
          </w:p>
        </w:tc>
        <w:tc>
          <w:tcPr>
            <w:tcW w:type="dxa" w:w="108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Power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Rate</w:t>
            </w:r>
          </w:p>
        </w:tc>
        <w:tc>
          <w:tcPr>
            <w:tcW w:type="dxa" w:w="108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Topology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Security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Cost</w:t>
            </w:r>
          </w:p>
        </w:tc>
        <w:tc>
          <w:tcPr>
            <w:tcW w:type="dxa" w:w="108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0.48142869983402237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Difficult site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288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Weighted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score</w:t>
            </w:r>
          </w:p>
        </w:tc>
      </w:tr>
      <w:tr>
        <w:trPr>
          <w:trHeight w:hRule="exact" w:val="500"/>
        </w:trPr>
        <w:tc>
          <w:tcPr>
            <w:tcW w:type="dxa" w:w="117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Remote oxygen: </w:t>
            </w:r>
            <w:r>
              <w:rPr>
                <w:spacing w:val="-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LoRaWAN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5</w:t>
            </w:r>
          </w:p>
        </w:tc>
        <w:tc>
          <w:tcPr>
            <w:tcW w:type="dxa" w:w="108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5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1</w:t>
            </w:r>
          </w:p>
        </w:tc>
        <w:tc>
          <w:tcPr>
            <w:tcW w:type="dxa" w:w="108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4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4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4</w:t>
            </w:r>
          </w:p>
        </w:tc>
        <w:tc>
          <w:tcPr>
            <w:tcW w:type="dxa" w:w="108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5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4.05</w:t>
            </w:r>
          </w:p>
        </w:tc>
      </w:tr>
      <w:tr>
        <w:trPr>
          <w:trHeight w:hRule="exact" w:val="500"/>
        </w:trPr>
        <w:tc>
          <w:tcPr>
            <w:tcW w:type="dxa" w:w="117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Remote oxygen: </w:t>
            </w:r>
            <w:r>
              <w:rPr>
                <w:spacing w:val="-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NB-IoT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5</w:t>
            </w:r>
          </w:p>
        </w:tc>
        <w:tc>
          <w:tcPr>
            <w:tcW w:type="dxa" w:w="108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3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2</w:t>
            </w:r>
          </w:p>
        </w:tc>
        <w:tc>
          <w:tcPr>
            <w:tcW w:type="dxa" w:w="108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4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5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3</w:t>
            </w:r>
          </w:p>
        </w:tc>
        <w:tc>
          <w:tcPr>
            <w:tcW w:type="dxa" w:w="108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4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3.85</w:t>
            </w:r>
          </w:p>
        </w:tc>
      </w:tr>
      <w:tr>
        <w:trPr>
          <w:trHeight w:hRule="exact" w:val="500"/>
        </w:trPr>
        <w:tc>
          <w:tcPr>
            <w:tcW w:type="dxa" w:w="117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Basement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meters: Wi-Fi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2</w:t>
            </w:r>
          </w:p>
        </w:tc>
        <w:tc>
          <w:tcPr>
            <w:tcW w:type="dxa" w:w="108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2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5</w:t>
            </w:r>
          </w:p>
        </w:tc>
        <w:tc>
          <w:tcPr>
            <w:tcW w:type="dxa" w:w="108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3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4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4</w:t>
            </w:r>
          </w:p>
        </w:tc>
        <w:tc>
          <w:tcPr>
            <w:tcW w:type="dxa" w:w="108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2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3.05</w:t>
            </w:r>
          </w:p>
        </w:tc>
      </w:tr>
      <w:tr>
        <w:trPr>
          <w:trHeight w:hRule="exact" w:val="840"/>
        </w:trPr>
        <w:tc>
          <w:tcPr>
            <w:tcW w:type="dxa" w:w="117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Basement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meters: wired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Ethernet/RS-485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gateway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4</w:t>
            </w:r>
          </w:p>
        </w:tc>
        <w:tc>
          <w:tcPr>
            <w:tcW w:type="dxa" w:w="108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4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3</w:t>
            </w:r>
          </w:p>
        </w:tc>
        <w:tc>
          <w:tcPr>
            <w:tcW w:type="dxa" w:w="108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4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5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4</w:t>
            </w:r>
          </w:p>
        </w:tc>
        <w:tc>
          <w:tcPr>
            <w:tcW w:type="dxa" w:w="108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5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4.15</w:t>
            </w:r>
          </w:p>
        </w:tc>
      </w:tr>
      <w:tr>
        <w:trPr>
          <w:trHeight w:hRule="exact" w:val="670"/>
        </w:trPr>
        <w:tc>
          <w:tcPr>
            <w:tcW w:type="dxa" w:w="117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-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OT/ICU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cameras: wired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Ethernet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5</w:t>
            </w:r>
          </w:p>
        </w:tc>
        <w:tc>
          <w:tcPr>
            <w:tcW w:type="dxa" w:w="108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2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5</w:t>
            </w:r>
          </w:p>
        </w:tc>
        <w:tc>
          <w:tcPr>
            <w:tcW w:type="dxa" w:w="108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5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5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3</w:t>
            </w:r>
          </w:p>
        </w:tc>
        <w:tc>
          <w:tcPr>
            <w:tcW w:type="dxa" w:w="108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5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4.30</w:t>
            </w:r>
          </w:p>
        </w:tc>
      </w:tr>
      <w:tr>
        <w:trPr>
          <w:trHeight w:hRule="exact" w:val="500"/>
        </w:trPr>
        <w:tc>
          <w:tcPr>
            <w:tcW w:type="dxa" w:w="117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-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OT/ICU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cameras: Wi-Fi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3</w:t>
            </w:r>
          </w:p>
        </w:tc>
        <w:tc>
          <w:tcPr>
            <w:tcW w:type="dxa" w:w="108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2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5</w:t>
            </w:r>
          </w:p>
        </w:tc>
        <w:tc>
          <w:tcPr>
            <w:tcW w:type="dxa" w:w="108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3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4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3</w:t>
            </w:r>
          </w:p>
        </w:tc>
        <w:tc>
          <w:tcPr>
            <w:tcW w:type="dxa" w:w="108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3</w:t>
            </w:r>
          </w:p>
        </w:tc>
        <w:tc>
          <w:tcPr>
            <w:tcW w:type="dxa" w:w="108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3.25</w:t>
            </w:r>
          </w:p>
        </w:tc>
      </w:tr>
    </w:tbl>
    <w:p>
      <w:pPr>
        <w:autoSpaceDN w:val="0"/>
        <w:autoSpaceDE w:val="0"/>
        <w:widowControl/>
        <w:spacing w:line="240" w:lineRule="exact" w:before="202" w:after="0"/>
        <w:ind w:left="8" w:right="28" w:firstLine="0"/>
        <w:jc w:val="both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Selected links: BLE for wearables; Zigbee or 802.15.4 mesh for room control after interoperability testing; LoRaWAN for low-rate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remote oxygen sensors if a reliable private gateway can cover the 4 km site; wired Ethernet/RS-485 gateway for basement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meters; wired Ethernet for OT/ICU cameras. Wi-Fi remains available for mobile devices and secondary coverage.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652780</wp:posOffset>
                </wp:positionH>
                <wp:positionV relativeFrom="page">
                  <wp:posOffset>615950</wp:posOffset>
                </wp:positionV>
                <wp:extent cx="6254750" cy="317500"/>
                <wp:wrapNone/>
                <wp:docPr id="20" name="Text Box 2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4750" cy="317500"/>
                        </a:xfrm>
                        <a:prstGeom prst="rect"/>
                        <a:solidFill>
                          <a:srgbClr val="dbe9f4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641350</wp:posOffset>
                </wp:positionH>
                <wp:positionV relativeFrom="page">
                  <wp:posOffset>10181590</wp:posOffset>
                </wp:positionV>
                <wp:extent cx="6277609" cy="12700"/>
                <wp:wrapNone/>
                <wp:docPr id="21" name="Text Box 2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7609" cy="12700"/>
                        </a:xfrm>
                        <a:prstGeom prst="rect"/>
                        <a:solidFill>
                          <a:srgbClr val="b6c8d3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304" w:lineRule="exact" w:before="118" w:after="0"/>
        <w:ind w:left="8" w:right="0" w:firstLine="0"/>
        <w:jc w:val="left"/>
      </w:pPr>
      <w:r>
        <w:rPr>
          <w:spacing w:val="0.14953195769338734"/>
          <w:rFonts w:ascii="Times New Roman" w:hAnsi="Times New Roman" w:eastAsia="Times New Roman" w:cs="Times New Roman"/>
          <w:b/>
          <w:bCs/>
          <w:i w:val="0"/>
          <w:color w:val="245B78"/>
          <w:sz w:val="22"/>
          <w:szCs w:val="22"/>
        </w:rPr>
        <w:t>5.3 LoRaWAN versus NB-IoT for remote sensors and basement meters</w:t>
      </w:r>
    </w:p>
    <w:p>
      <w:pPr>
        <w:autoSpaceDN w:val="0"/>
        <w:autoSpaceDE w:val="0"/>
        <w:widowControl/>
        <w:spacing w:line="240" w:lineRule="exact" w:before="78" w:after="0"/>
        <w:ind w:left="8" w:right="28" w:firstLine="0"/>
        <w:jc w:val="both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For remote oxygen sensors, LoRaWAN can provide multi-year battery life and private coverage without a per-device cellular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subscription, provided a site survey confirms link margin and local gateway/backhaul resilience. NB-IoT is preferable if cellular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coverage is proven, managed operator service is desired, and the operator's service, security and cost terms are acceptable.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For basement meters, first prefer wired Ethernet or RS-485 where installation is feasible because it avoids uncertain radio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propagation. If wireless is required, NB-IoT may penetrate difficult locations better in some deployments, while LoRaWAN can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be attractive with a well-placed gateway. The decision changes if the survey shows poor LoRa coverage, a carrier offers verified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indoor coverage, local regulations constrain LoRaWAN use, or service cost/availability changes.</w:t>
      </w:r>
    </w:p>
    <w:p>
      <w:pPr>
        <w:autoSpaceDN w:val="0"/>
        <w:autoSpaceDE w:val="0"/>
        <w:widowControl/>
        <w:spacing w:line="304" w:lineRule="exact" w:before="118" w:after="0"/>
        <w:ind w:left="8" w:right="0" w:firstLine="0"/>
        <w:jc w:val="left"/>
      </w:pPr>
      <w:r>
        <w:rPr>
          <w:spacing w:val="-0.19795782367390063"/>
          <w:rFonts w:ascii="Times New Roman" w:hAnsi="Times New Roman" w:eastAsia="Times New Roman" w:cs="Times New Roman"/>
          <w:b/>
          <w:bCs/>
          <w:i w:val="0"/>
          <w:color w:val="245B78"/>
          <w:sz w:val="22"/>
          <w:szCs w:val="22"/>
        </w:rPr>
        <w:t>5.4 Five-year battery-life estimate for link (c)</w:t>
      </w:r>
    </w:p>
    <w:p>
      <w:pPr>
        <w:autoSpaceDN w:val="0"/>
        <w:autoSpaceDE w:val="0"/>
        <w:widowControl/>
        <w:spacing w:line="240" w:lineRule="exact" w:before="78" w:after="0"/>
        <w:ind w:left="8" w:right="28" w:firstLine="0"/>
        <w:jc w:val="both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Assume a 3.6 V, 19 Ah primary lithium battery; 24 reports per day; 20-byte payload; 2 seconds of radio activity per report at 40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mA; sleep current 0.015 mA; and 20% reserve for self-discharge, retransmissions and cold conditions. Daily radio charge = 24 ×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2 s × 40 mA / 3600 = 0.533 mAh/day. Sleep charge = 0.015 mA × 24 h = 0.360 mAh/day. Total = 0.893 mAh/day. Five-year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consumption = 0.893 × 365 × 5 = 1,630 mAh. With a 20% reserve, planned capacity is about 1,956 mAh, well below 19,000 </w:t>
      </w:r>
      <w:r>
        <w:rPr>
          <w:spacing w:val="-1.2225010842084671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mAh.</w:t>
      </w:r>
    </w:p>
    <w:p>
      <w:pPr>
        <w:autoSpaceDN w:val="0"/>
        <w:autoSpaceDE w:val="0"/>
        <w:widowControl/>
        <w:spacing w:line="240" w:lineRule="exact" w:before="100" w:after="0"/>
        <w:ind w:left="8" w:right="28" w:firstLine="0"/>
        <w:jc w:val="both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This simplified estimate suggests the five-year target is feasible, but it excludes sensor current, poor signal retries, battery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derating and actual radio duty cycle. Include the pressure sensor's average current in the final calculation, test at the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weakest-signal store and monitor battery state. If life is inadequate, reduce reporting frequency when safe, use adaptive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reporting, improve gateway placement or increase battery capacity.</w:t>
      </w:r>
    </w:p>
    <w:p>
      <w:pPr>
        <w:autoSpaceDN w:val="0"/>
        <w:autoSpaceDE w:val="0"/>
        <w:widowControl/>
        <w:spacing w:line="304" w:lineRule="exact" w:before="118" w:after="0"/>
        <w:ind w:left="8" w:right="0" w:firstLine="0"/>
        <w:jc w:val="left"/>
      </w:pPr>
      <w:r>
        <w:rPr>
          <w:spacing w:val="-2.418340796377612"/>
          <w:rFonts w:ascii="Times New Roman" w:hAnsi="Times New Roman" w:eastAsia="Times New Roman" w:cs="Times New Roman"/>
          <w:b/>
          <w:bCs/>
          <w:i w:val="0"/>
          <w:color w:val="245B78"/>
          <w:sz w:val="22"/>
          <w:szCs w:val="22"/>
        </w:rPr>
        <w:t>5.5 Role of 6LoWPAN and complete topology</w:t>
      </w:r>
    </w:p>
    <w:p>
      <w:pPr>
        <w:autoSpaceDN w:val="0"/>
        <w:autoSpaceDE w:val="0"/>
        <w:widowControl/>
        <w:spacing w:line="240" w:lineRule="exact" w:before="78" w:after="0"/>
        <w:ind w:left="8" w:right="28" w:firstLine="0"/>
        <w:jc w:val="both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IEEE 802.15.4 defines a low-rate wireless physical/MAC link; 6LoWPAN adapts IPv6 packets to constrained links. It is useful for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room sensors that benefit from IP addressability and standard routing, but adds configuration and security-management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complexity. Use it for selected constrained room-control nodes if the chosen products support interoperable IPv6 and secure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commissioning; do not use it for high-resolution video.</w:t>
      </w:r>
    </w:p>
    <w:p>
      <w:pPr>
        <w:autoSpaceDN w:val="0"/>
        <w:autoSpaceDE w:val="0"/>
        <w:widowControl/>
        <w:spacing w:line="240" w:lineRule="exact" w:before="100" w:after="0"/>
        <w:ind w:left="8" w:right="28" w:firstLine="0"/>
        <w:jc w:val="both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Topology: NFC phone taps and RFID portals connect to secured access/clinical services; BLE wearables connect to managed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nurse phones; room sensors/actuators form Zigbee/802.15.4 mesh to redundant ward gateways; oxygen sensors connect by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LoRaWAN to a gateway at the remote site and secured backhaul to the hospital; basement meters use RS-485/Ethernet to plant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gateways; cameras connect by wired Ethernet to redundant local edge switches and AI servers. Gateways connect over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redundant segmented hospital Ethernet to fog services and approved cloud connections.</w:t>
      </w:r>
    </w:p>
    <w:p>
      <w:pPr>
        <w:autoSpaceDN w:val="0"/>
        <w:autoSpaceDE w:val="0"/>
        <w:widowControl/>
        <w:spacing w:line="240" w:lineRule="exact" w:before="100" w:after="0"/>
        <w:ind w:left="8" w:right="0" w:firstLine="0"/>
        <w:jc w:val="left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Single point of failure: one central network switch. Remove it with redundant core switches, dual uplinks, redundant power and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tested automatic failover. Keep local safety control independent of the core network.</w:t>
      </w:r>
    </w:p>
    <w:p>
      <w:pPr>
        <w:autoSpaceDN w:val="0"/>
        <w:autoSpaceDE w:val="0"/>
        <w:widowControl/>
        <w:spacing w:line="386" w:lineRule="exact" w:before="174" w:after="0"/>
        <w:ind w:left="8" w:right="0" w:firstLine="0"/>
        <w:jc w:val="left"/>
      </w:pPr>
      <w:r>
        <w:rPr>
          <w:spacing w:val="-1.2019119755081458"/>
          <w:rFonts w:ascii="Times New Roman" w:hAnsi="Times New Roman" w:eastAsia="Times New Roman" w:cs="Times New Roman"/>
          <w:b/>
          <w:bCs/>
          <w:i w:val="0"/>
          <w:color w:val="163A5F"/>
          <w:sz w:val="28"/>
          <w:szCs w:val="28"/>
        </w:rPr>
        <w:t>Stage 6 – 5G/6G Impact and Integrated Solution</w:t>
      </w:r>
    </w:p>
    <w:p>
      <w:pPr>
        <w:autoSpaceDN w:val="0"/>
        <w:autoSpaceDE w:val="0"/>
        <w:widowControl/>
        <w:spacing w:line="304" w:lineRule="exact" w:before="98" w:after="0"/>
        <w:ind w:left="8" w:right="0" w:firstLine="0"/>
        <w:jc w:val="left"/>
      </w:pPr>
      <w:r>
        <w:rPr>
          <w:spacing w:val="-2.9506661516648833"/>
          <w:rFonts w:ascii="Times New Roman" w:hAnsi="Times New Roman" w:eastAsia="Times New Roman" w:cs="Times New Roman"/>
          <w:b/>
          <w:bCs/>
          <w:i w:val="0"/>
          <w:color w:val="245B78"/>
          <w:sz w:val="22"/>
          <w:szCs w:val="22"/>
        </w:rPr>
        <w:t>6.1 Evaluation of 5G and 6G</w:t>
      </w:r>
    </w:p>
    <w:p>
      <w:pPr>
        <w:autoSpaceDN w:val="0"/>
        <w:tabs>
          <w:tab w:pos="9358" w:val="left"/>
        </w:tabs>
        <w:autoSpaceDE w:val="0"/>
        <w:widowControl/>
        <w:spacing w:line="220" w:lineRule="exact" w:before="748" w:after="0"/>
        <w:ind w:left="0" w:right="0" w:firstLine="0"/>
        <w:jc w:val="left"/>
      </w:pPr>
      <w:r>
        <w:rPr>
          <w:spacing w:val="4.0"/>
          <w:rFonts w:ascii="Times New Roman" w:hAnsi="Times New Roman" w:eastAsia="Times New Roman" w:cs="Times New Roman"/>
          <w:b w:val="0"/>
          <w:i w:val="0"/>
          <w:color w:val="526574"/>
          <w:sz w:val="16"/>
          <w:szCs w:val="16"/>
        </w:rPr>
        <w:t xml:space="preserve">Jeeva.R | 1912260266 | ECA58 – IoE and AI Driven System </w:t>
      </w:r>
      <w:r>
        <w:t xml:space="preserve">                                                            </w:t>
      </w:r>
      <w:r>
        <w:rPr>
          <w:spacing w:val="4.0"/>
          <w:rFonts w:ascii="Times New Roman" w:hAnsi="Times New Roman" w:eastAsia="Times New Roman" w:cs="Times New Roman"/>
          <w:b w:val="0"/>
          <w:i w:val="0"/>
          <w:color w:val="526574"/>
          <w:sz w:val="16"/>
          <w:szCs w:val="16"/>
        </w:rPr>
        <w:t>Page 7</w:t>
      </w:r>
    </w:p>
    <w:p>
      <w:pPr>
        <w:sectPr>
          <w:pgSz w:w="11906" w:h="16838"/>
          <w:pgMar w:top="966" w:right="1000" w:bottom="462" w:left="1020" w:header="720" w:footer="720" w:gutter="0"/>
          <w:cols w:num="1" w:equalWidth="0">
            <w:col w:w="988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8" w:right="28" w:firstLine="0"/>
        <w:jc w:val="both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5G eMBB can carry high-resolution tele-ICU video and rich clinical collaboration; URLLC aims at low latency and high reliability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in suitable engineered deployments; mMTC supports large populations of low-rate connected sensors. Real performance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depends on radio coverage, network configuration, device support, congestion, and end-to-end application design. A 5G link by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itself does not guarantee a sub-20 ms alarm or safe remote procedure. Keep critical alarms local and use 5G as an additional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communication path.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652780</wp:posOffset>
                </wp:positionH>
                <wp:positionV relativeFrom="page">
                  <wp:posOffset>7042150</wp:posOffset>
                </wp:positionV>
                <wp:extent cx="6254750" cy="209550"/>
                <wp:wrapNone/>
                <wp:docPr id="22" name="Text Box 2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4750" cy="209550"/>
                        </a:xfrm>
                        <a:prstGeom prst="rect"/>
                        <a:solidFill>
                          <a:srgbClr val="dbe9f4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652780</wp:posOffset>
                </wp:positionH>
                <wp:positionV relativeFrom="page">
                  <wp:posOffset>2381250</wp:posOffset>
                </wp:positionV>
                <wp:extent cx="6254750" cy="209550"/>
                <wp:wrapNone/>
                <wp:docPr id="23" name="Text Box 2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4750" cy="209550"/>
                        </a:xfrm>
                        <a:prstGeom prst="rect"/>
                        <a:solidFill>
                          <a:srgbClr val="dbe9f4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641350</wp:posOffset>
                </wp:positionH>
                <wp:positionV relativeFrom="page">
                  <wp:posOffset>10181590</wp:posOffset>
                </wp:positionV>
                <wp:extent cx="6277609" cy="12700"/>
                <wp:wrapNone/>
                <wp:docPr id="24" name="Text Box 2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7609" cy="12700"/>
                        </a:xfrm>
                        <a:prstGeom prst="rect"/>
                        <a:solidFill>
                          <a:srgbClr val="b6c8d3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240" w:lineRule="exact" w:before="100" w:after="0"/>
        <w:ind w:left="8" w:right="28" w:firstLine="0"/>
        <w:jc w:val="both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Within five years, private or managed 5G for tele-ICU, mobile clinical video and selected remote-assistance trials is plausible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where coverage and governance are verified. 6G concepts such as sub-THz operation, AI-native networks and integrated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sensing/communication are promising but speculative for a production hospital roadmap. Design for upgradeability rather than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depending on these features.</w:t>
      </w:r>
    </w:p>
    <w:p>
      <w:pPr>
        <w:autoSpaceDN w:val="0"/>
        <w:autoSpaceDE w:val="0"/>
        <w:widowControl/>
        <w:spacing w:line="304" w:lineRule="exact" w:before="118" w:after="48"/>
        <w:ind w:left="8" w:right="0" w:firstLine="0"/>
        <w:jc w:val="left"/>
      </w:pPr>
      <w:r>
        <w:rPr>
          <w:spacing w:val="2.2682237095303037"/>
          <w:rFonts w:ascii="Times New Roman" w:hAnsi="Times New Roman" w:eastAsia="Times New Roman" w:cs="Times New Roman"/>
          <w:b/>
          <w:bCs/>
          <w:i w:val="0"/>
          <w:color w:val="245B78"/>
          <w:sz w:val="22"/>
          <w:szCs w:val="22"/>
        </w:rPr>
        <w:t>6.2 Phased roadmap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462"/>
        <w:gridCol w:w="2462"/>
        <w:gridCol w:w="2464"/>
        <w:gridCol w:w="2462"/>
      </w:tblGrid>
      <w:tr>
        <w:trPr>
          <w:trHeight w:hRule="exact" w:val="330"/>
        </w:trPr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Phase</w:t>
            </w:r>
          </w:p>
        </w:tc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Deployment</w:t>
            </w:r>
          </w:p>
        </w:tc>
        <w:tc>
          <w:tcPr>
            <w:tcW w:type="dxa" w:w="246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Kept upgradeable</w:t>
            </w:r>
          </w:p>
        </w:tc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1.8422229058212578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Key risk / control</w:t>
            </w:r>
          </w:p>
        </w:tc>
      </w:tr>
      <w:tr>
        <w:trPr>
          <w:trHeight w:hRule="exact" w:val="1350"/>
        </w:trPr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Phase 1 – Today</w:t>
            </w:r>
          </w:p>
        </w:tc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Inventory devices; establish identity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and data governance; install NFC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medication verification pilot, calibrated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cold-room sensors, local alarms,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wired camera/edge AI pilot,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segmented network and redundant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core.</w:t>
            </w:r>
          </w:p>
        </w:tc>
        <w:tc>
          <w:tcPr>
            <w:tcW w:type="dxa" w:w="246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Open APIs, MQTT/standard data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formats, containers, modular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gateways and vendor-neutral device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registry.</w:t>
            </w:r>
          </w:p>
        </w:tc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288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Integration and staff adoption; </w:t>
            </w:r>
            <w:r>
              <w:br/>
            </w:r>
            <w:r>
              <w:rPr>
                <w:spacing w:val="1.7094875879776958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mitigate with pilot, training, clinical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safety review and rollback plan.</w:t>
            </w:r>
          </w:p>
        </w:tc>
      </w:tr>
      <w:tr>
        <w:trPr>
          <w:trHeight w:hRule="exact" w:val="840"/>
        </w:trPr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Phase 2 – 5G</w:t>
            </w:r>
          </w:p>
        </w:tc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Add 5G coverage or private network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for tele-ICU/mobile video; test QoS,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coverage, failover and remote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specialist workflows.</w:t>
            </w:r>
          </w:p>
        </w:tc>
        <w:tc>
          <w:tcPr>
            <w:tcW w:type="dxa" w:w="246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Modular radio/network interfaces and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local clinical control independent of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5G.</w:t>
            </w:r>
          </w:p>
        </w:tc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Coverage or service-level gaps; use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site survey, backup path and no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dependence for local critical alarms.</w:t>
            </w:r>
          </w:p>
        </w:tc>
      </w:tr>
      <w:tr>
        <w:trPr>
          <w:trHeight w:hRule="exact" w:val="840"/>
        </w:trPr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Phase 3 – 6G-ready</w:t>
            </w:r>
          </w:p>
        </w:tc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Evaluate standards and trials when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mature; update radio/core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components only after validated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clinical and security testing.</w:t>
            </w:r>
          </w:p>
        </w:tc>
        <w:tc>
          <w:tcPr>
            <w:tcW w:type="dxa" w:w="246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Replaceable radio modules, </w:t>
            </w:r>
            <w:r>
              <w:br/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software-defined networking where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appropriate, standards-based APIs.</w:t>
            </w:r>
          </w:p>
        </w:tc>
        <w:tc>
          <w:tcPr>
            <w:tcW w:type="dxa" w:w="2462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Immature standards and cost; require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evidence, interoperability testing and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staged procurement.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0"/>
        <w:ind w:left="8" w:right="0" w:firstLine="0"/>
        <w:jc w:val="left"/>
      </w:pPr>
      <w:r>
        <w:rPr>
          <w:spacing w:val="1.0185195869869572"/>
          <w:rFonts w:ascii="Times New Roman" w:hAnsi="Times New Roman" w:eastAsia="Times New Roman" w:cs="Times New Roman"/>
          <w:b/>
          <w:bCs/>
          <w:i w:val="0"/>
          <w:color w:val="245B78"/>
          <w:sz w:val="22"/>
          <w:szCs w:val="22"/>
        </w:rPr>
        <w:t>6.3 Integrated architecture</w:t>
      </w:r>
    </w:p>
    <w:p>
      <w:pPr>
        <w:autoSpaceDN w:val="0"/>
        <w:autoSpaceDE w:val="0"/>
        <w:widowControl/>
        <w:spacing w:line="180" w:lineRule="exact" w:before="62" w:after="0"/>
        <w:ind w:left="1476" w:right="0" w:firstLine="0"/>
        <w:jc w:val="left"/>
      </w:pPr>
      <w:r>
        <w:rPr>
          <w:spacing w:val="3.5"/>
          <w:rFonts w:ascii="Times New Roman" w:hAnsi="Times New Roman" w:eastAsia="Times New Roman" w:cs="Times New Roman"/>
          <w:b w:val="0"/>
          <w:i w:val="0"/>
          <w:color w:val="000000"/>
          <w:sz w:val="14"/>
          <w:szCs w:val="14"/>
        </w:rPr>
        <w:t>PATIENTS / STAFF / FACILITIES: role-based identity + approved clinical workflows</w:t>
      </w:r>
    </w:p>
    <w:p>
      <w:pPr>
        <w:autoSpaceDN w:val="0"/>
        <w:autoSpaceDE w:val="0"/>
        <w:widowControl/>
        <w:spacing w:line="180" w:lineRule="exact" w:before="140" w:after="0"/>
        <w:ind w:left="484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4"/>
          <w:szCs w:val="14"/>
        </w:rPr>
        <w:t>APPLICATIONS: medication safety | nurse alerts | equipment location | cold chain | utilities | tele-ICU</w:t>
      </w:r>
    </w:p>
    <w:p>
      <w:pPr>
        <w:autoSpaceDN w:val="0"/>
        <w:autoSpaceDE w:val="0"/>
        <w:widowControl/>
        <w:spacing w:line="180" w:lineRule="exact" w:before="140" w:after="0"/>
        <w:ind w:left="1434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4"/>
          <w:szCs w:val="14"/>
        </w:rPr>
        <w:t>EDGE: on-prem video AI + local alarm controller + local cache (continues offline)</w:t>
      </w:r>
    </w:p>
    <w:p>
      <w:pPr>
        <w:autoSpaceDN w:val="0"/>
        <w:autoSpaceDE w:val="0"/>
        <w:widowControl/>
        <w:spacing w:line="180" w:lineRule="exact" w:before="140" w:after="0"/>
        <w:ind w:left="13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4"/>
          <w:szCs w:val="14"/>
        </w:rPr>
        <w:t>FOG: redundant ward/plant gateways + event broker + audit logs + policy enforcement</w:t>
      </w:r>
    </w:p>
    <w:p>
      <w:pPr>
        <w:autoSpaceDN w:val="0"/>
        <w:autoSpaceDE w:val="0"/>
        <w:widowControl/>
        <w:spacing w:line="180" w:lineRule="exact" w:before="140" w:after="0"/>
        <w:ind w:left="872" w:right="0" w:firstLine="0"/>
        <w:jc w:val="left"/>
      </w:pPr>
      <w:r>
        <w:rPr>
          <w:spacing w:val="3.5"/>
          <w:rFonts w:ascii="Times New Roman" w:hAnsi="Times New Roman" w:eastAsia="Times New Roman" w:cs="Times New Roman"/>
          <w:b w:val="0"/>
          <w:i w:val="0"/>
          <w:color w:val="000000"/>
          <w:sz w:val="14"/>
          <w:szCs w:val="14"/>
        </w:rPr>
        <w:t>NETWORK: wired Ethernet for cameras/core | Wi-Fi managed devices | BLE wearables | NFC/RFID ID</w:t>
      </w:r>
    </w:p>
    <w:p>
      <w:pPr>
        <w:autoSpaceDN w:val="0"/>
        <w:autoSpaceDE w:val="0"/>
        <w:widowControl/>
        <w:spacing w:line="180" w:lineRule="exact" w:before="140" w:after="0"/>
        <w:ind w:left="440" w:right="0" w:firstLine="0"/>
        <w:jc w:val="left"/>
      </w:pPr>
      <w:r>
        <w:rPr>
          <w:spacing w:val="3.5"/>
          <w:rFonts w:ascii="Times New Roman" w:hAnsi="Times New Roman" w:eastAsia="Times New Roman" w:cs="Times New Roman"/>
          <w:b w:val="0"/>
          <w:i w:val="0"/>
          <w:color w:val="000000"/>
          <w:sz w:val="14"/>
          <w:szCs w:val="14"/>
        </w:rPr>
        <w:t>LOW-POWER / ROOM LINKS: Zigbee/802.15.4 mesh | LoRaWAN or NB-IoT remote sensors | RS-485/Ethernet meters</w:t>
      </w:r>
    </w:p>
    <w:p>
      <w:pPr>
        <w:autoSpaceDN w:val="0"/>
        <w:autoSpaceDE w:val="0"/>
        <w:widowControl/>
        <w:spacing w:line="180" w:lineRule="exact" w:before="140" w:after="0"/>
        <w:ind w:left="1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4"/>
          <w:szCs w:val="14"/>
        </w:rPr>
        <w:t>CLOUD: approved encrypted backup + de-identified analytics + fleet reporting; external data only with approval</w:t>
      </w:r>
    </w:p>
    <w:p>
      <w:pPr>
        <w:autoSpaceDN w:val="0"/>
        <w:autoSpaceDE w:val="0"/>
        <w:widowControl/>
        <w:spacing w:line="240" w:lineRule="exact" w:before="116" w:after="0"/>
        <w:ind w:left="8" w:right="0" w:firstLine="0"/>
        <w:jc w:val="left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Feedback path: sensors </w:t>
      </w:r>
      <w:r>
        <w:rPr>
          <w:w w:val="102.35293893253102"/>
          <w:rFonts w:ascii="Symbol" w:hAnsi="Symbol" w:eastAsia="Symbol" w:cs="Symbol"/>
          <w:b w:val="0"/>
          <w:i w:val="0"/>
          <w:color w:val="000000"/>
          <w:sz w:val="17"/>
          <w:szCs w:val="17"/>
        </w:rPr>
        <w:t>→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 local rules/AI </w:t>
      </w:r>
      <w:r>
        <w:rPr>
          <w:w w:val="102.35293893253102"/>
          <w:rFonts w:ascii="Symbol" w:hAnsi="Symbol" w:eastAsia="Symbol" w:cs="Symbol"/>
          <w:b w:val="0"/>
          <w:i w:val="0"/>
          <w:color w:val="000000"/>
          <w:sz w:val="17"/>
          <w:szCs w:val="17"/>
        </w:rPr>
        <w:t>→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 authorised people </w:t>
      </w:r>
      <w:r>
        <w:rPr>
          <w:w w:val="102.35293893253102"/>
          <w:rFonts w:ascii="Symbol" w:hAnsi="Symbol" w:eastAsia="Symbol" w:cs="Symbol"/>
          <w:b w:val="0"/>
          <w:i w:val="0"/>
          <w:color w:val="000000"/>
          <w:sz w:val="17"/>
          <w:szCs w:val="17"/>
        </w:rPr>
        <w:t>→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 recorded action </w:t>
      </w:r>
      <w:r>
        <w:rPr>
          <w:w w:val="102.35293893253102"/>
          <w:rFonts w:ascii="Symbol" w:hAnsi="Symbol" w:eastAsia="Symbol" w:cs="Symbol"/>
          <w:b w:val="0"/>
          <w:i w:val="0"/>
          <w:color w:val="000000"/>
          <w:sz w:val="17"/>
          <w:szCs w:val="17"/>
        </w:rPr>
        <w:t>→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 actuator or workflow feedback. Critical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functions do not depend on cloud connectivity.</w:t>
      </w:r>
    </w:p>
    <w:p>
      <w:pPr>
        <w:autoSpaceDN w:val="0"/>
        <w:autoSpaceDE w:val="0"/>
        <w:widowControl/>
        <w:spacing w:line="304" w:lineRule="exact" w:before="118" w:after="48"/>
        <w:ind w:left="8" w:right="0" w:firstLine="0"/>
        <w:jc w:val="left"/>
      </w:pPr>
      <w:r>
        <w:rPr>
          <w:spacing w:val="-0.1864658435185902"/>
          <w:rFonts w:ascii="Times New Roman" w:hAnsi="Times New Roman" w:eastAsia="Times New Roman" w:cs="Times New Roman"/>
          <w:b/>
          <w:bCs/>
          <w:i w:val="0"/>
          <w:color w:val="245B78"/>
          <w:sz w:val="22"/>
          <w:szCs w:val="22"/>
        </w:rPr>
        <w:t>6.4 Main risks and mitigations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924"/>
        <w:gridCol w:w="4926"/>
      </w:tblGrid>
      <w:tr>
        <w:trPr>
          <w:trHeight w:hRule="exact" w:val="330"/>
        </w:trPr>
        <w:tc>
          <w:tcPr>
            <w:tcW w:type="dxa" w:w="492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1.6824999302625443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Risk</w:t>
            </w:r>
          </w:p>
        </w:tc>
        <w:tc>
          <w:tcPr>
            <w:tcW w:type="dxa" w:w="492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-1.2489997923374858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Mitigation</w:t>
            </w:r>
          </w:p>
        </w:tc>
      </w:tr>
      <w:tr>
        <w:trPr>
          <w:trHeight w:hRule="exact" w:val="500"/>
        </w:trPr>
        <w:tc>
          <w:tcPr>
            <w:tcW w:type="dxa" w:w="492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Cyberattack / ransomware</w:t>
            </w:r>
          </w:p>
        </w:tc>
        <w:tc>
          <w:tcPr>
            <w:tcW w:type="dxa" w:w="492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576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Network segmentation, device certificates, MFA, least privilege, patch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management, immutable backups, monitoring and incident drills.</w:t>
            </w:r>
          </w:p>
        </w:tc>
      </w:tr>
      <w:tr>
        <w:trPr>
          <w:trHeight w:hRule="exact" w:val="500"/>
        </w:trPr>
        <w:tc>
          <w:tcPr>
            <w:tcW w:type="dxa" w:w="492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Patient privacy breach</w:t>
            </w:r>
          </w:p>
        </w:tc>
        <w:tc>
          <w:tcPr>
            <w:tcW w:type="dxa" w:w="492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Local video analytics, data minimisation, encryption in transit/at rest, role-based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access, audit logs and approval for external transfer.</w:t>
            </w:r>
          </w:p>
        </w:tc>
      </w:tr>
      <w:tr>
        <w:trPr>
          <w:trHeight w:hRule="exact" w:val="500"/>
        </w:trPr>
        <w:tc>
          <w:tcPr>
            <w:tcW w:type="dxa" w:w="492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Interoperability / vendor lock-in</w:t>
            </w:r>
          </w:p>
        </w:tc>
        <w:tc>
          <w:tcPr>
            <w:tcW w:type="dxa" w:w="492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432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Open protocols and APIs, standard data formats, contractual data export,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portability tests and avoid proprietary dependencies in safety paths.</w:t>
            </w:r>
          </w:p>
        </w:tc>
      </w:tr>
      <w:tr>
        <w:trPr>
          <w:trHeight w:hRule="exact" w:val="500"/>
        </w:trPr>
        <w:tc>
          <w:tcPr>
            <w:tcW w:type="dxa" w:w="492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Sensor failure / false alarms</w:t>
            </w:r>
          </w:p>
        </w:tc>
        <w:tc>
          <w:tcPr>
            <w:tcW w:type="dxa" w:w="492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288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Calibration, redundant critical probes, plausibility checks, health monitoring,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local manual controls and scheduled proof tests.</w:t>
            </w:r>
          </w:p>
        </w:tc>
      </w:tr>
      <w:tr>
        <w:trPr>
          <w:trHeight w:hRule="exact" w:val="500"/>
        </w:trPr>
        <w:tc>
          <w:tcPr>
            <w:tcW w:type="dxa" w:w="492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Staff adoption / alert fatigue</w:t>
            </w:r>
          </w:p>
        </w:tc>
        <w:tc>
          <w:tcPr>
            <w:tcW w:type="dxa" w:w="492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Co-design with clinicians, training, sensible alarm thresholds, escalation policy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and periodic review of false positives.</w:t>
            </w:r>
          </w:p>
        </w:tc>
      </w:tr>
      <w:tr>
        <w:trPr>
          <w:trHeight w:hRule="exact" w:val="500"/>
        </w:trPr>
        <w:tc>
          <w:tcPr>
            <w:tcW w:type="dxa" w:w="492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Power or network outage</w:t>
            </w:r>
          </w:p>
        </w:tc>
        <w:tc>
          <w:tcPr>
            <w:tcW w:type="dxa" w:w="492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86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UPS, redundant switches and servers, local controller autonomy,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store-and-forward data and tested disaster recovery.</w:t>
            </w:r>
          </w:p>
        </w:tc>
      </w:tr>
      <w:tr>
        <w:trPr>
          <w:trHeight w:hRule="exact" w:val="500"/>
        </w:trPr>
        <w:tc>
          <w:tcPr>
            <w:tcW w:type="dxa" w:w="4924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76" w:right="0" w:firstLine="0"/>
              <w:jc w:val="left"/>
            </w:pPr>
            <w:r>
              <w:rPr>
                <w:spacing w:val="0.820000483231117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AI error / model drift</w:t>
            </w:r>
          </w:p>
        </w:tc>
        <w:tc>
          <w:tcPr>
            <w:tcW w:type="dxa" w:w="4926"/>
            <w:tcBorders>
              <w:top w:sz="2.799999952316284" w:val="single" w:color="9AAEBA"/>
              <w:bottom w:sz="2.799999952316284" w:val="single" w:color="9AAEBA"/>
              <w:left w:sz="2.799999952316284" w:val="single" w:color="9AAEBA"/>
              <w:right w:sz="2.799999952316284" w:val="single" w:color="9AAEB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84" w:after="0"/>
              <w:ind w:left="76" w:right="144" w:firstLine="0"/>
              <w:jc w:val="left"/>
            </w:pP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 xml:space="preserve">Clinical validation, human oversight, version control, performance monitoring, </w:t>
            </w:r>
            <w:r>
              <w:rPr>
                <w:spacing w:val="3.25"/>
                <w:rFonts w:ascii="Times New Roman" w:hAnsi="Times New Roman" w:eastAsia="Times New Roman" w:cs="Times New Roman"/>
                <w:b w:val="0"/>
                <w:i w:val="0"/>
                <w:color w:val="000000"/>
                <w:sz w:val="13"/>
                <w:szCs w:val="13"/>
              </w:rPr>
              <w:t>fallback rules and documented change approval.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0"/>
        <w:ind w:left="8" w:right="0" w:firstLine="0"/>
        <w:jc w:val="left"/>
      </w:pPr>
      <w:r>
        <w:rPr>
          <w:spacing w:val="-2.4428409118401437"/>
          <w:rFonts w:ascii="Times New Roman" w:hAnsi="Times New Roman" w:eastAsia="Times New Roman" w:cs="Times New Roman"/>
          <w:b/>
          <w:bCs/>
          <w:i w:val="0"/>
          <w:color w:val="245B78"/>
          <w:sz w:val="22"/>
          <w:szCs w:val="22"/>
        </w:rPr>
        <w:t>6.5 Validation plan</w:t>
      </w:r>
    </w:p>
    <w:p>
      <w:pPr>
        <w:autoSpaceDN w:val="0"/>
        <w:tabs>
          <w:tab w:pos="9358" w:val="left"/>
        </w:tabs>
        <w:autoSpaceDE w:val="0"/>
        <w:widowControl/>
        <w:spacing w:line="220" w:lineRule="exact" w:before="668" w:after="0"/>
        <w:ind w:left="0" w:right="0" w:firstLine="0"/>
        <w:jc w:val="left"/>
      </w:pPr>
      <w:r>
        <w:rPr>
          <w:spacing w:val="4.0"/>
          <w:rFonts w:ascii="Times New Roman" w:hAnsi="Times New Roman" w:eastAsia="Times New Roman" w:cs="Times New Roman"/>
          <w:b w:val="0"/>
          <w:i w:val="0"/>
          <w:color w:val="526574"/>
          <w:sz w:val="16"/>
          <w:szCs w:val="16"/>
        </w:rPr>
        <w:t xml:space="preserve">Jeeva.R | 1912260266 | ECA58 – IoE and AI Driven System </w:t>
      </w:r>
      <w:r>
        <w:t xml:space="preserve">                                                            </w:t>
      </w:r>
      <w:r>
        <w:rPr>
          <w:spacing w:val="4.0"/>
          <w:rFonts w:ascii="Times New Roman" w:hAnsi="Times New Roman" w:eastAsia="Times New Roman" w:cs="Times New Roman"/>
          <w:b w:val="0"/>
          <w:i w:val="0"/>
          <w:color w:val="526574"/>
          <w:sz w:val="16"/>
          <w:szCs w:val="16"/>
        </w:rPr>
        <w:t>Page 8</w:t>
      </w:r>
    </w:p>
    <w:p>
      <w:pPr>
        <w:sectPr>
          <w:pgSz w:w="11906" w:h="16838"/>
          <w:pgMar w:top="958" w:right="1000" w:bottom="462" w:left="1020" w:header="720" w:footer="720" w:gutter="0"/>
          <w:cols w:num="1" w:equalWidth="0">
            <w:col w:w="9886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0"/>
        <w:ind w:left="8" w:right="0" w:firstLine="0"/>
        <w:jc w:val="left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• Measure the full local critical-alert path under normal load and peak load; demonstrate under 20 ms for the defined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analytics-to-alert boundary.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641350</wp:posOffset>
                </wp:positionH>
                <wp:positionV relativeFrom="page">
                  <wp:posOffset>10181590</wp:posOffset>
                </wp:positionV>
                <wp:extent cx="6277609" cy="12700"/>
                <wp:wrapNone/>
                <wp:docPr id="25" name="Text Box 2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7609" cy="12700"/>
                        </a:xfrm>
                        <a:prstGeom prst="rect"/>
                        <a:solidFill>
                          <a:srgbClr val="b6c8d3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240" w:lineRule="exact" w:before="100" w:after="0"/>
        <w:ind w:left="8" w:right="0" w:firstLine="0"/>
        <w:jc w:val="left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• Disconnect the internet and verify local alarms, HVAC rules, cold-room backup cooling and edge analytics continue; reconnect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and confirm buffered events reconcile correctly.</w:t>
      </w:r>
    </w:p>
    <w:p>
      <w:pPr>
        <w:autoSpaceDN w:val="0"/>
        <w:autoSpaceDE w:val="0"/>
        <w:widowControl/>
        <w:spacing w:line="240" w:lineRule="exact" w:before="100" w:after="0"/>
        <w:ind w:left="8" w:right="0" w:firstLine="0"/>
        <w:jc w:val="left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• Run a 90-day pilot for equipment search time, medication verification, energy use, cold-room excursion response and user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acceptance.</w:t>
      </w:r>
    </w:p>
    <w:p>
      <w:pPr>
        <w:autoSpaceDN w:val="0"/>
        <w:autoSpaceDE w:val="0"/>
        <w:widowControl/>
        <w:spacing w:line="240" w:lineRule="exact" w:before="100" w:after="0"/>
        <w:ind w:left="8" w:right="0" w:firstLine="0"/>
        <w:jc w:val="left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• Perform penetration testing, access-control review, restore tests, gateway battery tests and radio coverage surveys at every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remote store and basement plant room.</w:t>
      </w:r>
    </w:p>
    <w:p>
      <w:pPr>
        <w:autoSpaceDN w:val="0"/>
        <w:autoSpaceDE w:val="0"/>
        <w:widowControl/>
        <w:spacing w:line="240" w:lineRule="exact" w:before="100" w:after="0"/>
        <w:ind w:left="8" w:right="0" w:firstLine="0"/>
        <w:jc w:val="left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• Report monthly availability and investigate every critical-alert failure; 99.9% availability permits about 8.76 hours of downtime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per year, so the measurement window and service boundary must be defined.</w:t>
      </w:r>
    </w:p>
    <w:p>
      <w:pPr>
        <w:autoSpaceDN w:val="0"/>
        <w:autoSpaceDE w:val="0"/>
        <w:widowControl/>
        <w:spacing w:line="386" w:lineRule="exact" w:before="174" w:after="0"/>
        <w:ind w:left="8" w:right="0" w:firstLine="0"/>
        <w:jc w:val="left"/>
      </w:pPr>
      <w:r>
        <w:rPr>
          <w:spacing w:val="-0.27047500156221477"/>
          <w:rFonts w:ascii="Times New Roman" w:hAnsi="Times New Roman" w:eastAsia="Times New Roman" w:cs="Times New Roman"/>
          <w:b/>
          <w:bCs/>
          <w:i w:val="0"/>
          <w:color w:val="163A5F"/>
          <w:sz w:val="28"/>
          <w:szCs w:val="28"/>
        </w:rPr>
        <w:t>Final Design Decision</w:t>
      </w:r>
    </w:p>
    <w:p>
      <w:pPr>
        <w:autoSpaceDN w:val="0"/>
        <w:autoSpaceDE w:val="0"/>
        <w:widowControl/>
        <w:spacing w:line="240" w:lineRule="exact" w:before="102" w:after="0"/>
        <w:ind w:left="8" w:right="28" w:firstLine="0"/>
        <w:jc w:val="both"/>
      </w:pPr>
      <w:r>
        <w:rPr>
          <w:spacing w:val="4.25"/>
          <w:rFonts w:ascii="Times New Roman" w:hAnsi="Times New Roman" w:eastAsia="Times New Roman" w:cs="Times New Roman"/>
          <w:b/>
          <w:bCs/>
          <w:i w:val="0"/>
          <w:color w:val="000000"/>
          <w:sz w:val="17"/>
          <w:szCs w:val="17"/>
        </w:rPr>
        <w:t xml:space="preserve">Recommendation: YES — approve the design for phased implementation, subject to pilot validation and clinical safety </w:t>
      </w:r>
      <w:r>
        <w:rPr>
          <w:spacing w:val="0.942112260394623"/>
          <w:rFonts w:ascii="Times New Roman" w:hAnsi="Times New Roman" w:eastAsia="Times New Roman" w:cs="Times New Roman"/>
          <w:b/>
          <w:bCs/>
          <w:i w:val="0"/>
          <w:color w:val="000000"/>
          <w:sz w:val="17"/>
          <w:szCs w:val="17"/>
        </w:rPr>
        <w:t>approval.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 The design addresses all four IoE pillars by connecting identity, data, workflows and physical devices. Local edge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processing supports the under-20 ms target and operation during internet failure; redundant infrastructure and fail-safe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controllers support the 99.9% critical-alert goal. NFC, RFID, BLE, low-power wide-area links, wired Ethernet and selected mesh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technologies are assigned according to the needs of each link rather than forcing one technology everywhere. The 5G roadmap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is realistic, while 6G is kept as an upgrade path. Approval should be conditional on radio surveys, measured battery tests,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cloud/residency review, staff training, security testing and evidence from the pilot. If any target fails, revise placement, network </w:t>
      </w:r>
      <w:r>
        <w:rPr>
          <w:spacing w:val="2.5232798984793274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redundancy or workload location before hospital-wide rollout.</w:t>
      </w:r>
    </w:p>
    <w:p>
      <w:pPr>
        <w:autoSpaceDN w:val="0"/>
        <w:autoSpaceDE w:val="0"/>
        <w:widowControl/>
        <w:spacing w:line="386" w:lineRule="exact" w:before="174" w:after="0"/>
        <w:ind w:left="8" w:right="0" w:firstLine="0"/>
        <w:jc w:val="left"/>
      </w:pPr>
      <w:r>
        <w:rPr>
          <w:spacing w:val="7.0"/>
          <w:rFonts w:ascii="Times New Roman" w:hAnsi="Times New Roman" w:eastAsia="Times New Roman" w:cs="Times New Roman"/>
          <w:b/>
          <w:bCs/>
          <w:i w:val="0"/>
          <w:color w:val="163A5F"/>
          <w:sz w:val="28"/>
          <w:szCs w:val="28"/>
        </w:rPr>
        <w:t>References</w:t>
      </w:r>
    </w:p>
    <w:p>
      <w:pPr>
        <w:autoSpaceDN w:val="0"/>
        <w:autoSpaceDE w:val="0"/>
        <w:widowControl/>
        <w:spacing w:line="238" w:lineRule="exact" w:before="102" w:after="0"/>
        <w:ind w:left="8" w:right="0" w:firstLine="0"/>
        <w:jc w:val="left"/>
      </w:pPr>
      <w:r>
        <w:rPr>
          <w:spacing w:val="2.4020007471243616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• IEEE Std 2413, Standard for an Architectural Framework for the Internet of Things (IoT).</w:t>
      </w:r>
    </w:p>
    <w:p>
      <w:pPr>
        <w:autoSpaceDN w:val="0"/>
        <w:autoSpaceDE w:val="0"/>
        <w:widowControl/>
        <w:spacing w:line="238" w:lineRule="exact" w:before="102" w:after="0"/>
        <w:ind w:left="8" w:right="0" w:firstLine="0"/>
        <w:jc w:val="left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• IEEE Std 1934, OpenFog Reference Architecture for Fog Computing.</w:t>
      </w:r>
    </w:p>
    <w:p>
      <w:pPr>
        <w:autoSpaceDN w:val="0"/>
        <w:autoSpaceDE w:val="0"/>
        <w:widowControl/>
        <w:spacing w:line="238" w:lineRule="exact" w:before="102" w:after="0"/>
        <w:ind w:left="8" w:right="0" w:firstLine="0"/>
        <w:jc w:val="left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• IEEE 802.11 family – Wireless LAN standards.</w:t>
      </w:r>
    </w:p>
    <w:p>
      <w:pPr>
        <w:autoSpaceDN w:val="0"/>
        <w:autoSpaceDE w:val="0"/>
        <w:widowControl/>
        <w:spacing w:line="238" w:lineRule="exact" w:before="102" w:after="0"/>
        <w:ind w:left="8" w:right="0" w:firstLine="0"/>
        <w:jc w:val="left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• IEEE 802.15.4 – Low-Rate Wireless Personal Area Networks.</w:t>
      </w:r>
    </w:p>
    <w:p>
      <w:pPr>
        <w:autoSpaceDN w:val="0"/>
        <w:autoSpaceDE w:val="0"/>
        <w:widowControl/>
        <w:spacing w:line="238" w:lineRule="exact" w:before="102" w:after="0"/>
        <w:ind w:left="8" w:right="0" w:firstLine="0"/>
        <w:jc w:val="left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• IETF RFC 6282 – Compression Format for IPv6 Datagrams over IEEE 802.15.4-Based Networks (6LoWPAN).</w:t>
      </w:r>
    </w:p>
    <w:p>
      <w:pPr>
        <w:autoSpaceDN w:val="0"/>
        <w:autoSpaceDE w:val="0"/>
        <w:widowControl/>
        <w:spacing w:line="238" w:lineRule="exact" w:before="102" w:after="0"/>
        <w:ind w:left="8" w:right="0" w:firstLine="0"/>
        <w:jc w:val="left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• Bluetooth Core Specification – Bluetooth Low Energy.</w:t>
      </w:r>
    </w:p>
    <w:p>
      <w:pPr>
        <w:autoSpaceDN w:val="0"/>
        <w:autoSpaceDE w:val="0"/>
        <w:widowControl/>
        <w:spacing w:line="238" w:lineRule="exact" w:before="102" w:after="0"/>
        <w:ind w:left="8" w:right="0" w:firstLine="0"/>
        <w:jc w:val="left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• LoRa Alliance, LoRaWAN specifications and regional parameters.</w:t>
      </w:r>
    </w:p>
    <w:p>
      <w:pPr>
        <w:autoSpaceDN w:val="0"/>
        <w:autoSpaceDE w:val="0"/>
        <w:widowControl/>
        <w:spacing w:line="238" w:lineRule="exact" w:before="102" w:after="0"/>
        <w:ind w:left="8" w:right="0" w:firstLine="0"/>
        <w:jc w:val="left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• 3GPP specifications for NB-IoT and 5G system capabilities.</w:t>
      </w:r>
    </w:p>
    <w:p>
      <w:pPr>
        <w:autoSpaceDN w:val="0"/>
        <w:autoSpaceDE w:val="0"/>
        <w:widowControl/>
        <w:spacing w:line="240" w:lineRule="exact" w:before="100" w:after="0"/>
        <w:ind w:left="8" w:right="0" w:firstLine="0"/>
        <w:jc w:val="left"/>
      </w:pP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 xml:space="preserve">• Hospital-specific sensor calibration, electrical safety, clinical medication, cold-chain and data-protection policies must be </w:t>
      </w:r>
      <w:r>
        <w:rPr>
          <w:spacing w:val="4.25"/>
          <w:rFonts w:ascii="Times New Roman" w:hAnsi="Times New Roman" w:eastAsia="Times New Roman" w:cs="Times New Roman"/>
          <w:b w:val="0"/>
          <w:i w:val="0"/>
          <w:color w:val="000000"/>
          <w:sz w:val="17"/>
          <w:szCs w:val="17"/>
        </w:rPr>
        <w:t>consulted during implementation.</w:t>
      </w:r>
    </w:p>
    <w:p>
      <w:pPr>
        <w:autoSpaceDN w:val="0"/>
        <w:autoSpaceDE w:val="0"/>
        <w:widowControl/>
        <w:spacing w:line="180" w:lineRule="exact" w:before="118" w:after="0"/>
        <w:ind w:left="8" w:right="0" w:firstLine="0"/>
        <w:jc w:val="left"/>
      </w:pPr>
      <w:r>
        <w:rPr>
          <w:spacing w:val="3.5"/>
          <w:rFonts w:ascii="Times New Roman" w:hAnsi="Times New Roman" w:eastAsia="Times New Roman" w:cs="Times New Roman"/>
          <w:b w:val="0"/>
          <w:i w:val="0"/>
          <w:color w:val="000000"/>
          <w:sz w:val="14"/>
          <w:szCs w:val="14"/>
        </w:rPr>
        <w:t xml:space="preserve">Note: Scores, baselines and target improvements in this report are explicit engineering assumptions for the assignment. They should be validated against the </w:t>
      </w:r>
      <w:r>
        <w:rPr>
          <w:spacing w:val="3.5"/>
          <w:rFonts w:ascii="Times New Roman" w:hAnsi="Times New Roman" w:eastAsia="Times New Roman" w:cs="Times New Roman"/>
          <w:b w:val="0"/>
          <w:i w:val="0"/>
          <w:color w:val="000000"/>
          <w:sz w:val="14"/>
          <w:szCs w:val="14"/>
        </w:rPr>
        <w:t>hospital site, clinical policies, vendor specifications and measured pilot data.</w:t>
      </w:r>
    </w:p>
    <w:p>
      <w:pPr>
        <w:autoSpaceDN w:val="0"/>
        <w:tabs>
          <w:tab w:pos="9358" w:val="left"/>
        </w:tabs>
        <w:autoSpaceDE w:val="0"/>
        <w:widowControl/>
        <w:spacing w:line="220" w:lineRule="exact" w:before="5122" w:after="0"/>
        <w:ind w:left="0" w:right="0" w:firstLine="0"/>
        <w:jc w:val="left"/>
      </w:pPr>
      <w:r>
        <w:rPr>
          <w:spacing w:val="4.0"/>
          <w:rFonts w:ascii="Times New Roman" w:hAnsi="Times New Roman" w:eastAsia="Times New Roman" w:cs="Times New Roman"/>
          <w:b w:val="0"/>
          <w:i w:val="0"/>
          <w:color w:val="526574"/>
          <w:sz w:val="16"/>
          <w:szCs w:val="16"/>
        </w:rPr>
        <w:t xml:space="preserve">Jeeva.R | 1912260266 | ECA58 – IoE and AI Driven System </w:t>
      </w:r>
      <w:r>
        <w:t xml:space="preserve">                                                            </w:t>
      </w:r>
      <w:r>
        <w:rPr>
          <w:spacing w:val="4.0"/>
          <w:rFonts w:ascii="Times New Roman" w:hAnsi="Times New Roman" w:eastAsia="Times New Roman" w:cs="Times New Roman"/>
          <w:b w:val="0"/>
          <w:i w:val="0"/>
          <w:color w:val="526574"/>
          <w:sz w:val="16"/>
          <w:szCs w:val="16"/>
        </w:rPr>
        <w:t>Page 9</w:t>
      </w:r>
    </w:p>
    <w:sectPr w:rsidR="00FC693F" w:rsidRPr="0006063C" w:rsidSect="00034616">
      <w:pgSz w:w="11906" w:h="16838"/>
      <w:pgMar w:top="958" w:right="1000" w:bottom="462" w:left="1020" w:header="720" w:footer="720" w:gutter="0"/>
      <w:cols w:num="1" w:equalWidth="0">
        <w:col w:w="9886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