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Data Flow Diagram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2 Marks</w:t>
      </w:r>
    </w:p>
    <w:p>
      <w:pPr>
        <w:pStyle w:val="Heading1"/>
      </w:pPr>
      <w:r>
        <w:t>DFD – Level 0 / Context</w:t>
      </w:r>
    </w:p>
    <w:p>
      <w:r>
        <w:t>User → LegalEase Frontend → FastAPI Backend → Gemini AI Service → Generated Legal Document → Frontend → User</w:t>
      </w:r>
    </w:p>
    <w:p>
      <w:pPr>
        <w:pStyle w:val="Heading1"/>
      </w:pPr>
      <w:r>
        <w:t>DFD – Level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520"/>
            <w:vAlign w:val="center"/>
          </w:tcPr>
          <w:p>
            <w:r>
              <w:t>1. Collect Inputs</w:t>
            </w:r>
          </w:p>
        </w:tc>
        <w:tc>
          <w:tcPr>
            <w:tcW w:type="dxa" w:w="2520"/>
            <w:vAlign w:val="center"/>
          </w:tcPr>
          <w:p>
            <w:r>
              <w:t>Document type, parties, terms, dates</w:t>
            </w:r>
          </w:p>
        </w:tc>
        <w:tc>
          <w:tcPr>
            <w:tcW w:type="dxa" w:w="2520"/>
            <w:vAlign w:val="center"/>
          </w:tcPr>
          <w:p>
            <w:r>
              <w:t>Validate and prepare request</w:t>
            </w:r>
          </w:p>
        </w:tc>
        <w:tc>
          <w:tcPr>
            <w:tcW w:type="dxa" w:w="2520"/>
            <w:vAlign w:val="center"/>
          </w:tcPr>
          <w:p>
            <w:r>
              <w:t>Structured document request</w:t>
            </w:r>
          </w:p>
        </w:tc>
      </w:tr>
      <w:tr>
        <w:tc>
          <w:tcPr>
            <w:tcW w:type="dxa" w:w="2520"/>
            <w:vAlign w:val="center"/>
          </w:tcPr>
          <w:p>
            <w:r>
              <w:t>2. AI Generation</w:t>
            </w:r>
          </w:p>
        </w:tc>
        <w:tc>
          <w:tcPr>
            <w:tcW w:type="dxa" w:w="2520"/>
            <w:vAlign w:val="center"/>
          </w:tcPr>
          <w:p>
            <w:r>
              <w:t>Structured request</w:t>
            </w:r>
          </w:p>
        </w:tc>
        <w:tc>
          <w:tcPr>
            <w:tcW w:type="dxa" w:w="2520"/>
            <w:vAlign w:val="center"/>
          </w:tcPr>
          <w:p>
            <w:r>
              <w:t>Build legal drafting prompt and call Gemini</w:t>
            </w:r>
          </w:p>
        </w:tc>
        <w:tc>
          <w:tcPr>
            <w:tcW w:type="dxa" w:w="2520"/>
            <w:vAlign w:val="center"/>
          </w:tcPr>
          <w:p>
            <w:r>
              <w:t>Generated draft text</w:t>
            </w:r>
          </w:p>
        </w:tc>
      </w:tr>
      <w:tr>
        <w:tc>
          <w:tcPr>
            <w:tcW w:type="dxa" w:w="2520"/>
            <w:vAlign w:val="center"/>
          </w:tcPr>
          <w:p>
            <w:r>
              <w:t>3. Preview/Edit</w:t>
            </w:r>
          </w:p>
        </w:tc>
        <w:tc>
          <w:tcPr>
            <w:tcW w:type="dxa" w:w="2520"/>
            <w:vAlign w:val="center"/>
          </w:tcPr>
          <w:p>
            <w:r>
              <w:t>Generated text</w:t>
            </w:r>
          </w:p>
        </w:tc>
        <w:tc>
          <w:tcPr>
            <w:tcW w:type="dxa" w:w="2520"/>
            <w:vAlign w:val="center"/>
          </w:tcPr>
          <w:p>
            <w:r>
              <w:t>Render and allow user edits</w:t>
            </w:r>
          </w:p>
        </w:tc>
        <w:tc>
          <w:tcPr>
            <w:tcW w:type="dxa" w:w="2520"/>
            <w:vAlign w:val="center"/>
          </w:tcPr>
          <w:p>
            <w:r>
              <w:t>Final edited text</w:t>
            </w:r>
          </w:p>
        </w:tc>
      </w:tr>
      <w:tr>
        <w:tc>
          <w:tcPr>
            <w:tcW w:type="dxa" w:w="2520"/>
            <w:vAlign w:val="center"/>
          </w:tcPr>
          <w:p>
            <w:r>
              <w:t>4. Export</w:t>
            </w:r>
          </w:p>
        </w:tc>
        <w:tc>
          <w:tcPr>
            <w:tcW w:type="dxa" w:w="2520"/>
            <w:vAlign w:val="center"/>
          </w:tcPr>
          <w:p>
            <w:r>
              <w:t>Final text + metadata</w:t>
            </w:r>
          </w:p>
        </w:tc>
        <w:tc>
          <w:tcPr>
            <w:tcW w:type="dxa" w:w="2520"/>
            <w:vAlign w:val="center"/>
          </w:tcPr>
          <w:p>
            <w:r>
              <w:t>TXT/DOCX/PDF formatting</w:t>
            </w:r>
          </w:p>
        </w:tc>
        <w:tc>
          <w:tcPr>
            <w:tcW w:type="dxa" w:w="2520"/>
            <w:vAlign w:val="center"/>
          </w:tcPr>
          <w:p>
            <w:r>
              <w:t>Downloadable document</w:t>
            </w:r>
          </w:p>
        </w:tc>
      </w:tr>
    </w:tbl>
    <w:p>
      <w:pPr>
        <w:pStyle w:val="Heading1"/>
      </w:pPr>
      <w:r>
        <w:t>Data Stores / External Services</w:t>
      </w:r>
    </w:p>
    <w:p>
      <w:r>
        <w:t>Application configuration and secrets are supplied through environment variables. The current project does not require a business database for document generation; optional authentication or document history can be added later.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