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Scalability &amp; Future Plan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1 Mark</w:t>
      </w:r>
    </w:p>
    <w:p>
      <w:pPr>
        <w:pStyle w:val="Heading1"/>
      </w:pPr>
      <w:r>
        <w:t>Current System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Priority to Address</w:t>
            </w:r>
          </w:p>
        </w:tc>
      </w:tr>
      <w:tr>
        <w:tc>
          <w:tcPr>
            <w:tcW w:type="dxa" w:w="2520"/>
            <w:vAlign w:val="center"/>
          </w:tcPr>
          <w:p>
            <w:r>
              <w:t>1</w:t>
            </w:r>
          </w:p>
        </w:tc>
        <w:tc>
          <w:tcPr>
            <w:tcW w:type="dxa" w:w="2520"/>
            <w:vAlign w:val="center"/>
          </w:tcPr>
          <w:p>
            <w:r>
              <w:t>Dependence on external Gemini API availability and quotas</w:t>
            </w:r>
          </w:p>
        </w:tc>
        <w:tc>
          <w:tcPr>
            <w:tcW w:type="dxa" w:w="2520"/>
            <w:vAlign w:val="center"/>
          </w:tcPr>
          <w:p>
            <w:r>
              <w:t>Generation can be delayed or temporarily unavailable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  <w:tr>
        <w:tc>
          <w:tcPr>
            <w:tcW w:type="dxa" w:w="2520"/>
            <w:vAlign w:val="center"/>
          </w:tcPr>
          <w:p>
            <w:r>
              <w:t>2</w:t>
            </w:r>
          </w:p>
        </w:tc>
        <w:tc>
          <w:tcPr>
            <w:tcW w:type="dxa" w:w="2520"/>
            <w:vAlign w:val="center"/>
          </w:tcPr>
          <w:p>
            <w:r>
              <w:t>No mandatory persistent document history in core workflow</w:t>
            </w:r>
          </w:p>
        </w:tc>
        <w:tc>
          <w:tcPr>
            <w:tcW w:type="dxa" w:w="2520"/>
            <w:vAlign w:val="center"/>
          </w:tcPr>
          <w:p>
            <w:r>
              <w:t>Users may need to save exports locally</w:t>
            </w:r>
          </w:p>
        </w:tc>
        <w:tc>
          <w:tcPr>
            <w:tcW w:type="dxa" w:w="2520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20"/>
            <w:vAlign w:val="center"/>
          </w:tcPr>
          <w:p>
            <w:r>
              <w:t>3</w:t>
            </w:r>
          </w:p>
        </w:tc>
        <w:tc>
          <w:tcPr>
            <w:tcW w:type="dxa" w:w="2520"/>
            <w:vAlign w:val="center"/>
          </w:tcPr>
          <w:p>
            <w:r>
              <w:t>AI-generated text requires professional review</w:t>
            </w:r>
          </w:p>
        </w:tc>
        <w:tc>
          <w:tcPr>
            <w:tcW w:type="dxa" w:w="2520"/>
            <w:vAlign w:val="center"/>
          </w:tcPr>
          <w:p>
            <w:r>
              <w:t>Cannot be treated as final legal advice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</w:tbl>
    <w:p>
      <w:pPr>
        <w:pStyle w:val="Heading1"/>
      </w:pPr>
      <w:r>
        <w:t>Scalability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Scalability Aspect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Proposed Upgrade / Solution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1</w:t>
            </w:r>
          </w:p>
        </w:tc>
        <w:tc>
          <w:tcPr>
            <w:tcW w:type="dxa" w:w="2520"/>
            <w:vAlign w:val="center"/>
          </w:tcPr>
          <w:p>
            <w:r>
              <w:t>User Load</w:t>
            </w:r>
          </w:p>
        </w:tc>
        <w:tc>
          <w:tcPr>
            <w:tcW w:type="dxa" w:w="2520"/>
            <w:vAlign w:val="center"/>
          </w:tcPr>
          <w:p>
            <w:r>
              <w:t>Single/local deployment</w:t>
            </w:r>
          </w:p>
        </w:tc>
        <w:tc>
          <w:tcPr>
            <w:tcW w:type="dxa" w:w="2520"/>
            <w:vAlign w:val="center"/>
          </w:tcPr>
          <w:p>
            <w:r>
              <w:t>Cloud deployment, horizontal scaling and API rate limiting</w:t>
            </w:r>
          </w:p>
        </w:tc>
      </w:tr>
      <w:tr>
        <w:tc>
          <w:tcPr>
            <w:tcW w:type="dxa" w:w="2520"/>
            <w:vAlign w:val="center"/>
          </w:tcPr>
          <w:p>
            <w:r>
              <w:t>2</w:t>
            </w:r>
          </w:p>
        </w:tc>
        <w:tc>
          <w:tcPr>
            <w:tcW w:type="dxa" w:w="2520"/>
            <w:vAlign w:val="center"/>
          </w:tcPr>
          <w:p>
            <w:r>
              <w:t>Data Storage</w:t>
            </w:r>
          </w:p>
        </w:tc>
        <w:tc>
          <w:tcPr>
            <w:tcW w:type="dxa" w:w="2520"/>
            <w:vAlign w:val="center"/>
          </w:tcPr>
          <w:p>
            <w:r>
              <w:t>Local/user downloads</w:t>
            </w:r>
          </w:p>
        </w:tc>
        <w:tc>
          <w:tcPr>
            <w:tcW w:type="dxa" w:w="2520"/>
            <w:vAlign w:val="center"/>
          </w:tcPr>
          <w:p>
            <w:r>
              <w:t>Secure database/object storage with access controls</w:t>
            </w:r>
          </w:p>
        </w:tc>
      </w:tr>
      <w:tr>
        <w:tc>
          <w:tcPr>
            <w:tcW w:type="dxa" w:w="2520"/>
            <w:vAlign w:val="center"/>
          </w:tcPr>
          <w:p>
            <w:r>
              <w:t>3</w:t>
            </w:r>
          </w:p>
        </w:tc>
        <w:tc>
          <w:tcPr>
            <w:tcW w:type="dxa" w:w="2520"/>
            <w:vAlign w:val="center"/>
          </w:tcPr>
          <w:p>
            <w:r>
              <w:t>Performance</w:t>
            </w:r>
          </w:p>
        </w:tc>
        <w:tc>
          <w:tcPr>
            <w:tcW w:type="dxa" w:w="2520"/>
            <w:vAlign w:val="center"/>
          </w:tcPr>
          <w:p>
            <w:r>
              <w:t>AI latency varies</w:t>
            </w:r>
          </w:p>
        </w:tc>
        <w:tc>
          <w:tcPr>
            <w:tcW w:type="dxa" w:w="2520"/>
            <w:vAlign w:val="center"/>
          </w:tcPr>
          <w:p>
            <w:r>
              <w:t>Caching, async jobs, model routing and queue-based generation</w:t>
            </w:r>
          </w:p>
        </w:tc>
      </w:tr>
      <w:tr>
        <w:tc>
          <w:tcPr>
            <w:tcW w:type="dxa" w:w="2520"/>
            <w:vAlign w:val="center"/>
          </w:tcPr>
          <w:p>
            <w:r>
              <w:t>4</w:t>
            </w:r>
          </w:p>
        </w:tc>
        <w:tc>
          <w:tcPr>
            <w:tcW w:type="dxa" w:w="2520"/>
            <w:vAlign w:val="center"/>
          </w:tcPr>
          <w:p>
            <w:r>
              <w:t>Security</w:t>
            </w:r>
          </w:p>
        </w:tc>
        <w:tc>
          <w:tcPr>
            <w:tcW w:type="dxa" w:w="2520"/>
            <w:vAlign w:val="center"/>
          </w:tcPr>
          <w:p>
            <w:r>
              <w:t>Environment-based API key</w:t>
            </w:r>
          </w:p>
        </w:tc>
        <w:tc>
          <w:tcPr>
            <w:tcW w:type="dxa" w:w="2520"/>
            <w:vAlign w:val="center"/>
          </w:tcPr>
          <w:p>
            <w:r>
              <w:t>Authentication, authorization, audit logs, secret manager and encryption</w:t>
            </w:r>
          </w:p>
        </w:tc>
      </w:tr>
    </w:tbl>
    <w:p>
      <w:pPr>
        <w:pStyle w:val="Heading1"/>
      </w:pPr>
      <w:r>
        <w:t>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Planned Feature / Enhancement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Target Timeline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Expected Impact</w:t>
            </w:r>
          </w:p>
        </w:tc>
      </w:tr>
      <w:tr>
        <w:tc>
          <w:tcPr>
            <w:tcW w:type="dxa" w:w="2520"/>
            <w:vAlign w:val="center"/>
          </w:tcPr>
          <w:p>
            <w:r>
              <w:t>Phase 2</w:t>
            </w:r>
          </w:p>
        </w:tc>
        <w:tc>
          <w:tcPr>
            <w:tcW w:type="dxa" w:w="2520"/>
            <w:vAlign w:val="center"/>
          </w:tcPr>
          <w:p>
            <w:r>
              <w:t>User authentication and document history</w:t>
            </w:r>
          </w:p>
        </w:tc>
        <w:tc>
          <w:tcPr>
            <w:tcW w:type="dxa" w:w="2520"/>
            <w:vAlign w:val="center"/>
          </w:tcPr>
          <w:p>
            <w:r>
              <w:t>Next release</w:t>
            </w:r>
          </w:p>
        </w:tc>
        <w:tc>
          <w:tcPr>
            <w:tcW w:type="dxa" w:w="2520"/>
            <w:vAlign w:val="center"/>
          </w:tcPr>
          <w:p>
            <w:r>
              <w:t>Personalized workspace</w:t>
            </w:r>
          </w:p>
        </w:tc>
      </w:tr>
      <w:tr>
        <w:tc>
          <w:tcPr>
            <w:tcW w:type="dxa" w:w="2520"/>
            <w:vAlign w:val="center"/>
          </w:tcPr>
          <w:p>
            <w:r>
              <w:t>Phase 3</w:t>
            </w:r>
          </w:p>
        </w:tc>
        <w:tc>
          <w:tcPr>
            <w:tcW w:type="dxa" w:w="2520"/>
            <w:vAlign w:val="center"/>
          </w:tcPr>
          <w:p>
            <w:r>
              <w:t>Clause library, templates and multilingual support</w:t>
            </w:r>
          </w:p>
        </w:tc>
        <w:tc>
          <w:tcPr>
            <w:tcW w:type="dxa" w:w="2520"/>
            <w:vAlign w:val="center"/>
          </w:tcPr>
          <w:p>
            <w:r>
              <w:t>Future release</w:t>
            </w:r>
          </w:p>
        </w:tc>
        <w:tc>
          <w:tcPr>
            <w:tcW w:type="dxa" w:w="2520"/>
            <w:vAlign w:val="center"/>
          </w:tcPr>
          <w:p>
            <w:r>
              <w:t>Broader document coverage</w:t>
            </w:r>
          </w:p>
        </w:tc>
      </w:tr>
      <w:tr>
        <w:tc>
          <w:tcPr>
            <w:tcW w:type="dxa" w:w="2520"/>
            <w:vAlign w:val="center"/>
          </w:tcPr>
          <w:p>
            <w:r>
              <w:t>Phase 4</w:t>
            </w:r>
          </w:p>
        </w:tc>
        <w:tc>
          <w:tcPr>
            <w:tcW w:type="dxa" w:w="2520"/>
            <w:vAlign w:val="center"/>
          </w:tcPr>
          <w:p>
            <w:r>
              <w:t>Clause-risk checks, versioning and secure collaboration</w:t>
            </w:r>
          </w:p>
        </w:tc>
        <w:tc>
          <w:tcPr>
            <w:tcW w:type="dxa" w:w="2520"/>
            <w:vAlign w:val="center"/>
          </w:tcPr>
          <w:p>
            <w:r>
              <w:t>Future release</w:t>
            </w:r>
          </w:p>
        </w:tc>
        <w:tc>
          <w:tcPr>
            <w:tcW w:type="dxa" w:w="2520"/>
            <w:vAlign w:val="center"/>
          </w:tcPr>
          <w:p>
            <w:r>
              <w:t>More advanced legal workflow support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