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学生实验任务：中证500股票的动量与反转</w:t>
      </w:r>
    </w:p>
    <w:p>
      <w:r>
        <w:rPr>
          <w:i/>
          <w:color w:val="087E83"/>
          <w:sz w:val="18"/>
        </w:rPr>
        <w:t>方案自拟版｜个人独立完成｜可以使用智能体，但研究决定与结果判断由本人负责。</w:t>
      </w:r>
    </w:p>
    <w:p>
      <w:pPr>
        <w:pStyle w:val="Heading1"/>
      </w:pPr>
      <w:r>
        <w:t>一、研究范围</w:t>
      </w:r>
    </w:p>
    <w:p>
      <w:r>
        <w:t>使用教师提供的[481只固定股票名单](sample500_teaching.csv)，研究2019-12-31至2026-09-01期间的动量与反转。名单来自2019-12-31的中证500成分股，并经过事后存续筛选，整个研究期不自行增删名单。不能把结论直接外推为历史全部中证500成分股的表现。</w:t>
      </w:r>
    </w:p>
    <w:p>
      <w:r>
        <w:t>为研究准备的历史数据可以早于研究期。说明实际使用的数据范围；覆盖不足时如实登记，向教师说明影响，不悄悄缩短研究期。</w:t>
      </w:r>
    </w:p>
    <w:p>
      <w:pPr>
        <w:pStyle w:val="Heading1"/>
      </w:pPr>
      <w:r>
        <w:t>二、任务一：设计并完成自己的检验</w:t>
      </w:r>
    </w:p>
    <w:p>
      <w:r>
        <w:t>使用给定股票名单和研究期间的数据，检验样本中是否存在动量效应和反转效应。请自行设计研究方案，用实际分析分别回答问题，并说明证据支持的结论及其边界。</w:t>
      </w:r>
    </w:p>
    <w:p>
      <w:r>
        <w:t>正式计算前提交简短方案，参加方案问答，解释关键选择及替代方案。</w:t>
      </w:r>
    </w:p>
    <w:p>
      <w:pPr>
        <w:pStyle w:val="Heading1"/>
      </w:pPr>
      <w:r>
        <w:t>三、任务一的成果与记录要求</w:t>
      </w:r>
    </w:p>
    <w:p>
      <w:r>
        <w:t>方案与方法由本人决定。问答时说明关键选择的理由、一个未采用的替代方案和一项可能影响判断的风险，保留教师确认记录。教师确认只表示具备正式执行条件，不担保方法或结果正确。此前可以探查资料和接口；不得先跑完整结果，再把事后方案冒充事前方案。</w:t>
      </w:r>
    </w:p>
    <w:p>
      <w:r>
        <w:t>提交以下材料，不预设统一的操作顺序或文件名称：</w:t>
      </w:r>
    </w:p>
    <w:p>
      <w:pPr>
        <w:pStyle w:val="ListBullet"/>
      </w:pPr>
      <w:r>
        <w:t>基础研究报告，正文1—2页：说明方案、分别回答动量与反转问题，给出实际表图依据、统计不确定性和结论边界。</w:t>
      </w:r>
    </w:p>
    <w:p>
      <w:pPr>
        <w:pStyle w:val="ListBullet"/>
      </w:pPr>
      <w:r>
        <w:t>执行前方案、选择理由、方案问答与教师确认记录；方法变更保留时间、原因及再次确认记录。</w:t>
      </w:r>
    </w:p>
    <w:p>
      <w:pPr>
        <w:pStyle w:val="ListBullet"/>
      </w:pPr>
      <w:r>
        <w:t>可复现的数据来源与处理记录、代码、实际结果明细及运行说明。文件名称自行安排，说明每类材料的位置。</w:t>
      </w:r>
    </w:p>
    <w:p>
      <w:pPr>
        <w:pStyle w:val="ListBullet"/>
      </w:pPr>
      <w:r>
        <w:t>数据、计算、结果三类核验，以及一个由你选择且能影响判断的核验点；保留输入、方法、输出和本人接受、修正或暂缓的理由。</w:t>
      </w:r>
    </w:p>
    <w:p>
      <w:pPr>
        <w:pStyle w:val="ListBullet"/>
      </w:pPr>
      <w:r>
        <w:t>完整原始人机交互记录及关键证据索引。索引不能替代原始记录；失败尝试和数据缺口如实保留。</w:t>
      </w:r>
    </w:p>
    <w:p>
      <w:pPr>
        <w:pStyle w:val="Heading1"/>
      </w:pPr>
      <w:r>
        <w:t>四、任务二：从基础判断走向新问题</w:t>
      </w:r>
    </w:p>
    <w:p>
      <w:r>
        <w:t>完成任务一后，从理论、市场现象或任务一结果中提出一个新的、能够用数据比较回答的具体问题。它不能只是换个标题重交任务一，也不局限于稳健性检查。</w:t>
      </w:r>
    </w:p>
    <w:p>
      <w:r>
        <w:t>在扩展计算前保存150—200字左右的比较计划，注明问题来源、比较对象、改变与保持条件、不同结果的含义及关键核验。本人确认后执行；改变计划时保留原版本和理由。</w:t>
      </w:r>
    </w:p>
    <w:p>
      <w:r>
        <w:t>完成至少一次有针对性的比较，核验关键结果，并说明新证据支持、削弱或尚不能回答什么。报告正文2—3页。可以复用任务一的数据与代码，但须说明扩展内容和复现方式。</w:t>
      </w:r>
    </w:p>
    <w:p>
      <w:pPr>
        <w:pStyle w:val="Heading1"/>
      </w:pPr>
      <w:r>
        <w:t>五、评价与研究责任</w:t>
      </w:r>
    </w:p>
    <w:p>
      <w:r>
        <w:t>评价标准与任务同时公开。每个实验按编排智能体、审查复核、结果解释、提出问题并组织验证四项能力的16个评分点逐项评价；基础与扩展共同提供证据，不另套任务各占50%的旧权重。正式能力权重与底线限分规则另行公布，未确认前不输出正式总分。</w:t>
      </w:r>
    </w:p>
    <w:p>
      <w:r>
        <w:t>评价看方案是否有理、执行是否符合本人确认的方案、核验是否有效、解释是否有据。不要求全班使用同一方法或得到相同数值。 不能因方案不同于教师参考实现扣分；不显著、方向相反、复核未发现错误都不直接扣分。材料不足先补核，不直接当作未开展。</w:t>
      </w:r>
    </w:p>
    <w:p>
      <w:r>
        <w:t>不得使用当时尚未可得的信息建立预测，不得编造数据、工具运行或事前记录，不得把相关关系写成因果证明。涉及成本、成交或做空限制时说明假设；理论表现不等于可实现收益。未经授权的数据、密钥和个人信息不得进入公开材料。</w:t>
      </w:r>
    </w:p>
    <w:p>
      <w:r>
        <w:t>教师参考方案、对应参考代码和带有固定参数的演示资源，在本实验两个任务均提交后才向学生开放，用于复盘而非提供唯一答案。提交时间和渠道以本班通知为准。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008" w:right="1037" w:bottom="1008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审阅稿 · 不作为已完成试用或正式授权证明    | 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投资实验教学案例  /  匿名审阅稿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93" w:lineRule="auto"/>
    </w:pPr>
    <w:rPr>
      <w:rFonts w:ascii="Microsoft YaHei" w:hAnsi="Microsoft YaHei" w:eastAsia="Microsoft YaHei"/>
      <w:b w:val="0"/>
      <w:color w:val="152D3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Microsoft YaHei" w:hAnsi="Microsoft YaHei" w:eastAsia="Microsoft YaHei"/>
      <w:b w:val="0"/>
      <w:color w:val="087E83"/>
      <w:sz w:val="16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Microsoft YaHei" w:hAnsi="Microsoft YaHei" w:eastAsia="Microsoft YaHei"/>
      <w:b w:val="0"/>
      <w:color w:val="152D3A"/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87E83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52D3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52D3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52D3A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icrosoft YaHei" w:hAnsi="Microsoft YaHei" w:eastAsia="Microsoft YaHei"/>
      <w:b w:val="0"/>
      <w:color w:val="152D3A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Microsoft YaHei" w:hAnsi="Microsoft YaHei" w:eastAsia="Microsoft YaHei"/>
      <w:b w:val="0"/>
      <w:color w:val="152D3A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实验A_动量反转任务书</dc:title>
  <dc:subject>匿名教学案例审阅稿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