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mbria" w:cs="Cambria" w:eastAsia="Cambria" w:hAnsi="Cambria"/>
          <w:b/>
          <w:bCs/>
          <w:color w:val="1E2761"/>
          <w:sz w:val="36"/>
          <w:szCs w:val="36"/>
        </w:rPr>
        <w:t xml:space="preserve">Práctica 1 — El marco que protege</w:t>
      </w:r>
    </w:p>
    <w:p>
      <w:pPr>
        <w:spacing w:after="60"/>
        <w:jc w:val="center"/>
      </w:pPr>
      <w:r>
        <w:rPr>
          <w:rFonts w:ascii="Cambria" w:cs="Cambria" w:eastAsia="Cambria" w:hAnsi="Cambria"/>
          <w:color w:val="1E2761"/>
          <w:sz w:val="26"/>
          <w:szCs w:val="26"/>
        </w:rPr>
        <w:t xml:space="preserve">Uso seguro de internet</w:t>
      </w:r>
    </w:p>
    <w:p>
      <w:pPr>
        <w:spacing w:after="240"/>
        <w:jc w:val="center"/>
      </w:pPr>
      <w:r>
        <w:rPr>
          <w:rFonts w:ascii="Calibri" w:cs="Calibri" w:eastAsia="Calibri" w:hAnsi="Calibri"/>
          <w:i/>
          <w:iCs/>
          <w:color w:val="6B7280"/>
          <w:sz w:val="21"/>
          <w:szCs w:val="21"/>
        </w:rPr>
        <w:t xml:space="preserve">Especialidad Desarrollo Web  ·  Duodécimo año  ·  Práctica formativa sin puntaje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400"/>
        <w:gridCol w:w="2400"/>
        <w:gridCol w:w="2400"/>
      </w:tblGrid>
      <w:tr>
        <w:tc>
          <w:tcPr>
            <w:tcW w:type="dxa" w:w="54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b w:val="false"/>
                <w:bCs w:val="false"/>
                <w:color w:val="2B2B2B"/>
                <w:sz w:val="20"/>
                <w:szCs w:val="20"/>
              </w:rPr>
              <w:t xml:space="preserve">Nombre(s): </w:t>
            </w:r>
          </w:p>
        </w:tc>
        <w:tc>
          <w:tcPr>
            <w:tcW w:type="dxa" w:w="24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b w:val="false"/>
                <w:bCs w:val="false"/>
                <w:color w:val="2B2B2B"/>
                <w:sz w:val="20"/>
                <w:szCs w:val="20"/>
              </w:rPr>
              <w:t xml:space="preserve">Sección: </w:t>
            </w:r>
          </w:p>
        </w:tc>
        <w:tc>
          <w:tcPr>
            <w:tcW w:type="dxa" w:w="24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b w:val="false"/>
                <w:bCs w:val="false"/>
                <w:color w:val="2B2B2B"/>
                <w:sz w:val="20"/>
                <w:szCs w:val="20"/>
              </w:rPr>
              <w:t xml:space="preserve">Fecha: </w:t>
            </w:r>
          </w:p>
        </w:tc>
      </w:tr>
    </w:tbl>
    <w:p>
      <w:pPr>
        <w:spacing w:after="160"/>
      </w:pPr>
    </w:p>
    <w:p>
      <w:pPr>
        <w:spacing w:after="120" w:line="300"/>
      </w:pPr>
      <w:r>
        <w:rPr>
          <w:rFonts w:ascii="Calibri" w:cs="Calibri" w:eastAsia="Calibri" w:hAnsi="Calibri"/>
          <w:b/>
          <w:bCs/>
          <w:sz w:val="22"/>
          <w:szCs w:val="22"/>
        </w:rPr>
        <w:t xml:space="preserve">Instrucciones: </w:t>
      </w:r>
      <w:r>
        <w:rPr>
          <w:rFonts w:ascii="Calibri" w:cs="Calibri" w:eastAsia="Calibri" w:hAnsi="Calibri"/>
          <w:sz w:val="22"/>
          <w:szCs w:val="22"/>
        </w:rPr>
        <w:t xml:space="preserve">resuelva de forma individual o en parejas. En la Parte B, lea cada caso con cuidado: identificar bien la situación es la mitad de la respuesta.</w:t>
      </w:r>
    </w:p>
    <w:p>
      <w:pPr>
        <w:spacing w:after="100" w:before="240"/>
      </w:pPr>
      <w:r>
        <w:rPr>
          <w:rFonts w:ascii="Cambria" w:cs="Cambria" w:eastAsia="Cambria" w:hAnsi="Cambria"/>
          <w:b/>
          <w:bCs/>
          <w:color w:val="1E2761"/>
          <w:sz w:val="26"/>
          <w:szCs w:val="26"/>
        </w:rPr>
        <w:t xml:space="preserve">Parte A. Cada norma con su función</w:t>
      </w:r>
    </w:p>
    <w:p>
      <w:pPr>
        <w:spacing w:after="120" w:line="300"/>
      </w:pPr>
      <w:r>
        <w:rPr>
          <w:rFonts w:ascii="Calibri" w:cs="Calibri" w:eastAsia="Calibri" w:hAnsi="Calibri"/>
          <w:sz w:val="22"/>
          <w:szCs w:val="22"/>
        </w:rPr>
        <w:t xml:space="preserve">Escriba en el paréntesis la letra de la función que corresponde a cada norma: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4600"/>
        <w:gridCol w:w="5600"/>
      </w:tblGrid>
      <w:tr>
        <w:tc>
          <w:tcPr>
            <w:tcW w:type="dxa" w:w="4600"/>
            <w:tcBorders>
              <w:top w:val="single" w:color="D7DEF0" w:sz="4"/>
              <w:left w:val="single" w:color="D7DEF0" w:sz="4"/>
              <w:bottom w:val="single" w:color="D7DEF0" w:sz="4"/>
              <w:right w:val="single" w:color="D7DEF0" w:sz="4"/>
            </w:tcBorders>
            <w:shd w:fill="1E2761"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Norma</w:t>
            </w:r>
          </w:p>
        </w:tc>
        <w:tc>
          <w:tcPr>
            <w:tcW w:type="dxa" w:w="5600"/>
            <w:tcBorders>
              <w:top w:val="single" w:color="D7DEF0" w:sz="4"/>
              <w:left w:val="single" w:color="D7DEF0" w:sz="4"/>
              <w:bottom w:val="single" w:color="D7DEF0" w:sz="4"/>
              <w:right w:val="single" w:color="D7DEF0" w:sz="4"/>
            </w:tcBorders>
            <w:shd w:fill="1E2761"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Función</w:t>
            </w:r>
          </w:p>
        </w:tc>
      </w:tr>
      <w:tr>
        <w:tc>
          <w:tcPr>
            <w:tcW w:type="dxa" w:w="46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b w:val="false"/>
                <w:bCs w:val="false"/>
                <w:color w:val="2B2B2B"/>
                <w:sz w:val="20"/>
                <w:szCs w:val="20"/>
              </w:rPr>
              <w:t xml:space="preserve">(     )  Convención sobre los Derechos del Niño</w:t>
            </w:r>
          </w:p>
        </w:tc>
        <w:tc>
          <w:tcPr>
            <w:tcW w:type="dxa" w:w="56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b w:val="false"/>
                <w:bCs w:val="false"/>
                <w:color w:val="2B2B2B"/>
                <w:sz w:val="20"/>
                <w:szCs w:val="20"/>
              </w:rPr>
              <w:t xml:space="preserve">A)  Sanciona con cárcel la suplantación de identidad, el fraude informático y la seducción de menores por medios electrónicos.</w:t>
            </w:r>
          </w:p>
        </w:tc>
      </w:tr>
      <w:tr>
        <w:tc>
          <w:tcPr>
            <w:tcW w:type="dxa" w:w="46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b w:val="false"/>
                <w:bCs w:val="false"/>
                <w:color w:val="2B2B2B"/>
                <w:sz w:val="20"/>
                <w:szCs w:val="20"/>
              </w:rPr>
              <w:t xml:space="preserve">(     )  Código de la Niñez y la Adolescencia (Ley 7739)</w:t>
            </w:r>
          </w:p>
        </w:tc>
        <w:tc>
          <w:tcPr>
            <w:tcW w:type="dxa" w:w="56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b w:val="false"/>
                <w:bCs w:val="false"/>
                <w:color w:val="2B2B2B"/>
                <w:sz w:val="20"/>
                <w:szCs w:val="20"/>
              </w:rPr>
              <w:t xml:space="preserve">B)  Tratado internacional que obliga a los Estados a proteger a la niñez de la violencia y el material perjudicial.</w:t>
            </w:r>
          </w:p>
        </w:tc>
      </w:tr>
      <w:tr>
        <w:tc>
          <w:tcPr>
            <w:tcW w:type="dxa" w:w="46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b w:val="false"/>
                <w:bCs w:val="false"/>
                <w:color w:val="2B2B2B"/>
                <w:sz w:val="20"/>
                <w:szCs w:val="20"/>
              </w:rPr>
              <w:t xml:space="preserve">(     )  Ley 8934 — contenido nocivo en internet</w:t>
            </w:r>
          </w:p>
        </w:tc>
        <w:tc>
          <w:tcPr>
            <w:tcW w:type="dxa" w:w="56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b w:val="false"/>
                <w:bCs w:val="false"/>
                <w:color w:val="2B2B2B"/>
                <w:sz w:val="20"/>
                <w:szCs w:val="20"/>
              </w:rPr>
              <w:t xml:space="preserve">C)  Ley marco costarricense que garantiza los derechos de las personas menores de 18 años, incluida su imagen y privacidad.</w:t>
            </w:r>
          </w:p>
        </w:tc>
      </w:tr>
      <w:tr>
        <w:tc>
          <w:tcPr>
            <w:tcW w:type="dxa" w:w="46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b w:val="false"/>
                <w:bCs w:val="false"/>
                <w:color w:val="2B2B2B"/>
                <w:sz w:val="20"/>
                <w:szCs w:val="20"/>
              </w:rPr>
              <w:t xml:space="preserve">(     )  Ley 9048 — delitos informáticos</w:t>
            </w:r>
          </w:p>
        </w:tc>
        <w:tc>
          <w:tcPr>
            <w:tcW w:type="dxa" w:w="56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b w:val="false"/>
                <w:bCs w:val="false"/>
                <w:color w:val="2B2B2B"/>
                <w:sz w:val="20"/>
                <w:szCs w:val="20"/>
              </w:rPr>
              <w:t xml:space="preserve">D)  Obliga a los lugares con acceso público a internet a usar filtros que bloqueen contenido nocivo para menores.</w:t>
            </w:r>
          </w:p>
        </w:tc>
      </w:tr>
    </w:tbl>
    <w:p>
      <w:pPr>
        <w:spacing w:after="140"/>
      </w:pPr>
    </w:p>
    <w:p>
      <w:pPr>
        <w:spacing w:after="100" w:before="240"/>
      </w:pPr>
      <w:r>
        <w:rPr>
          <w:rFonts w:ascii="Cambria" w:cs="Cambria" w:eastAsia="Cambria" w:hAnsi="Cambria"/>
          <w:b/>
          <w:bCs/>
          <w:color w:val="1E2761"/>
          <w:sz w:val="26"/>
          <w:szCs w:val="26"/>
        </w:rPr>
        <w:t xml:space="preserve">Parte B. Análisis de casos</w:t>
      </w:r>
    </w:p>
    <w:p>
      <w:pPr>
        <w:spacing w:after="120" w:line="300"/>
      </w:pPr>
      <w:r>
        <w:rPr>
          <w:rFonts w:ascii="Cambria" w:cs="Cambria" w:eastAsia="Cambria" w:hAnsi="Cambria"/>
          <w:b/>
          <w:bCs/>
          <w:color w:val="1E2761"/>
          <w:sz w:val="24"/>
          <w:szCs w:val="24"/>
        </w:rPr>
        <w:t xml:space="preserve">Caso 1</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D7DEF0" w:sz="4"/>
              <w:left w:val="single" w:color="D7DEF0" w:sz="4"/>
              <w:bottom w:val="single" w:color="D7DEF0" w:sz="4"/>
              <w:right w:val="single" w:color="D7DEF0" w:sz="4"/>
            </w:tcBorders>
            <w:shd w:fill="F4F7FD" w:val="clear"/>
            <w:tcMar>
              <w:top w:type="dxa" w:w="140"/>
              <w:left w:type="dxa" w:w="180"/>
              <w:bottom w:type="dxa" w:w="140"/>
              <w:right w:type="dxa" w:w="180"/>
            </w:tcMar>
          </w:tcPr>
          <w:p>
            <w:pPr>
              <w:spacing w:after="80"/>
            </w:pPr>
            <w:r>
              <w:rPr>
                <w:rFonts w:ascii="Calibri" w:cs="Calibri" w:eastAsia="Calibri" w:hAnsi="Calibri"/>
                <w:b/>
                <w:bCs/>
                <w:sz w:val="21"/>
                <w:szCs w:val="21"/>
              </w:rPr>
              <w:t xml:space="preserve">Situación:</w:t>
            </w:r>
          </w:p>
          <w:p>
            <w:pPr>
              <w:spacing w:after="0" w:line="300"/>
            </w:pPr>
            <w:r>
              <w:rPr>
                <w:rFonts w:ascii="Calibri" w:cs="Calibri" w:eastAsia="Calibri" w:hAnsi="Calibri"/>
                <w:i/>
                <w:iCs/>
                <w:sz w:val="21"/>
                <w:szCs w:val="21"/>
              </w:rPr>
              <w:t xml:space="preserve">Un compañero de sección creó un perfil falso con el nombre y las fotos de una estudiante de décimo, y lo usa para enviar mensajes ofensivos a otras personas haciéndose pasar por ella.</w:t>
            </w:r>
          </w:p>
        </w:tc>
      </w:tr>
    </w:tbl>
    <w:p>
      <w:pPr>
        <w:spacing w:after="100"/>
      </w:pPr>
    </w:p>
    <w:p>
      <w:pPr>
        <w:pStyle w:val="ListParagraph"/>
        <w:numPr>
          <w:ilvl w:val="0"/>
          <w:numId w:val="2"/>
        </w:numPr>
        <w:spacing w:after="100" w:line="300"/>
      </w:pPr>
      <w:r>
        <w:rPr>
          <w:rFonts w:ascii="Calibri" w:cs="Calibri" w:eastAsia="Calibri" w:hAnsi="Calibri"/>
          <w:sz w:val="22"/>
          <w:szCs w:val="22"/>
        </w:rPr>
        <w:t xml:space="preserve">¿Cómo se llama esta conducta y cuál ley costarricense la sanciona?</w:t>
      </w:r>
    </w:p>
    <w:p>
      <w:pPr>
        <w:pBdr>
          <w:bottom w:val="single" w:color="B9C4DE" w:sz="4"/>
        </w:pBdr>
        <w:spacing w:after="60"/>
      </w:pPr>
      <w:r>
        <w:rPr>
          <w:rFonts w:ascii="Calibri" w:cs="Calibri" w:eastAsia="Calibri" w:hAnsi="Calibri"/>
          <w:sz w:val="26"/>
          <w:szCs w:val="26"/>
        </w:rPr>
        <w:t xml:space="preserve"> </w:t>
      </w:r>
    </w:p>
    <w:p>
      <w:pPr>
        <w:pBdr>
          <w:bottom w:val="single" w:color="B9C4DE" w:sz="4"/>
        </w:pBdr>
        <w:spacing w:after="60"/>
      </w:pPr>
      <w:r>
        <w:rPr>
          <w:rFonts w:ascii="Calibri" w:cs="Calibri" w:eastAsia="Calibri" w:hAnsi="Calibri"/>
          <w:sz w:val="26"/>
          <w:szCs w:val="26"/>
        </w:rPr>
        <w:t xml:space="preserve"> </w:t>
      </w:r>
    </w:p>
    <w:p>
      <w:pPr>
        <w:pStyle w:val="ListParagraph"/>
        <w:numPr>
          <w:ilvl w:val="0"/>
          <w:numId w:val="2"/>
        </w:numPr>
        <w:spacing w:after="100" w:line="300"/>
      </w:pPr>
      <w:r>
        <w:rPr>
          <w:rFonts w:ascii="Calibri" w:cs="Calibri" w:eastAsia="Calibri" w:hAnsi="Calibri"/>
          <w:sz w:val="22"/>
          <w:szCs w:val="22"/>
        </w:rPr>
        <w:t xml:space="preserve">¿Qué derechos de la estudiante se están violando?</w:t>
      </w:r>
    </w:p>
    <w:p>
      <w:pPr>
        <w:pBdr>
          <w:bottom w:val="single" w:color="B9C4DE" w:sz="4"/>
        </w:pBdr>
        <w:spacing w:after="60"/>
      </w:pPr>
      <w:r>
        <w:rPr>
          <w:rFonts w:ascii="Calibri" w:cs="Calibri" w:eastAsia="Calibri" w:hAnsi="Calibri"/>
          <w:sz w:val="26"/>
          <w:szCs w:val="26"/>
        </w:rPr>
        <w:t xml:space="preserve"> </w:t>
      </w:r>
    </w:p>
    <w:p>
      <w:pPr>
        <w:pBdr>
          <w:bottom w:val="single" w:color="B9C4DE" w:sz="4"/>
        </w:pBdr>
        <w:spacing w:after="60"/>
      </w:pPr>
      <w:r>
        <w:rPr>
          <w:rFonts w:ascii="Calibri" w:cs="Calibri" w:eastAsia="Calibri" w:hAnsi="Calibri"/>
          <w:sz w:val="26"/>
          <w:szCs w:val="26"/>
        </w:rPr>
        <w:t xml:space="preserve"> </w:t>
      </w:r>
    </w:p>
    <w:p>
      <w:pPr>
        <w:pStyle w:val="ListParagraph"/>
        <w:numPr>
          <w:ilvl w:val="0"/>
          <w:numId w:val="2"/>
        </w:numPr>
        <w:spacing w:after="100" w:line="300"/>
      </w:pPr>
      <w:r>
        <w:rPr>
          <w:rFonts w:ascii="Calibri" w:cs="Calibri" w:eastAsia="Calibri" w:hAnsi="Calibri"/>
          <w:sz w:val="22"/>
          <w:szCs w:val="22"/>
        </w:rPr>
        <w:t xml:space="preserve">Si la estudiante les pide ayuda, ¿cuáles serían los tres primeros pasos correctos, en orden?</w:t>
      </w:r>
    </w:p>
    <w:p>
      <w:pPr>
        <w:pBdr>
          <w:bottom w:val="single" w:color="B9C4DE" w:sz="4"/>
        </w:pBdr>
        <w:spacing w:after="60"/>
      </w:pPr>
      <w:r>
        <w:rPr>
          <w:rFonts w:ascii="Calibri" w:cs="Calibri" w:eastAsia="Calibri" w:hAnsi="Calibri"/>
          <w:sz w:val="26"/>
          <w:szCs w:val="26"/>
        </w:rPr>
        <w:t xml:space="preserve"> </w:t>
      </w:r>
    </w:p>
    <w:p>
      <w:pPr>
        <w:pBdr>
          <w:bottom w:val="single" w:color="B9C4DE" w:sz="4"/>
        </w:pBdr>
        <w:spacing w:after="60"/>
      </w:pPr>
      <w:r>
        <w:rPr>
          <w:rFonts w:ascii="Calibri" w:cs="Calibri" w:eastAsia="Calibri" w:hAnsi="Calibri"/>
          <w:sz w:val="26"/>
          <w:szCs w:val="26"/>
        </w:rPr>
        <w:t xml:space="preserve"> </w:t>
      </w:r>
    </w:p>
    <w:p>
      <w:pPr>
        <w:pBdr>
          <w:bottom w:val="single" w:color="B9C4DE" w:sz="4"/>
        </w:pBdr>
        <w:spacing w:after="60"/>
      </w:pPr>
      <w:r>
        <w:rPr>
          <w:rFonts w:ascii="Calibri" w:cs="Calibri" w:eastAsia="Calibri" w:hAnsi="Calibri"/>
          <w:sz w:val="26"/>
          <w:szCs w:val="26"/>
        </w:rPr>
        <w:t xml:space="preserve"> </w:t>
      </w:r>
    </w:p>
    <w:p>
      <w:pPr>
        <w:spacing w:after="120" w:line="300"/>
      </w:pPr>
      <w:r>
        <w:rPr>
          <w:rFonts w:ascii="Cambria" w:cs="Cambria" w:eastAsia="Cambria" w:hAnsi="Cambria"/>
          <w:b/>
          <w:bCs/>
          <w:color w:val="1E2761"/>
          <w:sz w:val="24"/>
          <w:szCs w:val="24"/>
        </w:rPr>
        <w:t xml:space="preserve">Caso 2</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D7DEF0" w:sz="4"/>
              <w:left w:val="single" w:color="D7DEF0" w:sz="4"/>
              <w:bottom w:val="single" w:color="D7DEF0" w:sz="4"/>
              <w:right w:val="single" w:color="D7DEF0" w:sz="4"/>
            </w:tcBorders>
            <w:shd w:fill="F4F7FD" w:val="clear"/>
            <w:tcMar>
              <w:top w:type="dxa" w:w="140"/>
              <w:left w:type="dxa" w:w="180"/>
              <w:bottom w:type="dxa" w:w="140"/>
              <w:right w:type="dxa" w:w="180"/>
            </w:tcMar>
          </w:tcPr>
          <w:p>
            <w:pPr>
              <w:spacing w:after="80"/>
            </w:pPr>
            <w:r>
              <w:rPr>
                <w:rFonts w:ascii="Calibri" w:cs="Calibri" w:eastAsia="Calibri" w:hAnsi="Calibri"/>
                <w:b/>
                <w:bCs/>
                <w:sz w:val="21"/>
                <w:szCs w:val="21"/>
              </w:rPr>
              <w:t xml:space="preserve">Situación:</w:t>
            </w:r>
          </w:p>
          <w:p>
            <w:pPr>
              <w:spacing w:after="0" w:line="300"/>
            </w:pPr>
            <w:r>
              <w:rPr>
                <w:rFonts w:ascii="Calibri" w:cs="Calibri" w:eastAsia="Calibri" w:hAnsi="Calibri"/>
                <w:i/>
                <w:iCs/>
                <w:sz w:val="21"/>
                <w:szCs w:val="21"/>
              </w:rPr>
              <w:t xml:space="preserve">Una persona menor de 13 años juega en línea todas las tardes. Un "amigo" que conoció en el juego, que dice tener su misma edad, le pide desde hace semanas fotos personales y que no le cuente a nadie de su amistad "porque los adultos no entienden".</w:t>
            </w:r>
          </w:p>
        </w:tc>
      </w:tr>
    </w:tbl>
    <w:p>
      <w:pPr>
        <w:spacing w:after="100"/>
      </w:pPr>
    </w:p>
    <w:p>
      <w:pPr>
        <w:pStyle w:val="ListParagraph"/>
        <w:numPr>
          <w:ilvl w:val="0"/>
          <w:numId w:val="2"/>
        </w:numPr>
        <w:spacing w:after="100" w:line="300"/>
      </w:pPr>
      <w:r>
        <w:rPr>
          <w:rFonts w:ascii="Calibri" w:cs="Calibri" w:eastAsia="Calibri" w:hAnsi="Calibri"/>
          <w:sz w:val="22"/>
          <w:szCs w:val="22"/>
        </w:rPr>
        <w:t xml:space="preserve">¿Qué riesgo de los vistos en clase describe este caso? Anote dos señales de alerta presentes en la situación.</w:t>
      </w:r>
    </w:p>
    <w:p>
      <w:pPr>
        <w:pBdr>
          <w:bottom w:val="single" w:color="B9C4DE" w:sz="4"/>
        </w:pBdr>
        <w:spacing w:after="60"/>
      </w:pPr>
      <w:r>
        <w:rPr>
          <w:rFonts w:ascii="Calibri" w:cs="Calibri" w:eastAsia="Calibri" w:hAnsi="Calibri"/>
          <w:sz w:val="26"/>
          <w:szCs w:val="26"/>
        </w:rPr>
        <w:t xml:space="preserve"> </w:t>
      </w:r>
    </w:p>
    <w:p>
      <w:pPr>
        <w:pBdr>
          <w:bottom w:val="single" w:color="B9C4DE" w:sz="4"/>
        </w:pBdr>
        <w:spacing w:after="60"/>
      </w:pPr>
      <w:r>
        <w:rPr>
          <w:rFonts w:ascii="Calibri" w:cs="Calibri" w:eastAsia="Calibri" w:hAnsi="Calibri"/>
          <w:sz w:val="26"/>
          <w:szCs w:val="26"/>
        </w:rPr>
        <w:t xml:space="preserve"> </w:t>
      </w:r>
    </w:p>
    <w:p>
      <w:pPr>
        <w:pBdr>
          <w:bottom w:val="single" w:color="B9C4DE" w:sz="4"/>
        </w:pBdr>
        <w:spacing w:after="60"/>
      </w:pPr>
      <w:r>
        <w:rPr>
          <w:rFonts w:ascii="Calibri" w:cs="Calibri" w:eastAsia="Calibri" w:hAnsi="Calibri"/>
          <w:sz w:val="26"/>
          <w:szCs w:val="26"/>
        </w:rPr>
        <w:t xml:space="preserve"> </w:t>
      </w:r>
    </w:p>
    <w:p>
      <w:pPr>
        <w:pStyle w:val="ListParagraph"/>
        <w:numPr>
          <w:ilvl w:val="0"/>
          <w:numId w:val="2"/>
        </w:numPr>
        <w:spacing w:after="100" w:line="300"/>
      </w:pPr>
      <w:r>
        <w:rPr>
          <w:rFonts w:ascii="Calibri" w:cs="Calibri" w:eastAsia="Calibri" w:hAnsi="Calibri"/>
          <w:sz w:val="22"/>
          <w:szCs w:val="22"/>
        </w:rPr>
        <w:t xml:space="preserve">¿Qué debería hacer la persona menor y qué NO debería hacer? Complete la tabla: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100"/>
        <w:gridCol w:w="5100"/>
      </w:tblGrid>
      <w:tr>
        <w:tc>
          <w:tcPr>
            <w:tcW w:type="dxa" w:w="5100"/>
            <w:tcBorders>
              <w:top w:val="single" w:color="D7DEF0" w:sz="4"/>
              <w:left w:val="single" w:color="D7DEF0" w:sz="4"/>
              <w:bottom w:val="single" w:color="D7DEF0" w:sz="4"/>
              <w:right w:val="single" w:color="D7DEF0" w:sz="4"/>
            </w:tcBorders>
            <w:shd w:fill="1E2761"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Sí debe hacer</w:t>
            </w:r>
          </w:p>
        </w:tc>
        <w:tc>
          <w:tcPr>
            <w:tcW w:type="dxa" w:w="5100"/>
            <w:tcBorders>
              <w:top w:val="single" w:color="D7DEF0" w:sz="4"/>
              <w:left w:val="single" w:color="D7DEF0" w:sz="4"/>
              <w:bottom w:val="single" w:color="D7DEF0" w:sz="4"/>
              <w:right w:val="single" w:color="D7DEF0" w:sz="4"/>
            </w:tcBorders>
            <w:shd w:fill="1E2761"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No debe hacer</w:t>
            </w:r>
          </w:p>
        </w:tc>
      </w:tr>
      <w:tr>
        <w:tc>
          <w:tcPr>
            <w:tcW w:type="dxa" w:w="5100"/>
            <w:tcBorders>
              <w:top w:val="single" w:color="D7DEF0" w:sz="4"/>
              <w:left w:val="single" w:color="D7DEF0" w:sz="4"/>
              <w:bottom w:val="single" w:color="D7DEF0" w:sz="4"/>
              <w:right w:val="single" w:color="D7DEF0" w:sz="4"/>
            </w:tcBorders>
            <w:tcMar>
              <w:top w:type="dxa" w:w="90"/>
              <w:left w:type="dxa" w:w="120"/>
              <w:bottom w:type="dxa" w:w="90"/>
              <w:right w:type="dxa" w:w="120"/>
            </w:tcMar>
          </w:tcPr>
          <w:p>
            <w:r>
              <w:rPr>
                <w:rFonts w:ascii="Calibri" w:cs="Calibri" w:eastAsia="Calibri" w:hAnsi="Calibri"/>
                <w:sz w:val="22"/>
                <w:szCs w:val="22"/>
              </w:rPr>
              <w:t xml:space="preserve"> </w:t>
            </w:r>
          </w:p>
        </w:tc>
        <w:tc>
          <w:tcPr>
            <w:tcW w:type="dxa" w:w="5100"/>
            <w:tcBorders>
              <w:top w:val="single" w:color="D7DEF0" w:sz="4"/>
              <w:left w:val="single" w:color="D7DEF0" w:sz="4"/>
              <w:bottom w:val="single" w:color="D7DEF0" w:sz="4"/>
              <w:right w:val="single" w:color="D7DEF0" w:sz="4"/>
            </w:tcBorders>
            <w:tcMar>
              <w:top w:type="dxa" w:w="90"/>
              <w:left w:type="dxa" w:w="120"/>
              <w:bottom w:type="dxa" w:w="90"/>
              <w:right w:type="dxa" w:w="120"/>
            </w:tcMar>
          </w:tcPr>
          <w:p>
            <w:r>
              <w:rPr>
                <w:rFonts w:ascii="Calibri" w:cs="Calibri" w:eastAsia="Calibri" w:hAnsi="Calibri"/>
                <w:sz w:val="22"/>
                <w:szCs w:val="22"/>
              </w:rPr>
              <w:t xml:space="preserve"> </w:t>
            </w:r>
          </w:p>
        </w:tc>
      </w:tr>
      <w:tr>
        <w:tc>
          <w:tcPr>
            <w:tcW w:type="dxa" w:w="5100"/>
            <w:tcBorders>
              <w:top w:val="single" w:color="D7DEF0" w:sz="4"/>
              <w:left w:val="single" w:color="D7DEF0" w:sz="4"/>
              <w:bottom w:val="single" w:color="D7DEF0" w:sz="4"/>
              <w:right w:val="single" w:color="D7DEF0" w:sz="4"/>
            </w:tcBorders>
            <w:tcMar>
              <w:top w:type="dxa" w:w="90"/>
              <w:left w:type="dxa" w:w="120"/>
              <w:bottom w:type="dxa" w:w="90"/>
              <w:right w:type="dxa" w:w="120"/>
            </w:tcMar>
          </w:tcPr>
          <w:p>
            <w:r>
              <w:rPr>
                <w:rFonts w:ascii="Calibri" w:cs="Calibri" w:eastAsia="Calibri" w:hAnsi="Calibri"/>
                <w:sz w:val="22"/>
                <w:szCs w:val="22"/>
              </w:rPr>
              <w:t xml:space="preserve"> </w:t>
            </w:r>
          </w:p>
        </w:tc>
        <w:tc>
          <w:tcPr>
            <w:tcW w:type="dxa" w:w="5100"/>
            <w:tcBorders>
              <w:top w:val="single" w:color="D7DEF0" w:sz="4"/>
              <w:left w:val="single" w:color="D7DEF0" w:sz="4"/>
              <w:bottom w:val="single" w:color="D7DEF0" w:sz="4"/>
              <w:right w:val="single" w:color="D7DEF0" w:sz="4"/>
            </w:tcBorders>
            <w:tcMar>
              <w:top w:type="dxa" w:w="90"/>
              <w:left w:type="dxa" w:w="120"/>
              <w:bottom w:type="dxa" w:w="90"/>
              <w:right w:type="dxa" w:w="120"/>
            </w:tcMar>
          </w:tcPr>
          <w:p>
            <w:r>
              <w:rPr>
                <w:rFonts w:ascii="Calibri" w:cs="Calibri" w:eastAsia="Calibri" w:hAnsi="Calibri"/>
                <w:sz w:val="22"/>
                <w:szCs w:val="22"/>
              </w:rPr>
              <w:t xml:space="preserve"> </w:t>
            </w:r>
          </w:p>
        </w:tc>
      </w:tr>
    </w:tbl>
    <w:p>
      <w:pPr>
        <w:spacing w:after="140"/>
      </w:pPr>
    </w:p>
    <w:p>
      <w:pPr>
        <w:spacing w:after="120" w:line="300"/>
      </w:pPr>
      <w:r>
        <w:rPr>
          <w:rFonts w:ascii="Cambria" w:cs="Cambria" w:eastAsia="Cambria" w:hAnsi="Cambria"/>
          <w:b/>
          <w:bCs/>
          <w:color w:val="1E2761"/>
          <w:sz w:val="24"/>
          <w:szCs w:val="24"/>
        </w:rPr>
        <w:t xml:space="preserve">Caso 3</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D7DEF0" w:sz="4"/>
              <w:left w:val="single" w:color="D7DEF0" w:sz="4"/>
              <w:bottom w:val="single" w:color="D7DEF0" w:sz="4"/>
              <w:right w:val="single" w:color="D7DEF0" w:sz="4"/>
            </w:tcBorders>
            <w:shd w:fill="F4F7FD" w:val="clear"/>
            <w:tcMar>
              <w:top w:type="dxa" w:w="140"/>
              <w:left w:type="dxa" w:w="180"/>
              <w:bottom w:type="dxa" w:w="140"/>
              <w:right w:type="dxa" w:w="180"/>
            </w:tcMar>
          </w:tcPr>
          <w:p>
            <w:pPr>
              <w:spacing w:after="80"/>
            </w:pPr>
            <w:r>
              <w:rPr>
                <w:rFonts w:ascii="Calibri" w:cs="Calibri" w:eastAsia="Calibri" w:hAnsi="Calibri"/>
                <w:b/>
                <w:bCs/>
                <w:sz w:val="21"/>
                <w:szCs w:val="21"/>
              </w:rPr>
              <w:t xml:space="preserve">Situación:</w:t>
            </w:r>
          </w:p>
          <w:p>
            <w:pPr>
              <w:spacing w:after="0" w:line="300"/>
            </w:pPr>
            <w:r>
              <w:rPr>
                <w:rFonts w:ascii="Calibri" w:cs="Calibri" w:eastAsia="Calibri" w:hAnsi="Calibri"/>
                <w:i/>
                <w:iCs/>
                <w:sz w:val="21"/>
                <w:szCs w:val="21"/>
              </w:rPr>
              <w:t xml:space="preserve">En un café internet del barrio, niños de escuela acceden sin ninguna restricción a páginas con contenido violento. El dueño dice que "él no es el papá de nadie" y que no piensa instalar ningún filtro.</w:t>
            </w:r>
          </w:p>
        </w:tc>
      </w:tr>
    </w:tbl>
    <w:p>
      <w:pPr>
        <w:spacing w:after="100"/>
      </w:pPr>
    </w:p>
    <w:p>
      <w:pPr>
        <w:pStyle w:val="ListParagraph"/>
        <w:numPr>
          <w:ilvl w:val="0"/>
          <w:numId w:val="2"/>
        </w:numPr>
        <w:spacing w:after="100" w:line="300"/>
      </w:pPr>
      <w:r>
        <w:rPr>
          <w:rFonts w:ascii="Calibri" w:cs="Calibri" w:eastAsia="Calibri" w:hAnsi="Calibri"/>
          <w:sz w:val="22"/>
          <w:szCs w:val="22"/>
        </w:rPr>
        <w:t xml:space="preserve">¿Está el dueño incumpliendo alguna ley? ¿Cuál y por qué?</w:t>
      </w:r>
    </w:p>
    <w:p>
      <w:pPr>
        <w:pBdr>
          <w:bottom w:val="single" w:color="B9C4DE" w:sz="4"/>
        </w:pBdr>
        <w:spacing w:after="60"/>
      </w:pPr>
      <w:r>
        <w:rPr>
          <w:rFonts w:ascii="Calibri" w:cs="Calibri" w:eastAsia="Calibri" w:hAnsi="Calibri"/>
          <w:sz w:val="26"/>
          <w:szCs w:val="26"/>
        </w:rPr>
        <w:t xml:space="preserve"> </w:t>
      </w:r>
    </w:p>
    <w:p>
      <w:pPr>
        <w:pBdr>
          <w:bottom w:val="single" w:color="B9C4DE" w:sz="4"/>
        </w:pBdr>
        <w:spacing w:after="60"/>
      </w:pPr>
      <w:r>
        <w:rPr>
          <w:rFonts w:ascii="Calibri" w:cs="Calibri" w:eastAsia="Calibri" w:hAnsi="Calibri"/>
          <w:sz w:val="26"/>
          <w:szCs w:val="26"/>
        </w:rPr>
        <w:t xml:space="preserve"> </w:t>
      </w:r>
    </w:p>
    <w:p>
      <w:pPr>
        <w:pStyle w:val="ListParagraph"/>
        <w:numPr>
          <w:ilvl w:val="0"/>
          <w:numId w:val="2"/>
        </w:numPr>
        <w:spacing w:after="100" w:line="300"/>
      </w:pPr>
      <w:r>
        <w:rPr>
          <w:rFonts w:ascii="Calibri" w:cs="Calibri" w:eastAsia="Calibri" w:hAnsi="Calibri"/>
          <w:sz w:val="22"/>
          <w:szCs w:val="22"/>
        </w:rPr>
        <w:t xml:space="preserve">¿Por qué cree que la ley pone esa responsabilidad en el negocio y no solo en las familias? Argumente.</w:t>
      </w:r>
    </w:p>
    <w:p>
      <w:pPr>
        <w:pBdr>
          <w:bottom w:val="single" w:color="B9C4DE" w:sz="4"/>
        </w:pBdr>
        <w:spacing w:after="60"/>
      </w:pPr>
      <w:r>
        <w:rPr>
          <w:rFonts w:ascii="Calibri" w:cs="Calibri" w:eastAsia="Calibri" w:hAnsi="Calibri"/>
          <w:sz w:val="26"/>
          <w:szCs w:val="26"/>
        </w:rPr>
        <w:t xml:space="preserve"> </w:t>
      </w:r>
    </w:p>
    <w:p>
      <w:pPr>
        <w:pBdr>
          <w:bottom w:val="single" w:color="B9C4DE" w:sz="4"/>
        </w:pBdr>
        <w:spacing w:after="60"/>
      </w:pPr>
      <w:r>
        <w:rPr>
          <w:rFonts w:ascii="Calibri" w:cs="Calibri" w:eastAsia="Calibri" w:hAnsi="Calibri"/>
          <w:sz w:val="26"/>
          <w:szCs w:val="26"/>
        </w:rPr>
        <w:t xml:space="preserve"> </w:t>
      </w:r>
    </w:p>
    <w:p>
      <w:pPr>
        <w:pBdr>
          <w:bottom w:val="single" w:color="B9C4DE" w:sz="4"/>
        </w:pBdr>
        <w:spacing w:after="60"/>
      </w:pPr>
      <w:r>
        <w:rPr>
          <w:rFonts w:ascii="Calibri" w:cs="Calibri" w:eastAsia="Calibri" w:hAnsi="Calibri"/>
          <w:sz w:val="26"/>
          <w:szCs w:val="26"/>
        </w:rPr>
        <w:t xml:space="preserve"> </w:t>
      </w:r>
    </w:p>
    <w:p>
      <w:pPr>
        <w:spacing w:after="100" w:before="240"/>
      </w:pPr>
      <w:r>
        <w:rPr>
          <w:rFonts w:ascii="Cambria" w:cs="Cambria" w:eastAsia="Cambria" w:hAnsi="Cambria"/>
          <w:b/>
          <w:bCs/>
          <w:color w:val="1E2761"/>
          <w:sz w:val="26"/>
          <w:szCs w:val="26"/>
        </w:rPr>
        <w:t xml:space="preserve">Cierre</w:t>
      </w:r>
    </w:p>
    <w:p>
      <w:pPr>
        <w:pStyle w:val="ListParagraph"/>
        <w:numPr>
          <w:ilvl w:val="0"/>
          <w:numId w:val="2"/>
        </w:numPr>
        <w:spacing w:after="100" w:line="300"/>
      </w:pPr>
      <w:r>
        <w:rPr>
          <w:rFonts w:ascii="Calibri" w:cs="Calibri" w:eastAsia="Calibri" w:hAnsi="Calibri"/>
          <w:sz w:val="22"/>
          <w:szCs w:val="22"/>
        </w:rPr>
        <w:t xml:space="preserve">De todo lo visto hoy, ¿cuál norma o medida le parece la más importante y por qué?</w:t>
      </w:r>
    </w:p>
    <w:p>
      <w:pPr>
        <w:pBdr>
          <w:bottom w:val="single" w:color="B9C4DE" w:sz="4"/>
        </w:pBdr>
        <w:spacing w:after="60"/>
      </w:pPr>
      <w:r>
        <w:rPr>
          <w:rFonts w:ascii="Calibri" w:cs="Calibri" w:eastAsia="Calibri" w:hAnsi="Calibri"/>
          <w:sz w:val="26"/>
          <w:szCs w:val="26"/>
        </w:rPr>
        <w:t xml:space="preserve"> </w:t>
      </w:r>
    </w:p>
    <w:p>
      <w:pPr>
        <w:pBdr>
          <w:bottom w:val="single" w:color="B9C4DE" w:sz="4"/>
        </w:pBdr>
        <w:spacing w:after="60"/>
      </w:pPr>
      <w:r>
        <w:rPr>
          <w:rFonts w:ascii="Calibri" w:cs="Calibri" w:eastAsia="Calibri" w:hAnsi="Calibri"/>
          <w:sz w:val="26"/>
          <w:szCs w:val="26"/>
        </w:rPr>
        <w:t xml:space="preserve">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8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2026-07-21T22:34:40.705Z</dcterms:created>
  <dcterms:modified xsi:type="dcterms:W3CDTF">2026-07-21T22:34:40.706Z</dcterms:modified>
</cp:coreProperties>
</file>

<file path=docProps/custom.xml><?xml version="1.0" encoding="utf-8"?>
<Properties xmlns="http://schemas.openxmlformats.org/officeDocument/2006/custom-properties" xmlns:vt="http://schemas.openxmlformats.org/officeDocument/2006/docPropsVTypes"/>
</file>