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Práctica de Examen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Uso Seguro de Internet y Software de Edición de Imágenes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Diseño de Software  ·  Duodécimo  ·  Sección 3-5  ·  Temas 5 y 6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Material de práctica para repaso. Sin puntaje.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360"/>
        <w:gridCol w:w="2200"/>
        <w:gridCol w:w="2800"/>
      </w:tblGrid>
      <w:tr>
        <w:trPr>
          <w:cantSplit/>
        </w:trPr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21"/>
                <w:szCs w:val="21"/>
              </w:rPr>
              <w:t xml:space="preserve">Nombre:</w:t>
            </w:r>
            <w:r>
              <w:rPr>
                <w:sz w:val="21"/>
                <w:szCs w:val="21"/>
              </w:rPr>
              <w:t xml:space="preserve"> _________________________________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21"/>
                <w:szCs w:val="21"/>
              </w:rPr>
              <w:t xml:space="preserve">Sección:</w:t>
            </w:r>
            <w:r>
              <w:rPr>
                <w:sz w:val="21"/>
                <w:szCs w:val="21"/>
              </w:rPr>
              <w:t xml:space="preserve"> __________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21"/>
                <w:szCs w:val="21"/>
              </w:rPr>
              <w:t xml:space="preserve">Fecha:</w:t>
            </w:r>
            <w:r>
              <w:rPr>
                <w:sz w:val="21"/>
                <w:szCs w:val="21"/>
              </w:rPr>
              <w:t xml:space="preserve"> ______________</w:t>
            </w:r>
          </w:p>
        </w:tc>
      </w:tr>
    </w:tbl>
    <w:p>
      <w:pPr>
        <w:spacing w:after="140"/>
      </w:pPr>
    </w:p>
    <w:p>
      <w:pPr>
        <w:spacing w:after="120" w:line="264"/>
      </w:pPr>
      <w:r>
        <w:rPr>
          <w:b/>
          <w:bCs/>
          <w:sz w:val="22"/>
          <w:szCs w:val="22"/>
        </w:rPr>
        <w:t xml:space="preserve">Docente:</w:t>
      </w:r>
      <w:r>
        <w:rPr>
          <w:sz w:val="22"/>
          <w:szCs w:val="22"/>
        </w:rPr>
        <w:t xml:space="preserve"> Lic. Jefernee Patricio Ruiz García</w:t>
      </w: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Indicaciones generales</w:t>
      </w:r>
    </w:p>
    <w:p>
      <w:pPr>
        <w:spacing w:after="120" w:line="264"/>
      </w:pPr>
      <w:r>
        <w:rPr>
          <w:sz w:val="22"/>
          <w:szCs w:val="22"/>
        </w:rPr>
        <w:t xml:space="preserve">Todas las respuestas están en las dos presentaciones y en las prácticas que hicimos en clase, y puede consultarlas mientras resuelve. Trabaje de forma individual y con letra legible.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Recordatorios que puede usar en toda la práctica</w:t>
            </w:r>
          </w:p>
          <w:p>
            <w:pPr>
              <w:spacing w:after="40" w:line="252"/>
            </w:pPr>
            <w:r>
              <w:rPr>
                <w:b/>
                <w:bCs/>
                <w:sz w:val="21"/>
                <w:szCs w:val="21"/>
              </w:rPr>
              <w:t xml:space="preserve">Regla de formatos:</w:t>
            </w:r>
            <w:r>
              <w:rPr>
                <w:sz w:val="21"/>
                <w:szCs w:val="21"/>
              </w:rPr>
              <w:t xml:space="preserve">  fotografía → WebP (con respaldo JPG)  ·  logo o icono → SVG  ·  transparencia → PNG o WebP  ·  animación → MP4 antes que GIF.</w:t>
            </w:r>
          </w:p>
          <w:p>
            <w:pPr>
              <w:spacing w:after="40" w:line="252"/>
            </w:pPr>
            <w:r>
              <w:rPr>
                <w:b/>
                <w:bCs/>
                <w:sz w:val="21"/>
                <w:szCs w:val="21"/>
              </w:rPr>
              <w:t xml:space="preserve">Una imagen se exporta</w:t>
            </w:r>
            <w:r>
              <w:rPr>
                <w:sz w:val="21"/>
                <w:szCs w:val="21"/>
              </w:rPr>
              <w:t xml:space="preserve"> del tamaño con que se va a ver en la página, no más grande.</w:t>
            </w:r>
          </w:p>
          <w:p>
            <w:pPr>
              <w:spacing w:after="40" w:line="252"/>
            </w:pPr>
            <w:r>
              <w:rPr>
                <w:b/>
                <w:bCs/>
                <w:sz w:val="21"/>
                <w:szCs w:val="21"/>
              </w:rPr>
              <w:t xml:space="preserve">Los cuatro criterios para decidir nube o escritorio:</w:t>
            </w:r>
            <w:r>
              <w:rPr>
                <w:sz w:val="21"/>
                <w:szCs w:val="21"/>
              </w:rPr>
              <w:t xml:space="preserve">  el equipo disponible  ·  la conexión  ·  la confidencialidad de los datos  ·  el presupuesto.</w:t>
            </w:r>
          </w:p>
        </w:tc>
      </w:tr>
    </w:tbl>
    <w:p>
      <w:pPr>
        <w:keepNext/>
        <w:pBdr>
          <w:bottom w:val="single" w:color="000000" w:sz="6" w:space="2"/>
        </w:pBdr>
        <w:spacing w:after="100" w:before="340"/>
      </w:pPr>
      <w:r>
        <w:rPr>
          <w:b/>
          <w:bCs/>
          <w:sz w:val="26"/>
          <w:szCs w:val="26"/>
        </w:rPr>
        <w:t xml:space="preserve">Sección I — Selección de respuesta simple</w:t>
      </w:r>
    </w:p>
    <w:p>
      <w:pPr>
        <w:keepNext/>
        <w:spacing w:after="160" w:line="264"/>
      </w:pPr>
      <w:r>
        <w:rPr>
          <w:b/>
          <w:bCs/>
          <w:i/>
          <w:iCs/>
          <w:sz w:val="21"/>
          <w:szCs w:val="21"/>
        </w:rPr>
        <w:t xml:space="preserve">Instrucción: </w:t>
      </w:r>
      <w:r>
        <w:rPr>
          <w:i/>
          <w:iCs/>
          <w:sz w:val="21"/>
          <w:szCs w:val="21"/>
        </w:rPr>
        <w:t xml:space="preserve">Lea cada enunciado y marque con una equis (X) dentro del paréntesis de la opción correcta. Solo una respuesta es válida por ítem.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1.  </w:t>
            </w:r>
            <w:r>
              <w:rPr>
                <w:sz w:val="22"/>
                <w:szCs w:val="22"/>
              </w:rPr>
              <w:t xml:space="preserve">¿Qué es el grooming?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Un adulto que se gana la confianza de una persona menor en línea con fines de abuso.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Un programa para editar fotografías.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Un tipo de contraseña muy segura.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Una red social exclusiva para menores de edad.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2.  </w:t>
            </w:r>
            <w:r>
              <w:rPr>
                <w:sz w:val="22"/>
                <w:szCs w:val="22"/>
              </w:rPr>
              <w:t xml:space="preserve">¿Qué es el phishing?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Publicar la ubicación en redes sociales.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Mensajes o sitios falsos que buscan robar contraseñas, dinero o datos.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Compartir el celular con un amigo.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Un filtro de contenido para menores.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3.  </w:t>
            </w:r>
            <w:r>
              <w:rPr>
                <w:sz w:val="22"/>
                <w:szCs w:val="22"/>
              </w:rPr>
              <w:t xml:space="preserve">El acoso, las burlas o la humillación entre compañeros por redes, chats o juegos en línea se llama: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Phishing.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Ciberacoso.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Contenido nocivo.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Compresión con pérdida.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4.  </w:t>
            </w:r>
            <w:r>
              <w:rPr>
                <w:sz w:val="22"/>
                <w:szCs w:val="22"/>
              </w:rPr>
              <w:t xml:space="preserve">La Ley 9048 en Costa Rica se refiere a: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Los delitos informáticos.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El horario escolar.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Los filtros en los cafés internet.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Los derechos del consumidor.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5.  </w:t>
            </w:r>
            <w:r>
              <w:rPr>
                <w:sz w:val="22"/>
                <w:szCs w:val="22"/>
              </w:rPr>
              <w:t xml:space="preserve">La Ley 7739 corresponde a: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La Ley de Delitos Informáticos.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El Código de la Niñez y la Adolescencia.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La Ley de Protección de Datos.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La Convención sobre los Derechos del Niño.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6.  </w:t>
            </w:r>
            <w:r>
              <w:rPr>
                <w:sz w:val="22"/>
                <w:szCs w:val="22"/>
              </w:rPr>
              <w:t xml:space="preserve">La Ley 8934 obliga a los lugares con acceso público a internet a: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Cobrar una tarifa por hora.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Pedir la cédula a los usuarios.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Instalar filtros que bloqueen contenido nocivo para menores.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Cerrar a las 8 de la noche.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7.  </w:t>
            </w:r>
            <w:r>
              <w:rPr>
                <w:sz w:val="22"/>
                <w:szCs w:val="22"/>
              </w:rPr>
              <w:t xml:space="preserve">Una persona menor de edad cuenta a su familia que alguien la molesta en línea. El primer paso correcto es: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Quitarle el celular.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Escuchar sin culpar.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Responderle al agresor.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Borrar la conversación.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8.  </w:t>
            </w:r>
            <w:r>
              <w:rPr>
                <w:sz w:val="22"/>
                <w:szCs w:val="22"/>
              </w:rPr>
              <w:t xml:space="preserve">Antes de bloquear al agresor conviene: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Guardar la evidencia: capturas, mensajes y fechas.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Contestarle una sola vez.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Cerrar la cuenta para siempre.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Esperar una semana a ver si se detiene.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9.  </w:t>
            </w:r>
            <w:r>
              <w:rPr>
                <w:sz w:val="22"/>
                <w:szCs w:val="22"/>
              </w:rPr>
              <w:t xml:space="preserve">Cuando en un caso en línea hay un delito, la denuncia se presenta ante: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El PANI.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El OIJ.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La Defensoría de los Habitantes.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El colegio.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10.  </w:t>
            </w:r>
            <w:r>
              <w:rPr>
                <w:sz w:val="22"/>
                <w:szCs w:val="22"/>
              </w:rPr>
              <w:t xml:space="preserve">Como personas desarrolladoras, pedir en un formulario solo los datos que el sistema necesita corresponde al principio de: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Aviso de privacidad claro.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Mecanismos de reporte.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Datos mínimos posibles.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Diseño llamativo.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11.  </w:t>
            </w:r>
            <w:r>
              <w:rPr>
                <w:sz w:val="22"/>
                <w:szCs w:val="22"/>
              </w:rPr>
              <w:t xml:space="preserve">Una imagen formada por una malla de píxeles, que se pixela al ampliarla, es una imagen: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Vectorial.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De mapa de bits.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Animada.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Comprimida sin pérdida.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12.  </w:t>
            </w:r>
            <w:r>
              <w:rPr>
                <w:sz w:val="22"/>
                <w:szCs w:val="22"/>
              </w:rPr>
              <w:t xml:space="preserve">Una imagen que se define con puntos y trazos, y que escala a cualquier tamaño sin perder calidad, es: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De mapa de bits.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Una fotografía.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Vectorial.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Un archivo GIF.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13.  </w:t>
            </w:r>
            <w:r>
              <w:rPr>
                <w:sz w:val="22"/>
                <w:szCs w:val="22"/>
              </w:rPr>
              <w:t xml:space="preserve">El formato más adecuado para el logo de un negocio es: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JPG.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GIF.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SVG.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PSD.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14.  </w:t>
            </w:r>
            <w:r>
              <w:rPr>
                <w:sz w:val="22"/>
                <w:szCs w:val="22"/>
              </w:rPr>
              <w:t xml:space="preserve">¿Cuál de estos formatos NO admite transparencia?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PNG.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JPG.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WebP.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SVG.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15.  </w:t>
            </w:r>
            <w:r>
              <w:rPr>
                <w:sz w:val="22"/>
                <w:szCs w:val="22"/>
              </w:rPr>
              <w:t xml:space="preserve">El formato que reemplaza a JPG y PNG logrando el mismo resultado con menos peso es: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GIF.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WebP.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EPS.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BMP.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16.  </w:t>
            </w:r>
            <w:r>
              <w:rPr>
                <w:sz w:val="22"/>
                <w:szCs w:val="22"/>
              </w:rPr>
              <w:t xml:space="preserve">Según la presentación, la causa número uno de que un sitio web cargue lento es: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Que el código tenga muchas líneas.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Que las imágenes no estén optimizadas.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Que el sitio use muchos colores.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Que el servidor esté en otro país.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17.  </w:t>
            </w:r>
            <w:r>
              <w:rPr>
                <w:sz w:val="22"/>
                <w:szCs w:val="22"/>
              </w:rPr>
              <w:t xml:space="preserve">El panel del editor que permite corregir un elemento sin dañar los demás es el panel de: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Color.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Historial.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Capas.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Propiedades.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18.  </w:t>
            </w:r>
            <w:r>
              <w:rPr>
                <w:sz w:val="22"/>
                <w:szCs w:val="22"/>
              </w:rPr>
              <w:t xml:space="preserve">El archivo que se sube al sitio web es: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El editable, con todas sus capas.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El exportado.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El original de la cámara.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Cualquiera de los dos.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19.  </w:t>
            </w:r>
            <w:r>
              <w:rPr>
                <w:sz w:val="22"/>
                <w:szCs w:val="22"/>
              </w:rPr>
              <w:t xml:space="preserve">Que un software de edición sea "en la nube" significa que: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Se instala en la computadora y funciona sin internet.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Se ejecuta en el navegador y no se instala.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Solo funciona en computadoras muy potentes.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Guarda las imágenes en un disco externo.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60" w:line="252"/>
            </w:pPr>
            <w:r>
              <w:rPr>
                <w:b/>
                <w:bCs/>
                <w:sz w:val="22"/>
                <w:szCs w:val="22"/>
              </w:rPr>
              <w:t xml:space="preserve">20.  </w:t>
            </w:r>
            <w:r>
              <w:rPr>
                <w:sz w:val="22"/>
                <w:szCs w:val="22"/>
              </w:rPr>
              <w:t xml:space="preserve">La herramienta de edición en la nube que se parece a Photoshop y abre archivos PSD es: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a. Canva.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line="252"/>
            </w:pPr>
            <w:r>
              <w:rPr>
                <w:sz w:val="21"/>
                <w:szCs w:val="21"/>
              </w:rPr>
              <w:t xml:space="preserve">(     ) b. Figma.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c. Photopea.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(     ) d. TinyPNG.</w:t>
            </w:r>
          </w:p>
        </w:tc>
      </w:tr>
    </w:tbl>
    <w:p>
      <w:pPr>
        <w:spacing w:after="110"/>
      </w:pPr>
    </w:p>
    <w:p>
      <w:pPr>
        <w:keepNext/>
        <w:pBdr>
          <w:bottom w:val="single" w:color="000000" w:sz="6" w:space="2"/>
        </w:pBdr>
        <w:spacing w:after="100" w:before="340"/>
      </w:pPr>
      <w:r>
        <w:rPr>
          <w:b/>
          <w:bCs/>
          <w:sz w:val="26"/>
          <w:szCs w:val="26"/>
        </w:rPr>
        <w:t xml:space="preserve">Sección II — Ítem de correspondencia</w:t>
      </w:r>
    </w:p>
    <w:p>
      <w:pPr>
        <w:keepNext/>
        <w:spacing w:after="160" w:line="264"/>
      </w:pPr>
      <w:r>
        <w:rPr>
          <w:b/>
          <w:bCs/>
          <w:i/>
          <w:iCs/>
          <w:sz w:val="21"/>
          <w:szCs w:val="21"/>
        </w:rPr>
        <w:t xml:space="preserve">Instrucción: </w:t>
      </w:r>
      <w:r>
        <w:rPr>
          <w:i/>
          <w:iCs/>
          <w:sz w:val="21"/>
          <w:szCs w:val="21"/>
        </w:rPr>
        <w:t xml:space="preserve">Escriba en el paréntesis de la columna central la letra de la Columna B que corresponde al concepto de la Columna A. Cada letra se usa una sola vez y no sobran opciones.</w:t>
      </w: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Parte A — Las normas que protegen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1160"/>
        <w:gridCol w:w="5000"/>
      </w:tblGrid>
      <w:tr>
        <w:trPr>
          <w:cantSplit/>
          <w:tblHeader/>
        </w:trPr>
        <w:tc>
          <w:tcPr>
            <w:tcW w:type="dxa" w:w="32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Columna A</w:t>
            </w:r>
          </w:p>
        </w:tc>
        <w:tc>
          <w:tcPr>
            <w:tcW w:type="dxa" w:w="116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(   )</w:t>
            </w:r>
          </w:p>
        </w:tc>
        <w:tc>
          <w:tcPr>
            <w:tcW w:type="dxa" w:w="50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Columna B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Convención sobre los Derechos del Niño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(       )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A.  Sanciona la suplantación de identidad y el fraude informático.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Código de la Niñez y la Adolescencia (Ley 7739)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(       )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B.  Tratado internacional que obliga a los Estados a proteger a la niñez.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Ley 9048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(       )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C.  Ley marco costarricense que garantiza los derechos de las personas menores de 18 años.</w:t>
            </w:r>
          </w:p>
        </w:tc>
      </w:tr>
    </w:tbl>
    <w:p>
      <w:pPr>
        <w:spacing w:after="180"/>
      </w:pP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Parte B — Cada formato con su uso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1160"/>
        <w:gridCol w:w="5000"/>
      </w:tblGrid>
      <w:tr>
        <w:trPr>
          <w:cantSplit/>
          <w:tblHeader/>
        </w:trPr>
        <w:tc>
          <w:tcPr>
            <w:tcW w:type="dxa" w:w="32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Columna A</w:t>
            </w:r>
          </w:p>
        </w:tc>
        <w:tc>
          <w:tcPr>
            <w:tcW w:type="dxa" w:w="116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(   )</w:t>
            </w:r>
          </w:p>
        </w:tc>
        <w:tc>
          <w:tcPr>
            <w:tcW w:type="dxa" w:w="50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Columna B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JPG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(       )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A.  Logos e iconos; escala sin perder calidad.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SVG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(       )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B.  Fotografías y galerías; muy compatible, sin transparencia.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PNG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(       )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C.  Transparencia, capturas de pantalla y texto nítido.</w:t>
            </w:r>
          </w:p>
        </w:tc>
      </w:tr>
    </w:tbl>
    <w:p>
      <w:pPr>
        <w:keepNext/>
        <w:pBdr>
          <w:bottom w:val="single" w:color="000000" w:sz="6" w:space="2"/>
        </w:pBdr>
        <w:spacing w:after="100" w:before="340"/>
      </w:pPr>
      <w:r>
        <w:rPr>
          <w:b/>
          <w:bCs/>
          <w:sz w:val="26"/>
          <w:szCs w:val="26"/>
        </w:rPr>
        <w:t xml:space="preserve">Sección III — Ítem de identificación</w:t>
      </w: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Parte A — Las partes del entorno de trabajo</w:t>
      </w:r>
    </w:p>
    <w:p>
      <w:pPr>
        <w:keepNext/>
        <w:spacing w:after="160" w:line="264"/>
      </w:pPr>
      <w:r>
        <w:rPr>
          <w:b/>
          <w:bCs/>
          <w:i/>
          <w:iCs/>
          <w:sz w:val="21"/>
          <w:szCs w:val="21"/>
        </w:rPr>
        <w:t xml:space="preserve">Instrucción: </w:t>
      </w:r>
      <w:r>
        <w:rPr>
          <w:i/>
          <w:iCs/>
          <w:sz w:val="21"/>
          <w:szCs w:val="21"/>
        </w:rPr>
        <w:t xml:space="preserve">Escoja del recuadro el nombre que corresponde a cada descripción y escríbalo en la columna de la derecha. Use cada nombre una sola vez.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52"/>
            </w:pPr>
            <w:r>
              <w:rPr>
                <w:b/>
                <w:bCs/>
                <w:sz w:val="21"/>
                <w:szCs w:val="21"/>
              </w:rPr>
              <w:t xml:space="preserve">barra de menús</w:t>
            </w:r>
            <w:r>
              <w:rPr>
                <w:sz w:val="21"/>
                <w:szCs w:val="21"/>
              </w:rPr>
              <w:t xml:space="preserve">   ·   </w:t>
            </w:r>
            <w:r>
              <w:rPr>
                <w:b/>
                <w:bCs/>
                <w:sz w:val="21"/>
                <w:szCs w:val="21"/>
              </w:rPr>
              <w:t xml:space="preserve">caja de herramientas</w:t>
            </w:r>
            <w:r>
              <w:rPr>
                <w:sz w:val="21"/>
                <w:szCs w:val="21"/>
              </w:rPr>
              <w:t xml:space="preserve">   ·   </w:t>
            </w:r>
            <w:r>
              <w:rPr>
                <w:b/>
                <w:bCs/>
                <w:sz w:val="21"/>
                <w:szCs w:val="21"/>
              </w:rPr>
              <w:t xml:space="preserve">lienzo</w:t>
            </w:r>
            <w:r>
              <w:rPr>
                <w:sz w:val="21"/>
                <w:szCs w:val="21"/>
              </w:rPr>
              <w:t xml:space="preserve">   ·   </w:t>
            </w:r>
            <w:r>
              <w:rPr>
                <w:b/>
                <w:bCs/>
                <w:sz w:val="21"/>
                <w:szCs w:val="21"/>
              </w:rPr>
              <w:t xml:space="preserve">panel de capas</w:t>
            </w:r>
            <w:r>
              <w:rPr>
                <w:sz w:val="21"/>
                <w:szCs w:val="21"/>
              </w:rPr>
              <w:t xml:space="preserve">   ·   </w:t>
            </w:r>
            <w:r>
              <w:rPr>
                <w:b/>
                <w:bCs/>
                <w:sz w:val="21"/>
                <w:szCs w:val="21"/>
              </w:rPr>
              <w:t xml:space="preserve">barra de estado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60"/>
        <w:gridCol w:w="3300"/>
      </w:tblGrid>
      <w:tr>
        <w:trPr>
          <w:cantSplit/>
          <w:tblHeader/>
        </w:trPr>
        <w:tc>
          <w:tcPr>
            <w:tcW w:type="dxa" w:w="606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33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Nombre de la parte</w:t>
            </w:r>
          </w:p>
        </w:tc>
      </w:tr>
      <w:tr>
        <w:trPr>
          <w:cantSplit/>
          <w:trHeight w:val="400" w:hRule="atLeast"/>
        </w:trPr>
        <w:tc>
          <w:tcPr>
            <w:tcW w:type="dxa" w:w="6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Agrupa todos los comandos: abrir, guardar, exportar y filtros.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400" w:hRule="atLeast"/>
        </w:trPr>
        <w:tc>
          <w:tcPr>
            <w:tcW w:type="dxa" w:w="6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Contiene selección, recorte, pincel, texto, formas y borrador.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400" w:hRule="atLeast"/>
        </w:trPr>
        <w:tc>
          <w:tcPr>
            <w:tcW w:type="dxa" w:w="6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Zona donde se ve y se edita la imagen; lo que queda fuera no se exporta.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400" w:hRule="atLeast"/>
        </w:trPr>
        <w:tc>
          <w:tcPr>
            <w:tcW w:type="dxa" w:w="6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Permite corregir un elemento sin dañar los demás.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400" w:hRule="atLeast"/>
        </w:trPr>
        <w:tc>
          <w:tcPr>
            <w:tcW w:type="dxa" w:w="6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Informa el zoom, las dimensiones y el peso del archivo.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</w:tbl>
    <w:p>
      <w:pPr>
        <w:spacing w:after="220"/>
      </w:pP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Parte B — El camino de una imagen hasta el proyecto</w:t>
      </w:r>
    </w:p>
    <w:p>
      <w:pPr>
        <w:keepNext/>
        <w:spacing w:after="160" w:line="264"/>
      </w:pPr>
      <w:r>
        <w:rPr>
          <w:b/>
          <w:bCs/>
          <w:i/>
          <w:iCs/>
          <w:sz w:val="21"/>
          <w:szCs w:val="21"/>
        </w:rPr>
        <w:t xml:space="preserve">Instrucción: </w:t>
      </w:r>
      <w:r>
        <w:rPr>
          <w:i/>
          <w:iCs/>
          <w:sz w:val="21"/>
          <w:szCs w:val="21"/>
        </w:rPr>
        <w:t xml:space="preserve">Los cinco pasos aparecen desordenados en la tabla. Escriba 1, 2, 3, 4 y 5 en la columna de la derecha, según el orden en que ocurre cada uno.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360"/>
        <w:gridCol w:w="2000"/>
      </w:tblGrid>
      <w:tr>
        <w:trPr>
          <w:cantSplit/>
          <w:tblHeader/>
        </w:trPr>
        <w:tc>
          <w:tcPr>
            <w:tcW w:type="dxa" w:w="736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Paso</w:t>
            </w:r>
          </w:p>
        </w:tc>
        <w:tc>
          <w:tcPr>
            <w:tcW w:type="dxa" w:w="20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Orden</w:t>
            </w: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Nombrar el archivo sin tildes ni espacios.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Integrar la imagen en el HTML con su atributo alt.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Diseñar la pieza en el editor de imágenes.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Optimizar: comprimir y convertir a WebP.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Exportar en las dimensiones reales de uso.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</w:tbl>
    <w:p>
      <w:pPr>
        <w:spacing w:after="220"/>
      </w:pP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Parte C — Si algo ya pasó en línea</w:t>
      </w:r>
    </w:p>
    <w:p>
      <w:pPr>
        <w:keepNext/>
        <w:spacing w:after="160" w:line="264"/>
      </w:pPr>
      <w:r>
        <w:rPr>
          <w:b/>
          <w:bCs/>
          <w:i/>
          <w:iCs/>
          <w:sz w:val="21"/>
          <w:szCs w:val="21"/>
        </w:rPr>
        <w:t xml:space="preserve">Instrucción: </w:t>
      </w:r>
      <w:r>
        <w:rPr>
          <w:i/>
          <w:iCs/>
          <w:sz w:val="21"/>
          <w:szCs w:val="21"/>
        </w:rPr>
        <w:t xml:space="preserve">Los cinco pasos correctivos aparecen desordenados en la tabla. Escriba 1, 2, 3, 4 y 5 en la columna de la derecha, según el orden correcto.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360"/>
        <w:gridCol w:w="2000"/>
      </w:tblGrid>
      <w:tr>
        <w:trPr>
          <w:cantSplit/>
          <w:tblHeader/>
        </w:trPr>
        <w:tc>
          <w:tcPr>
            <w:tcW w:type="dxa" w:w="736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Paso</w:t>
            </w:r>
          </w:p>
        </w:tc>
        <w:tc>
          <w:tcPr>
            <w:tcW w:type="dxa" w:w="20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Orden</w:t>
            </w: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Bloquear al agresor y reportar el perfil en la plataforma.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Escuchar sin culpar a la persona que cuenta lo que pasó.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Acompañar y dar apoyo emocional sostenido.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Denunciar ante el OIJ o buscar orientación en el PANI.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340" w:hRule="atLeast"/>
        </w:trP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Guardar la evidencia: capturas, mensajes y fechas.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</w:tbl>
    <w:p>
      <w:pPr>
        <w:keepNext/>
        <w:pBdr>
          <w:bottom w:val="single" w:color="000000" w:sz="6" w:space="2"/>
        </w:pBdr>
        <w:spacing w:after="100" w:before="340"/>
      </w:pPr>
      <w:r>
        <w:rPr>
          <w:b/>
          <w:bCs/>
          <w:sz w:val="26"/>
          <w:szCs w:val="26"/>
        </w:rPr>
        <w:t xml:space="preserve">Sección IV — Ítem de resolución de casos</w:t>
      </w:r>
    </w:p>
    <w:p>
      <w:pPr>
        <w:keepNext/>
        <w:spacing w:after="160" w:line="264"/>
      </w:pPr>
      <w:r>
        <w:rPr>
          <w:b/>
          <w:bCs/>
          <w:i/>
          <w:iCs/>
          <w:sz w:val="21"/>
          <w:szCs w:val="21"/>
        </w:rPr>
        <w:t xml:space="preserve">Instrucción: </w:t>
      </w:r>
      <w:r>
        <w:rPr>
          <w:i/>
          <w:iCs/>
          <w:sz w:val="21"/>
          <w:szCs w:val="21"/>
        </w:rPr>
        <w:t xml:space="preserve">Lea cada caso y responda. No hay cálculos. En el caso de decisión no existe una única respuesta correcta: lo importante es que la razón tenga sentido.</w:t>
      </w: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Caso 1 — La biblioteca municipal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Situación</w:t>
            </w:r>
          </w:p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Un grupo de estudiantes diseña los afiches digitales de la biblioteca. Las computadoras son viejas y no permiten instalar programas. El internet funciona bien y no hay presupuesto para comprar licencias.</w:t>
            </w:r>
          </w:p>
        </w:tc>
      </w:tr>
    </w:tbl>
    <w:p>
      <w:pPr>
        <w:spacing w:after="100"/>
      </w:pPr>
    </w:p>
    <w:p>
      <w:pPr>
        <w:spacing w:after="60" w:line="264"/>
      </w:pPr>
      <w:r>
        <w:rPr>
          <w:b/>
          <w:bCs/>
          <w:sz w:val="22"/>
          <w:szCs w:val="22"/>
        </w:rPr>
        <w:t xml:space="preserve">a.</w:t>
      </w:r>
      <w:r>
        <w:rPr>
          <w:sz w:val="22"/>
          <w:szCs w:val="22"/>
        </w:rPr>
        <w:t xml:space="preserve"> ¿Qué recomienda para este caso?</w:t>
      </w:r>
    </w:p>
    <w:p>
      <w:pPr>
        <w:spacing w:after="100" w:line="264"/>
        <w:ind w:left="420"/>
      </w:pPr>
      <w:r>
        <w:rPr>
          <w:sz w:val="22"/>
          <w:szCs w:val="22"/>
        </w:rPr>
        <w:t xml:space="preserve">(     ) Software en la nube            (     ) Software de escritorio</w:t>
      </w:r>
    </w:p>
    <w:p>
      <w:pPr>
        <w:spacing w:after="60" w:line="264"/>
      </w:pPr>
      <w:r>
        <w:rPr>
          <w:b/>
          <w:bCs/>
          <w:sz w:val="22"/>
          <w:szCs w:val="22"/>
        </w:rPr>
        <w:t xml:space="preserve">b.</w:t>
      </w:r>
      <w:r>
        <w:rPr>
          <w:sz w:val="22"/>
          <w:szCs w:val="22"/>
        </w:rPr>
        <w:t xml:space="preserve"> ¿Cuál de los cuatro criterios pesó más en su decisión?</w:t>
      </w:r>
    </w:p>
    <w:p>
      <w:pPr>
        <w:spacing w:after="100" w:line="264"/>
        <w:ind w:left="420"/>
      </w:pPr>
      <w:r>
        <w:rPr>
          <w:sz w:val="22"/>
          <w:szCs w:val="22"/>
        </w:rPr>
        <w:t xml:space="preserve">(     ) El equipo disponible      (     ) La conexión      (     ) La confidencialidad      (     ) El presupuesto</w:t>
      </w:r>
    </w:p>
    <w:p>
      <w:pPr>
        <w:spacing w:after="60" w:line="264"/>
      </w:pPr>
      <w:r>
        <w:rPr>
          <w:b/>
          <w:bCs/>
          <w:sz w:val="22"/>
          <w:szCs w:val="22"/>
        </w:rPr>
        <w:t xml:space="preserve">c.</w:t>
      </w:r>
      <w:r>
        <w:rPr>
          <w:sz w:val="22"/>
          <w:szCs w:val="22"/>
        </w:rPr>
        <w:t xml:space="preserve"> Escriba una razón de su decisión.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Caso 2 — La panadería que carga lento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Situación</w:t>
            </w:r>
          </w:p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Los clientes de la Panadería El Trigal dicen que en el celular la página tarda mucho en abrir. En la carpeta de imágenes del proyecto ustedes encuentran estos tres archivos.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b/>
          <w:bCs/>
          <w:sz w:val="22"/>
          <w:szCs w:val="22"/>
        </w:rPr>
        <w:t xml:space="preserve">a.</w:t>
      </w:r>
      <w:r>
        <w:rPr>
          <w:sz w:val="22"/>
          <w:szCs w:val="22"/>
        </w:rPr>
        <w:t xml:space="preserve"> Complete la tabla usando la regla de formatos de la primera página. La primera fila está resuelta como ejemplo.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3060"/>
        <w:gridCol w:w="2300"/>
        <w:gridCol w:w="2300"/>
      </w:tblGrid>
      <w:tr>
        <w:trPr>
          <w:cantSplit/>
          <w:tblHeader/>
        </w:trPr>
        <w:tc>
          <w:tcPr>
            <w:tcW w:type="dxa" w:w="17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Archivo</w:t>
            </w:r>
          </w:p>
        </w:tc>
        <w:tc>
          <w:tcPr>
            <w:tcW w:type="dxa" w:w="306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¿Qué es la imagen?</w:t>
            </w:r>
          </w:p>
        </w:tc>
        <w:tc>
          <w:tcPr>
            <w:tcW w:type="dxa" w:w="23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¿A qué tamaño se exporta?</w:t>
            </w:r>
          </w:p>
        </w:tc>
        <w:tc>
          <w:tcPr>
            <w:tcW w:type="dxa" w:w="2300"/>
            <w:shd w:fill="E8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¿Qué formato conviene?</w:t>
            </w:r>
          </w:p>
        </w:tc>
      </w:tr>
      <w:tr>
        <w:trPr>
          <w:cantSplit/>
          <w:trHeight w:val="400" w:hRule="atLeast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pan.jpg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Fotografía de un pan</w:t>
            </w:r>
          </w:p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Se ve a 1200 × 900 px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i/>
                <w:iCs/>
                <w:sz w:val="21"/>
                <w:szCs w:val="21"/>
              </w:rPr>
              <w:t xml:space="preserve">1200 × 900 px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i/>
                <w:iCs/>
                <w:sz w:val="21"/>
                <w:szCs w:val="21"/>
              </w:rPr>
              <w:t xml:space="preserve">WebP</w:t>
            </w:r>
          </w:p>
        </w:tc>
      </w:tr>
      <w:tr>
        <w:trPr>
          <w:cantSplit/>
          <w:trHeight w:val="400" w:hRule="atLeast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logo.png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El logo de la panadería</w:t>
            </w:r>
          </w:p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Se ve a 200 × 200 px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  <w:tr>
        <w:trPr>
          <w:cantSplit/>
          <w:trHeight w:val="400" w:hRule="atLeast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promo.gif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Animación de 4 colores</w:t>
            </w:r>
          </w:p>
          <w:p>
            <w:pPr>
              <w:spacing w:after="20" w:line="252"/>
            </w:pPr>
            <w:r>
              <w:rPr>
                <w:sz w:val="21"/>
                <w:szCs w:val="21"/>
              </w:rPr>
              <w:t xml:space="preserve">Se ve a 400 × 400 px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</w:p>
        </w:tc>
      </w:tr>
    </w:tbl>
    <w:p>
      <w:pPr>
        <w:spacing w:after="160"/>
      </w:pPr>
    </w:p>
    <w:p>
      <w:pPr>
        <w:spacing w:after="60" w:line="264"/>
      </w:pPr>
      <w:r>
        <w:rPr>
          <w:b/>
          <w:bCs/>
          <w:sz w:val="22"/>
          <w:szCs w:val="22"/>
        </w:rPr>
        <w:t xml:space="preserve">b.</w:t>
      </w:r>
      <w:r>
        <w:rPr>
          <w:sz w:val="22"/>
          <w:szCs w:val="22"/>
        </w:rPr>
        <w:t xml:space="preserve"> Al ampliar el logo se ve pixelado, con los bordes en cuadritos. ¿Por qué pasa eso?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keepNext/>
        <w:spacing w:after="100" w:before="220"/>
      </w:pPr>
      <w:r>
        <w:rPr>
          <w:b/>
          <w:bCs/>
          <w:sz w:val="23"/>
          <w:szCs w:val="23"/>
        </w:rPr>
        <w:t xml:space="preserve">Caso 3 — El perfil falso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Situación</w:t>
            </w:r>
          </w:p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Un estudiante creó un perfil en una red social con el nombre y las fotografías de una compañera de décimo, y desde ese perfil envía mensajes ofensivos a otras personas haciéndose pasar por ella.</w:t>
            </w:r>
          </w:p>
        </w:tc>
      </w:tr>
    </w:tbl>
    <w:p>
      <w:pPr>
        <w:spacing w:after="100"/>
      </w:pPr>
    </w:p>
    <w:p>
      <w:pPr>
        <w:spacing w:after="60" w:line="264"/>
      </w:pPr>
      <w:r>
        <w:rPr>
          <w:b/>
          <w:bCs/>
          <w:sz w:val="22"/>
          <w:szCs w:val="22"/>
        </w:rPr>
        <w:t xml:space="preserve">a.</w:t>
      </w:r>
      <w:r>
        <w:rPr>
          <w:sz w:val="22"/>
          <w:szCs w:val="22"/>
        </w:rPr>
        <w:t xml:space="preserve"> ¿Cómo se llama esta conducta y cuál ley costarricense la sanciona?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60" w:line="264"/>
      </w:pPr>
      <w:r>
        <w:rPr>
          <w:b/>
          <w:bCs/>
          <w:sz w:val="22"/>
          <w:szCs w:val="22"/>
        </w:rPr>
        <w:t xml:space="preserve">b.</w:t>
      </w:r>
      <w:r>
        <w:rPr>
          <w:sz w:val="22"/>
          <w:szCs w:val="22"/>
        </w:rPr>
        <w:t xml:space="preserve"> Si la compañera les pide ayuda, escriba los tres primeros pasos, en orden.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60" w:line="264"/>
      </w:pPr>
      <w:r>
        <w:rPr>
          <w:sz w:val="22"/>
          <w:szCs w:val="22"/>
        </w:rPr>
        <w:t xml:space="preserve">____________________________________________________________________________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Práctica de Examen  ·  Diseño de Software  ·  Duodécimo  ·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2026-08-06T20:20:37.556Z</dcterms:created>
  <dcterms:modified xsi:type="dcterms:W3CDTF">2026-08-06T20:20:37.556Z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