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mbria" w:cs="Cambria" w:eastAsia="Cambria" w:hAnsi="Cambria"/>
          <w:b/>
          <w:bCs/>
          <w:i w:val="false"/>
          <w:iCs w:val="false"/>
          <w:color w:val="1C1B2E"/>
          <w:sz w:val="40"/>
          <w:szCs w:val="40"/>
        </w:rPr>
        <w:t xml:space="preserve">Práctica 1 — La cadena que llega hasta Esparza</w:t>
      </w:r>
    </w:p>
    <w:p>
      <w:pPr>
        <w:spacing w:after="60" w:before="0" w:line="276"/>
      </w:pPr>
      <w:r>
        <w:rPr>
          <w:rFonts w:ascii="Cambria" w:cs="Cambria" w:eastAsia="Cambria" w:hAnsi="Cambria"/>
          <w:b/>
          <w:bCs/>
          <w:i w:val="false"/>
          <w:iCs w:val="false"/>
          <w:color w:val="5B2C87"/>
          <w:sz w:val="27"/>
          <w:szCs w:val="27"/>
        </w:rPr>
        <w:t xml:space="preserve">Análisis de casos · Ciudadanía planetaria y gobernanza mundial</w:t>
      </w:r>
    </w:p>
    <w:p>
      <w:pPr>
        <w:spacing w:after="40" w:before="0" w:line="276"/>
      </w:pPr>
      <w:r>
        <w:rPr>
          <w:rFonts w:ascii="Calibri" w:cs="Calibri" w:eastAsia="Calibri" w:hAnsi="Calibri"/>
          <w:b w:val="false"/>
          <w:bCs w:val="false"/>
          <w:i w:val="false"/>
          <w:iCs w:val="false"/>
          <w:color w:val="6B6880"/>
          <w:sz w:val="21"/>
          <w:szCs w:val="21"/>
        </w:rPr>
        <w:t xml:space="preserve">Ciudadanía planetaria  ·  Especialidad: Desarrollo Web  ·  Undécimo año  ·  Tiempo: 20 minutos</w:t>
      </w:r>
    </w:p>
    <w:p>
      <w:pPr>
        <w:spacing w:after="60" w:before="0" w:line="276"/>
      </w:pPr>
      <w:r>
        <w:rPr>
          <w:rFonts w:ascii="Calibri" w:cs="Calibri" w:eastAsia="Calibri" w:hAnsi="Calibri"/>
          <w:b/>
          <w:bCs/>
          <w:i w:val="false"/>
          <w:iCs w:val="false"/>
          <w:color w:val="D64A2A"/>
          <w:sz w:val="21"/>
          <w:szCs w:val="21"/>
        </w:rPr>
        <w:t xml:space="preserve">Temas: concepto de ciudadanía planetaria, importancia, niveles de gobernanza, organismos mundiales y derechos internacionales.</w:t>
      </w:r>
    </w:p>
    <w:p>
      <w:pPr>
        <w:pBdr>
          <w:bottom w:val="single" w:color="5B2C87" w:sz="8"/>
        </w:pBd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1C1B2E" w:color="auto" w:val="clear"/>
            <w:tcMar>
              <w:top w:type="dxa" w:w="90"/>
              <w:left w:type="dxa" w:w="120"/>
              <w:bottom w:type="dxa" w:w="90"/>
              <w:right w:type="dxa" w:w="120"/>
            </w:tcMar>
            <w:vAlign w:val="center"/>
          </w:tcPr>
          <w:p>
            <w:pPr>
              <w:spacing w:after="0" w:before="0" w:line="276"/>
            </w:pPr>
            <w:r>
              <w:rPr>
                <w:rFonts w:ascii="Calibri" w:cs="Calibri" w:eastAsia="Calibri" w:hAnsi="Calibri"/>
                <w:b/>
                <w:bCs/>
                <w:i w:val="false"/>
                <w:iCs w:val="false"/>
                <w:color w:val="FFFFFF"/>
                <w:sz w:val="22"/>
                <w:szCs w:val="22"/>
              </w:rPr>
              <w:t xml:space="preserve">Nombre del estudiante</w:t>
            </w:r>
          </w:p>
        </w:tc>
        <w:tc>
          <w:tcPr>
            <w:tcW w:type="dxa" w:w="3360"/>
            <w:shd w:fill="1C1B2E" w:color="auto" w:val="clear"/>
            <w:tcMar>
              <w:top w:type="dxa" w:w="90"/>
              <w:left w:type="dxa" w:w="120"/>
              <w:bottom w:type="dxa" w:w="90"/>
              <w:right w:type="dxa" w:w="120"/>
            </w:tcMar>
            <w:vAlign w:val="center"/>
          </w:tcPr>
          <w:p>
            <w:pPr>
              <w:spacing w:after="0" w:before="0" w:line="276"/>
            </w:pPr>
            <w:r>
              <w:rPr>
                <w:rFonts w:ascii="Calibri" w:cs="Calibri" w:eastAsia="Calibri" w:hAnsi="Calibri"/>
                <w:b/>
                <w:bCs/>
                <w:i w:val="false"/>
                <w:iCs w:val="false"/>
                <w:color w:val="FFFFFF"/>
                <w:sz w:val="22"/>
                <w:szCs w:val="22"/>
              </w:rPr>
              <w:t xml:space="preserve">Sección</w:t>
            </w:r>
          </w:p>
        </w:tc>
        <w:tc>
          <w:tcPr>
            <w:tcW w:type="dxa" w:w="3360"/>
            <w:shd w:fill="1C1B2E" w:color="auto" w:val="clear"/>
            <w:tcMar>
              <w:top w:type="dxa" w:w="90"/>
              <w:left w:type="dxa" w:w="120"/>
              <w:bottom w:type="dxa" w:w="90"/>
              <w:right w:type="dxa" w:w="120"/>
            </w:tcMar>
            <w:vAlign w:val="center"/>
          </w:tcPr>
          <w:p>
            <w:pPr>
              <w:spacing w:after="0" w:before="0" w:line="276"/>
            </w:pPr>
            <w:r>
              <w:rPr>
                <w:rFonts w:ascii="Calibri" w:cs="Calibri" w:eastAsia="Calibri" w:hAnsi="Calibri"/>
                <w:b/>
                <w:bCs/>
                <w:i w:val="false"/>
                <w:iCs w:val="false"/>
                <w:color w:val="FFFFFF"/>
                <w:sz w:val="22"/>
                <w:szCs w:val="22"/>
              </w:rPr>
              <w:t xml:space="preserve">Fecha</w:t>
            </w:r>
          </w:p>
        </w:tc>
      </w:tr>
      <w:tr>
        <w:trPr>
          <w:trHeight w:val="480" w:hRule="atLeast"/>
        </w:trPr>
        <w:tc>
          <w:tcPr>
            <w:tcW w:type="dxa" w:w="33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4"/>
                <w:szCs w:val="24"/>
              </w:rPr>
              <w:t xml:space="preserve"> </w:t>
            </w:r>
          </w:p>
        </w:tc>
        <w:tc>
          <w:tcPr>
            <w:tcW w:type="dxa" w:w="33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4"/>
                <w:szCs w:val="24"/>
              </w:rPr>
              <w:t xml:space="preserve"> </w:t>
            </w:r>
          </w:p>
        </w:tc>
        <w:tc>
          <w:tcPr>
            <w:tcW w:type="dxa" w:w="33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4"/>
                <w:szCs w:val="24"/>
              </w:rPr>
              <w:t xml:space="preserve"> </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5B2C87" w:sz="24"/>
              <w:bottom w:val="none" w:color="FFFFFF" w:sz="0"/>
              <w:right w:val="none" w:color="FFFFFF" w:sz="0"/>
            </w:tcBorders>
            <w:shd w:fill="EFEAF7" w:color="auto" w:val="clear"/>
            <w:tcMar>
              <w:top w:type="dxa" w:w="90"/>
              <w:left w:type="dxa" w:w="120"/>
              <w:bottom w:type="dxa" w:w="90"/>
              <w:right w:type="dxa" w:w="120"/>
            </w:tcMar>
            <w:vAlign w:val="center"/>
          </w:tcPr>
          <w:p>
            <w:pPr>
              <w:spacing w:after="80" w:before="0" w:line="276"/>
            </w:pPr>
            <w:r>
              <w:rPr>
                <w:rFonts w:ascii="Calibri" w:cs="Calibri" w:eastAsia="Calibri" w:hAnsi="Calibri"/>
                <w:b/>
                <w:bCs/>
                <w:i w:val="false"/>
                <w:iCs w:val="false"/>
                <w:color w:val="5B2C87"/>
                <w:sz w:val="24"/>
                <w:szCs w:val="24"/>
              </w:rPr>
              <w:t xml:space="preserve">Antes de empezar</w:t>
            </w:r>
          </w:p>
          <w:p>
            <w:pPr>
              <w:spacing w:after="60" w:before="0" w:line="276"/>
            </w:pPr>
            <w:r>
              <w:rPr>
                <w:rFonts w:ascii="Calibri" w:cs="Calibri" w:eastAsia="Calibri" w:hAnsi="Calibri"/>
                <w:b w:val="false"/>
                <w:bCs w:val="false"/>
                <w:i w:val="false"/>
                <w:iCs w:val="false"/>
                <w:color w:val="1C1B2E"/>
                <w:sz w:val="23"/>
                <w:szCs w:val="23"/>
              </w:rPr>
              <w:t xml:space="preserve">•  El trabajo es individual. Puede consultar la presentación durante toda la práctica: ahí están todas las respuestas.</w:t>
            </w:r>
          </w:p>
          <w:p>
            <w:pPr>
              <w:spacing w:after="60" w:before="0" w:line="276"/>
            </w:pPr>
            <w:r>
              <w:rPr>
                <w:rFonts w:ascii="Calibri" w:cs="Calibri" w:eastAsia="Calibri" w:hAnsi="Calibri"/>
                <w:b w:val="false"/>
                <w:bCs w:val="false"/>
                <w:i w:val="false"/>
                <w:iCs w:val="false"/>
                <w:color w:val="1C1B2E"/>
                <w:sz w:val="23"/>
                <w:szCs w:val="23"/>
              </w:rPr>
              <w:t xml:space="preserve">•  Los tres niveles de gobernanza son: local (municipalidad y distrito), nacional (Asamblea Legislativa, Presidencia y ministerios) y mundial (ONU y sus organismos).</w:t>
            </w:r>
          </w:p>
          <w:p>
            <w:pPr>
              <w:spacing w:after="60" w:before="0" w:line="276"/>
            </w:pPr>
            <w:r>
              <w:rPr>
                <w:rFonts w:ascii="Calibri" w:cs="Calibri" w:eastAsia="Calibri" w:hAnsi="Calibri"/>
                <w:b w:val="false"/>
                <w:bCs w:val="false"/>
                <w:i w:val="false"/>
                <w:iCs w:val="false"/>
                <w:color w:val="1C1B2E"/>
                <w:sz w:val="23"/>
                <w:szCs w:val="23"/>
              </w:rPr>
              <w:t xml:space="preserve">•  Un organismo mundial no le da órdenes a un país: propone, el país firma y la Asamblea Legislativa aprueba.</w:t>
            </w:r>
          </w:p>
          <w:p>
            <w:pPr>
              <w:spacing w:after="0" w:before="0" w:line="276"/>
            </w:pPr>
            <w:r>
              <w:rPr>
                <w:rFonts w:ascii="Calibri" w:cs="Calibri" w:eastAsia="Calibri" w:hAnsi="Calibri"/>
                <w:b w:val="false"/>
                <w:bCs w:val="false"/>
                <w:i w:val="false"/>
                <w:iCs w:val="false"/>
                <w:color w:val="1C1B2E"/>
                <w:sz w:val="23"/>
                <w:szCs w:val="23"/>
              </w:rPr>
              <w:t xml:space="preserve">•  Escriba con sus palabras. No hay puntaje: lo que interesa es que se note el razonamiento.</w:t>
            </w:r>
          </w:p>
        </w:tc>
      </w:tr>
    </w:tbl>
    <w:p>
      <w:pPr>
        <w:spacing w:after="120" w:before="260" w:line="276"/>
      </w:pPr>
      <w:r>
        <w:rPr>
          <w:rFonts w:ascii="Cambria" w:cs="Cambria" w:eastAsia="Cambria" w:hAnsi="Cambria"/>
          <w:b/>
          <w:bCs/>
          <w:i w:val="false"/>
          <w:iCs w:val="false"/>
          <w:color w:val="5B2C87"/>
          <w:sz w:val="28"/>
          <w:szCs w:val="28"/>
        </w:rPr>
        <w:t xml:space="preserve">Parte A. ¿En cuál nivel se decide?</w:t>
      </w:r>
    </w:p>
    <w:p>
      <w:pPr>
        <w:spacing w:after="100" w:before="0" w:line="276"/>
      </w:pPr>
      <w:r>
        <w:rPr>
          <w:rFonts w:ascii="Calibri" w:cs="Calibri" w:eastAsia="Calibri" w:hAnsi="Calibri"/>
          <w:b w:val="false"/>
          <w:bCs w:val="false"/>
          <w:i w:val="false"/>
          <w:iCs w:val="false"/>
          <w:color w:val="1C1B2E"/>
          <w:sz w:val="24"/>
          <w:szCs w:val="24"/>
        </w:rPr>
        <w:t xml:space="preserve">Escriba en el paréntesis el nivel de gobernanza donde se toma cada decisión. Escoja solo entre estas tres palabras: local, nacional o mundial. La primera ya está resuelta como ejemplo.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1C1B2E" w:color="auto" w:val="clear"/>
            <w:tcMar>
              <w:top w:type="dxa" w:w="90"/>
              <w:left w:type="dxa" w:w="120"/>
              <w:bottom w:type="dxa" w:w="90"/>
              <w:right w:type="dxa" w:w="120"/>
            </w:tcMar>
            <w:vAlign w:val="center"/>
          </w:tcPr>
          <w:p>
            <w:pPr>
              <w:spacing w:after="0" w:before="0" w:line="276"/>
            </w:pPr>
            <w:r>
              <w:rPr>
                <w:rFonts w:ascii="Calibri" w:cs="Calibri" w:eastAsia="Calibri" w:hAnsi="Calibri"/>
                <w:b/>
                <w:bCs/>
                <w:i w:val="false"/>
                <w:iCs w:val="false"/>
                <w:color w:val="FFFFFF"/>
                <w:sz w:val="22"/>
                <w:szCs w:val="22"/>
              </w:rPr>
              <w:t xml:space="preserve">Decisión</w:t>
            </w:r>
          </w:p>
        </w:tc>
        <w:tc>
          <w:tcPr>
            <w:tcW w:type="dxa" w:w="3360"/>
            <w:shd w:fill="1C1B2E" w:color="auto" w:val="clear"/>
            <w:tcMar>
              <w:top w:type="dxa" w:w="90"/>
              <w:left w:type="dxa" w:w="120"/>
              <w:bottom w:type="dxa" w:w="90"/>
              <w:right w:type="dxa" w:w="120"/>
            </w:tcMar>
            <w:vAlign w:val="center"/>
          </w:tcPr>
          <w:p>
            <w:pPr>
              <w:spacing w:after="0" w:before="0" w:line="276"/>
            </w:pPr>
            <w:r>
              <w:rPr>
                <w:rFonts w:ascii="Calibri" w:cs="Calibri" w:eastAsia="Calibri" w:hAnsi="Calibri"/>
                <w:b/>
                <w:bCs/>
                <w:i w:val="false"/>
                <w:iCs w:val="false"/>
                <w:color w:val="FFFFFF"/>
                <w:sz w:val="22"/>
                <w:szCs w:val="22"/>
              </w:rPr>
              <w:t xml:space="preserve">Nivel de gobernanza</w:t>
            </w:r>
          </w:p>
        </w:tc>
      </w:tr>
      <w:tr>
        <w:tc>
          <w:tcPr>
            <w:tcW w:type="dxa" w:w="6720"/>
            <w:shd w:fill="EFEAF7" w:color="auto"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i/>
                <w:iCs/>
                <w:color w:val="5B2C87"/>
                <w:sz w:val="22"/>
                <w:szCs w:val="22"/>
              </w:rPr>
              <w:t xml:space="preserve">La ONU aprueba los Objetivos de Desarrollo Sostenible.</w:t>
            </w:r>
          </w:p>
        </w:tc>
        <w:tc>
          <w:tcPr>
            <w:tcW w:type="dxa" w:w="3360"/>
            <w:shd w:fill="EFEAF7" w:color="auto"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i/>
                <w:iCs/>
                <w:color w:val="5B2C87"/>
                <w:sz w:val="22"/>
                <w:szCs w:val="22"/>
              </w:rPr>
              <w:t xml:space="preserve">Mundial</w:t>
            </w:r>
          </w:p>
        </w:tc>
      </w:tr>
      <w:tr>
        <w:trPr>
          <w:trHeight w:val="460" w:hRule="atLeast"/>
        </w:trPr>
        <w:tc>
          <w:tcPr>
            <w:tcW w:type="dxa" w:w="672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La Municipalidad de Esparza define el día de recolección del reciclaje.</w:t>
            </w:r>
          </w:p>
        </w:tc>
        <w:tc>
          <w:tcPr>
            <w:tcW w:type="dxa" w:w="33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 </w:t>
            </w:r>
          </w:p>
        </w:tc>
      </w:tr>
      <w:tr>
        <w:trPr>
          <w:trHeight w:val="460" w:hRule="atLeast"/>
        </w:trPr>
        <w:tc>
          <w:tcPr>
            <w:tcW w:type="dxa" w:w="672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La Asamblea Legislativa aprueba un tratado internacional que el país firmó.</w:t>
            </w:r>
          </w:p>
        </w:tc>
        <w:tc>
          <w:tcPr>
            <w:tcW w:type="dxa" w:w="33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 </w:t>
            </w:r>
          </w:p>
        </w:tc>
      </w:tr>
      <w:tr>
        <w:trPr>
          <w:trHeight w:val="460" w:hRule="atLeast"/>
        </w:trPr>
        <w:tc>
          <w:tcPr>
            <w:tcW w:type="dxa" w:w="672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La OMS orienta a los países ante una enfermedad que se está expandiendo.</w:t>
            </w:r>
          </w:p>
        </w:tc>
        <w:tc>
          <w:tcPr>
            <w:tcW w:type="dxa" w:w="33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 </w:t>
            </w:r>
          </w:p>
        </w:tc>
      </w:tr>
      <w:tr>
        <w:trPr>
          <w:trHeight w:val="460" w:hRule="atLeast"/>
        </w:trPr>
        <w:tc>
          <w:tcPr>
            <w:tcW w:type="dxa" w:w="672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El MEP cambia el programa de estudios de la especialidad.</w:t>
            </w:r>
          </w:p>
        </w:tc>
        <w:tc>
          <w:tcPr>
            <w:tcW w:type="dxa" w:w="33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 </w:t>
            </w:r>
          </w:p>
        </w:tc>
      </w:tr>
      <w:tr>
        <w:trPr>
          <w:trHeight w:val="460" w:hRule="atLeast"/>
        </w:trPr>
        <w:tc>
          <w:tcPr>
            <w:tcW w:type="dxa" w:w="672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La municipalidad decide arreglar el parque del distrito.</w:t>
            </w:r>
          </w:p>
        </w:tc>
        <w:tc>
          <w:tcPr>
            <w:tcW w:type="dxa" w:w="33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 </w:t>
            </w:r>
          </w:p>
        </w:tc>
      </w:tr>
    </w:tbl>
    <w:p>
      <w:pPr>
        <w:spacing w:after="120" w:before="260" w:line="276"/>
      </w:pPr>
      <w:r>
        <w:rPr>
          <w:rFonts w:ascii="Cambria" w:cs="Cambria" w:eastAsia="Cambria" w:hAnsi="Cambria"/>
          <w:b/>
          <w:bCs/>
          <w:i w:val="false"/>
          <w:iCs w:val="false"/>
          <w:color w:val="5B2C87"/>
          <w:sz w:val="28"/>
          <w:szCs w:val="28"/>
        </w:rPr>
        <w:t xml:space="preserve">Parte B. Análisis de casos</w:t>
      </w:r>
    </w:p>
    <w:p>
      <w:pPr>
        <w:spacing w:after="80" w:before="120" w:line="276"/>
      </w:pPr>
      <w:r>
        <w:rPr>
          <w:rFonts w:ascii="Cambria" w:cs="Cambria" w:eastAsia="Cambria" w:hAnsi="Cambria"/>
          <w:b/>
          <w:bCs/>
          <w:i w:val="false"/>
          <w:iCs w:val="false"/>
          <w:color w:val="1C1B2E"/>
          <w:sz w:val="25"/>
          <w:szCs w:val="25"/>
        </w:rPr>
        <w:t xml:space="preserve">Caso 1 — El río que llega al golfo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64A2A" w:sz="24"/>
              <w:bottom w:val="none" w:color="FFFFFF" w:sz="0"/>
              <w:right w:val="none" w:color="FFFFFF" w:sz="0"/>
            </w:tcBorders>
            <w:shd w:fill="EFEAF7" w:color="auto"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i/>
                <w:iCs/>
                <w:color w:val="1C1B2E"/>
                <w:sz w:val="23"/>
                <w:szCs w:val="23"/>
              </w:rPr>
              <w:t xml:space="preserve">Un grupo de estudiantes del colegio organiza la limpieza de un río del cantón. Un vecino les dice que es una pérdida de tiempo, porque "un río de Esparza no le cambia nada al planeta".</w:t>
            </w:r>
          </w:p>
        </w:tc>
      </w:tr>
    </w:tbl>
    <w:p>
      <w:pPr>
        <w:spacing w:after="80" w:before="140" w:line="276"/>
      </w:pPr>
      <w:r>
        <w:rPr>
          <w:rFonts w:ascii="Calibri" w:cs="Calibri" w:eastAsia="Calibri" w:hAnsi="Calibri"/>
          <w:b/>
          <w:bCs/>
          <w:i w:val="false"/>
          <w:iCs w:val="false"/>
          <w:color w:val="D64A2A"/>
          <w:sz w:val="24"/>
          <w:szCs w:val="24"/>
        </w:rPr>
        <w:t xml:space="preserve">1.  </w:t>
      </w:r>
      <w:r>
        <w:rPr>
          <w:rFonts w:ascii="Calibri" w:cs="Calibri" w:eastAsia="Calibri" w:hAnsi="Calibri"/>
          <w:b w:val="false"/>
          <w:bCs w:val="false"/>
          <w:i w:val="false"/>
          <w:iCs w:val="false"/>
          <w:color w:val="1C1B2E"/>
          <w:sz w:val="24"/>
          <w:szCs w:val="24"/>
        </w:rPr>
        <w:t xml:space="preserve">Marque con una X la idea de la lección que le da respuesta al vecino.</w:t>
      </w:r>
    </w:p>
    <w:p>
      <w:pPr>
        <w:spacing w:after="40" w:before="0" w:line="276"/>
        <w:ind w:left="300"/>
      </w:pPr>
      <w:r>
        <w:rPr>
          <w:rFonts w:ascii="Calibri" w:cs="Calibri" w:eastAsia="Calibri" w:hAnsi="Calibri"/>
          <w:b w:val="false"/>
          <w:bCs w:val="false"/>
          <w:i w:val="false"/>
          <w:iCs w:val="false"/>
          <w:color w:val="1C1B2E"/>
          <w:sz w:val="24"/>
          <w:szCs w:val="24"/>
        </w:rPr>
        <w:t xml:space="preserve">(     )   Pensar global, actuar local</w:t>
      </w:r>
    </w:p>
    <w:p>
      <w:pPr>
        <w:spacing w:after="40" w:before="0" w:line="276"/>
        <w:ind w:left="300"/>
      </w:pPr>
      <w:r>
        <w:rPr>
          <w:rFonts w:ascii="Calibri" w:cs="Calibri" w:eastAsia="Calibri" w:hAnsi="Calibri"/>
          <w:b w:val="false"/>
          <w:bCs w:val="false"/>
          <w:i w:val="false"/>
          <w:iCs w:val="false"/>
          <w:color w:val="1C1B2E"/>
          <w:sz w:val="24"/>
          <w:szCs w:val="24"/>
        </w:rPr>
        <w:t xml:space="preserve">(     )   No sustituye lo nacional</w:t>
      </w:r>
    </w:p>
    <w:p>
      <w:pPr>
        <w:spacing w:after="100" w:before="0" w:line="276"/>
        <w:ind w:left="300"/>
      </w:pPr>
      <w:r>
        <w:rPr>
          <w:rFonts w:ascii="Calibri" w:cs="Calibri" w:eastAsia="Calibri" w:hAnsi="Calibri"/>
          <w:b w:val="false"/>
          <w:bCs w:val="false"/>
          <w:i w:val="false"/>
          <w:iCs w:val="false"/>
          <w:color w:val="1C1B2E"/>
          <w:sz w:val="24"/>
          <w:szCs w:val="24"/>
        </w:rPr>
        <w:t xml:space="preserve">(     )   La economía está conectada</w:t>
      </w:r>
    </w:p>
    <w:p>
      <w:pPr>
        <w:spacing w:after="80" w:before="140" w:line="276"/>
      </w:pPr>
      <w:r>
        <w:rPr>
          <w:rFonts w:ascii="Calibri" w:cs="Calibri" w:eastAsia="Calibri" w:hAnsi="Calibri"/>
          <w:b/>
          <w:bCs/>
          <w:i w:val="false"/>
          <w:iCs w:val="false"/>
          <w:color w:val="D64A2A"/>
          <w:sz w:val="24"/>
          <w:szCs w:val="24"/>
        </w:rPr>
        <w:t xml:space="preserve">2.  </w:t>
      </w:r>
      <w:r>
        <w:rPr>
          <w:rFonts w:ascii="Calibri" w:cs="Calibri" w:eastAsia="Calibri" w:hAnsi="Calibri"/>
          <w:b w:val="false"/>
          <w:bCs w:val="false"/>
          <w:i w:val="false"/>
          <w:iCs w:val="false"/>
          <w:color w:val="1C1B2E"/>
          <w:sz w:val="24"/>
          <w:szCs w:val="24"/>
        </w:rPr>
        <w:t xml:space="preserve">Marque con una X el nivel de gobernanza que decide el día de recolección de residuos del cantón.</w:t>
      </w:r>
    </w:p>
    <w:p>
      <w:pPr>
        <w:spacing w:after="40" w:before="0" w:line="276"/>
        <w:ind w:left="300"/>
      </w:pPr>
      <w:r>
        <w:rPr>
          <w:rFonts w:ascii="Calibri" w:cs="Calibri" w:eastAsia="Calibri" w:hAnsi="Calibri"/>
          <w:b w:val="false"/>
          <w:bCs w:val="false"/>
          <w:i w:val="false"/>
          <w:iCs w:val="false"/>
          <w:color w:val="1C1B2E"/>
          <w:sz w:val="24"/>
          <w:szCs w:val="24"/>
        </w:rPr>
        <w:t xml:space="preserve">(     )   Local</w:t>
      </w:r>
    </w:p>
    <w:p>
      <w:pPr>
        <w:spacing w:after="40" w:before="0" w:line="276"/>
        <w:ind w:left="300"/>
      </w:pPr>
      <w:r>
        <w:rPr>
          <w:rFonts w:ascii="Calibri" w:cs="Calibri" w:eastAsia="Calibri" w:hAnsi="Calibri"/>
          <w:b w:val="false"/>
          <w:bCs w:val="false"/>
          <w:i w:val="false"/>
          <w:iCs w:val="false"/>
          <w:color w:val="1C1B2E"/>
          <w:sz w:val="24"/>
          <w:szCs w:val="24"/>
        </w:rPr>
        <w:t xml:space="preserve">(     )   Nacional</w:t>
      </w:r>
    </w:p>
    <w:p>
      <w:pPr>
        <w:spacing w:after="100" w:before="0" w:line="276"/>
        <w:ind w:left="300"/>
      </w:pPr>
      <w:r>
        <w:rPr>
          <w:rFonts w:ascii="Calibri" w:cs="Calibri" w:eastAsia="Calibri" w:hAnsi="Calibri"/>
          <w:b w:val="false"/>
          <w:bCs w:val="false"/>
          <w:i w:val="false"/>
          <w:iCs w:val="false"/>
          <w:color w:val="1C1B2E"/>
          <w:sz w:val="24"/>
          <w:szCs w:val="24"/>
        </w:rPr>
        <w:t xml:space="preserve">(     )   Mundial</w:t>
      </w:r>
    </w:p>
    <w:p>
      <w:pPr>
        <w:spacing w:after="80" w:before="140" w:line="276"/>
      </w:pPr>
      <w:r>
        <w:rPr>
          <w:rFonts w:ascii="Calibri" w:cs="Calibri" w:eastAsia="Calibri" w:hAnsi="Calibri"/>
          <w:b/>
          <w:bCs/>
          <w:i w:val="false"/>
          <w:iCs w:val="false"/>
          <w:color w:val="D64A2A"/>
          <w:sz w:val="24"/>
          <w:szCs w:val="24"/>
        </w:rPr>
        <w:t xml:space="preserve">3.  </w:t>
      </w:r>
      <w:r>
        <w:rPr>
          <w:rFonts w:ascii="Calibri" w:cs="Calibri" w:eastAsia="Calibri" w:hAnsi="Calibri"/>
          <w:b w:val="false"/>
          <w:bCs w:val="false"/>
          <w:i w:val="false"/>
          <w:iCs w:val="false"/>
          <w:color w:val="1C1B2E"/>
          <w:sz w:val="24"/>
          <w:szCs w:val="24"/>
        </w:rPr>
        <w:t xml:space="preserve">Explique en una línea por qué esta acción local también es una acción planetaria.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400" w:hRule="atLeast"/>
        </w:trPr>
        <w:tc>
          <w:tcPr>
            <w:tcW w:type="dxa" w:w="10080"/>
            <w:tcBorders>
              <w:top w:val="none" w:color="FFFFFF" w:sz="0"/>
              <w:left w:val="none" w:color="FFFFFF" w:sz="0"/>
              <w:bottom w:val="dotted" w:color="9C97AE" w:sz="6"/>
              <w:right w:val="none" w:color="FFFFFF" w:sz="0"/>
            </w:tcBorders>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4"/>
                <w:szCs w:val="24"/>
              </w:rPr>
              <w:t xml:space="preserve"> </w:t>
            </w:r>
          </w:p>
        </w:tc>
      </w:tr>
      <w:tr>
        <w:trPr>
          <w:trHeight w:val="400" w:hRule="atLeast"/>
        </w:trPr>
        <w:tc>
          <w:tcPr>
            <w:tcW w:type="dxa" w:w="10080"/>
            <w:tcBorders>
              <w:top w:val="none" w:color="FFFFFF" w:sz="0"/>
              <w:left w:val="none" w:color="FFFFFF" w:sz="0"/>
              <w:bottom w:val="dotted" w:color="9C97AE" w:sz="6"/>
              <w:right w:val="none" w:color="FFFFFF" w:sz="0"/>
            </w:tcBorders>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4"/>
                <w:szCs w:val="24"/>
              </w:rPr>
              <w:t xml:space="preserve"> </w:t>
            </w:r>
          </w:p>
        </w:tc>
      </w:tr>
    </w:tbl>
    <w:p>
      <w:pPr>
        <w:spacing w:after="80" w:before="200" w:line="276"/>
      </w:pPr>
      <w:r>
        <w:rPr>
          <w:rFonts w:ascii="Cambria" w:cs="Cambria" w:eastAsia="Cambria" w:hAnsi="Cambria"/>
          <w:b/>
          <w:bCs/>
          <w:i w:val="false"/>
          <w:iCs w:val="false"/>
          <w:color w:val="1C1B2E"/>
          <w:sz w:val="25"/>
          <w:szCs w:val="25"/>
        </w:rPr>
        <w:t xml:space="preserve">Caso 2 — El formulario del colegio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64A2A" w:sz="24"/>
              <w:bottom w:val="none" w:color="FFFFFF" w:sz="0"/>
              <w:right w:val="none" w:color="FFFFFF" w:sz="0"/>
            </w:tcBorders>
            <w:shd w:fill="EFEAF7" w:color="auto"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i/>
                <w:iCs/>
                <w:color w:val="1C1B2E"/>
                <w:sz w:val="23"/>
                <w:szCs w:val="23"/>
              </w:rPr>
              <w:t xml:space="preserve">El equipo de la especialidad hizo un formulario web para que los estudiantes se inscriban en las ferias del colegio. El formulario pide nombre, correo, número de cédula, dirección exacta de la casa y una foto. Los datos quedan guardados en una hoja que cualquiera del equipo puede abrir.</w:t>
            </w:r>
          </w:p>
        </w:tc>
      </w:tr>
    </w:tbl>
    <w:p>
      <w:pPr>
        <w:spacing w:after="80" w:before="140" w:line="276"/>
      </w:pPr>
      <w:r>
        <w:rPr>
          <w:rFonts w:ascii="Calibri" w:cs="Calibri" w:eastAsia="Calibri" w:hAnsi="Calibri"/>
          <w:b/>
          <w:bCs/>
          <w:i w:val="false"/>
          <w:iCs w:val="false"/>
          <w:color w:val="D64A2A"/>
          <w:sz w:val="24"/>
          <w:szCs w:val="24"/>
        </w:rPr>
        <w:t xml:space="preserve">4.  </w:t>
      </w:r>
      <w:r>
        <w:rPr>
          <w:rFonts w:ascii="Calibri" w:cs="Calibri" w:eastAsia="Calibri" w:hAnsi="Calibri"/>
          <w:b w:val="false"/>
          <w:bCs w:val="false"/>
          <w:i w:val="false"/>
          <w:iCs w:val="false"/>
          <w:color w:val="1C1B2E"/>
          <w:sz w:val="24"/>
          <w:szCs w:val="24"/>
        </w:rPr>
        <w:t xml:space="preserve">Marque con una X el derecho internacional que se está poniendo en riesgo.</w:t>
      </w:r>
    </w:p>
    <w:p>
      <w:pPr>
        <w:spacing w:after="40" w:before="0" w:line="276"/>
        <w:ind w:left="300"/>
      </w:pPr>
      <w:r>
        <w:rPr>
          <w:rFonts w:ascii="Calibri" w:cs="Calibri" w:eastAsia="Calibri" w:hAnsi="Calibri"/>
          <w:b w:val="false"/>
          <w:bCs w:val="false"/>
          <w:i w:val="false"/>
          <w:iCs w:val="false"/>
          <w:color w:val="1C1B2E"/>
          <w:sz w:val="24"/>
          <w:szCs w:val="24"/>
        </w:rPr>
        <w:t xml:space="preserve">(     )   Derecho a la educación</w:t>
      </w:r>
    </w:p>
    <w:p>
      <w:pPr>
        <w:spacing w:after="40" w:before="0" w:line="276"/>
        <w:ind w:left="300"/>
      </w:pPr>
      <w:r>
        <w:rPr>
          <w:rFonts w:ascii="Calibri" w:cs="Calibri" w:eastAsia="Calibri" w:hAnsi="Calibri"/>
          <w:b w:val="false"/>
          <w:bCs w:val="false"/>
          <w:i w:val="false"/>
          <w:iCs w:val="false"/>
          <w:color w:val="1C1B2E"/>
          <w:sz w:val="24"/>
          <w:szCs w:val="24"/>
        </w:rPr>
        <w:t xml:space="preserve">(     )   Derecho a la privacidad y protección de los datos personales</w:t>
      </w:r>
    </w:p>
    <w:p>
      <w:pPr>
        <w:spacing w:after="100" w:before="0" w:line="276"/>
        <w:ind w:left="300"/>
      </w:pPr>
      <w:r>
        <w:rPr>
          <w:rFonts w:ascii="Calibri" w:cs="Calibri" w:eastAsia="Calibri" w:hAnsi="Calibri"/>
          <w:b w:val="false"/>
          <w:bCs w:val="false"/>
          <w:i w:val="false"/>
          <w:iCs w:val="false"/>
          <w:color w:val="1C1B2E"/>
          <w:sz w:val="24"/>
          <w:szCs w:val="24"/>
        </w:rPr>
        <w:t xml:space="preserve">(     )   Derecho de acceso a la información</w:t>
      </w:r>
    </w:p>
    <w:p>
      <w:pPr>
        <w:spacing w:after="80" w:before="140" w:line="276"/>
      </w:pPr>
      <w:r>
        <w:rPr>
          <w:rFonts w:ascii="Calibri" w:cs="Calibri" w:eastAsia="Calibri" w:hAnsi="Calibri"/>
          <w:b/>
          <w:bCs/>
          <w:i w:val="false"/>
          <w:iCs w:val="false"/>
          <w:color w:val="D64A2A"/>
          <w:sz w:val="24"/>
          <w:szCs w:val="24"/>
        </w:rPr>
        <w:t xml:space="preserve">5.  </w:t>
      </w:r>
      <w:r>
        <w:rPr>
          <w:rFonts w:ascii="Calibri" w:cs="Calibri" w:eastAsia="Calibri" w:hAnsi="Calibri"/>
          <w:b w:val="false"/>
          <w:bCs w:val="false"/>
          <w:i w:val="false"/>
          <w:iCs w:val="false"/>
          <w:color w:val="1C1B2E"/>
          <w:sz w:val="24"/>
          <w:szCs w:val="24"/>
        </w:rPr>
        <w:t xml:space="preserve">Complete la tabla con la corrección concreta de cada decisión. La primera fila ya está resuelta como ejemplo.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C1B2E" w:color="auto" w:val="clear"/>
            <w:tcMar>
              <w:top w:type="dxa" w:w="90"/>
              <w:left w:type="dxa" w:w="120"/>
              <w:bottom w:type="dxa" w:w="90"/>
              <w:right w:type="dxa" w:w="120"/>
            </w:tcMar>
            <w:vAlign w:val="center"/>
          </w:tcPr>
          <w:p>
            <w:pPr>
              <w:spacing w:after="0" w:before="0" w:line="276"/>
            </w:pPr>
            <w:r>
              <w:rPr>
                <w:rFonts w:ascii="Calibri" w:cs="Calibri" w:eastAsia="Calibri" w:hAnsi="Calibri"/>
                <w:b/>
                <w:bCs/>
                <w:i w:val="false"/>
                <w:iCs w:val="false"/>
                <w:color w:val="FFFFFF"/>
                <w:sz w:val="22"/>
                <w:szCs w:val="22"/>
              </w:rPr>
              <w:t xml:space="preserve">Decisión incorrecta</w:t>
            </w:r>
          </w:p>
        </w:tc>
        <w:tc>
          <w:tcPr>
            <w:tcW w:type="dxa" w:w="5040"/>
            <w:shd w:fill="1C1B2E" w:color="auto" w:val="clear"/>
            <w:tcMar>
              <w:top w:type="dxa" w:w="90"/>
              <w:left w:type="dxa" w:w="120"/>
              <w:bottom w:type="dxa" w:w="90"/>
              <w:right w:type="dxa" w:w="120"/>
            </w:tcMar>
            <w:vAlign w:val="center"/>
          </w:tcPr>
          <w:p>
            <w:pPr>
              <w:spacing w:after="0" w:before="0" w:line="276"/>
            </w:pPr>
            <w:r>
              <w:rPr>
                <w:rFonts w:ascii="Calibri" w:cs="Calibri" w:eastAsia="Calibri" w:hAnsi="Calibri"/>
                <w:b/>
                <w:bCs/>
                <w:i w:val="false"/>
                <w:iCs w:val="false"/>
                <w:color w:val="FFFFFF"/>
                <w:sz w:val="22"/>
                <w:szCs w:val="22"/>
              </w:rPr>
              <w:t xml:space="preserve">Corrección concreta</w:t>
            </w:r>
          </w:p>
        </w:tc>
      </w:tr>
      <w:tr>
        <w:tc>
          <w:tcPr>
            <w:tcW w:type="dxa" w:w="5040"/>
            <w:shd w:fill="EFEAF7" w:color="auto"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i/>
                <w:iCs/>
                <w:color w:val="5B2C87"/>
                <w:sz w:val="22"/>
                <w:szCs w:val="22"/>
              </w:rPr>
              <w:t xml:space="preserve">Pide el número de cédula para inscribirse en una feria.</w:t>
            </w:r>
          </w:p>
        </w:tc>
        <w:tc>
          <w:tcPr>
            <w:tcW w:type="dxa" w:w="5040"/>
            <w:shd w:fill="EFEAF7" w:color="auto"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i/>
                <w:iCs/>
                <w:color w:val="5B2C87"/>
                <w:sz w:val="22"/>
                <w:szCs w:val="22"/>
              </w:rPr>
              <w:t xml:space="preserve">Pedir solo el nombre y el correo, que son los datos necesarios.</w:t>
            </w:r>
          </w:p>
        </w:tc>
      </w:tr>
      <w:tr>
        <w:trPr>
          <w:trHeight w:val="460" w:hRule="atLeast"/>
        </w:trPr>
        <w:tc>
          <w:tcPr>
            <w:tcW w:type="dxa" w:w="504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Pide la dirección exacta de la casa del estudiante.</w:t>
            </w:r>
          </w:p>
        </w:tc>
        <w:tc>
          <w:tcPr>
            <w:tcW w:type="dxa" w:w="504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 </w:t>
            </w:r>
          </w:p>
        </w:tc>
      </w:tr>
      <w:tr>
        <w:trPr>
          <w:trHeight w:val="460" w:hRule="atLeast"/>
        </w:trPr>
        <w:tc>
          <w:tcPr>
            <w:tcW w:type="dxa" w:w="504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Los datos quedan sin protección y cualquiera los puede abrir.</w:t>
            </w:r>
          </w:p>
        </w:tc>
        <w:tc>
          <w:tcPr>
            <w:tcW w:type="dxa" w:w="504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 </w:t>
            </w:r>
          </w:p>
        </w:tc>
      </w:tr>
    </w:tbl>
    <w:p>
      <w:pPr>
        <w:spacing w:after="80" w:before="140" w:line="276"/>
      </w:pPr>
      <w:r>
        <w:rPr>
          <w:rFonts w:ascii="Calibri" w:cs="Calibri" w:eastAsia="Calibri" w:hAnsi="Calibri"/>
          <w:b/>
          <w:bCs/>
          <w:i w:val="false"/>
          <w:iCs w:val="false"/>
          <w:color w:val="D64A2A"/>
          <w:sz w:val="24"/>
          <w:szCs w:val="24"/>
        </w:rPr>
        <w:t xml:space="preserve">6.  </w:t>
      </w:r>
      <w:r>
        <w:rPr>
          <w:rFonts w:ascii="Calibri" w:cs="Calibri" w:eastAsia="Calibri" w:hAnsi="Calibri"/>
          <w:b w:val="false"/>
          <w:bCs w:val="false"/>
          <w:i w:val="false"/>
          <w:iCs w:val="false"/>
          <w:color w:val="1C1B2E"/>
          <w:sz w:val="24"/>
          <w:szCs w:val="24"/>
        </w:rPr>
        <w:t xml:space="preserve">Numere del 1 al 3 el camino que sigue un derecho internacional hasta cumplirse en el país. El paso 1 ya está dado.</w:t>
      </w:r>
    </w:p>
    <w:p>
      <w:pPr>
        <w:spacing w:after="40" w:before="0" w:line="276"/>
        <w:ind w:left="300"/>
      </w:pPr>
      <w:r>
        <w:rPr>
          <w:rFonts w:ascii="Calibri" w:cs="Calibri" w:eastAsia="Calibri" w:hAnsi="Calibri"/>
          <w:b w:val="false"/>
          <w:bCs w:val="false"/>
          <w:i/>
          <w:iCs/>
          <w:color w:val="5B2C87"/>
          <w:sz w:val="24"/>
          <w:szCs w:val="24"/>
        </w:rPr>
        <w:t xml:space="preserve">(  1  )   Costa Rica firma el tratado internacional.</w:t>
      </w:r>
    </w:p>
    <w:p>
      <w:pPr>
        <w:spacing w:after="40" w:before="0" w:line="276"/>
        <w:ind w:left="300"/>
      </w:pPr>
      <w:r>
        <w:rPr>
          <w:rFonts w:ascii="Calibri" w:cs="Calibri" w:eastAsia="Calibri" w:hAnsi="Calibri"/>
          <w:b w:val="false"/>
          <w:bCs w:val="false"/>
          <w:i w:val="false"/>
          <w:iCs w:val="false"/>
          <w:color w:val="1C1B2E"/>
          <w:sz w:val="24"/>
          <w:szCs w:val="24"/>
        </w:rPr>
        <w:t xml:space="preserve">(     )   El derecho se aplica en las instituciones y en los sistemas del país.</w:t>
      </w:r>
    </w:p>
    <w:p>
      <w:pPr>
        <w:spacing w:after="100" w:before="0" w:line="276"/>
        <w:ind w:left="300"/>
      </w:pPr>
      <w:r>
        <w:rPr>
          <w:rFonts w:ascii="Calibri" w:cs="Calibri" w:eastAsia="Calibri" w:hAnsi="Calibri"/>
          <w:b w:val="false"/>
          <w:bCs w:val="false"/>
          <w:i w:val="false"/>
          <w:iCs w:val="false"/>
          <w:color w:val="1C1B2E"/>
          <w:sz w:val="24"/>
          <w:szCs w:val="24"/>
        </w:rPr>
        <w:t xml:space="preserve">(     )   La Asamblea Legislativa aprueba el tratado.</w:t>
      </w:r>
    </w:p>
    <w:p>
      <w:pPr>
        <w:spacing w:after="80" w:before="200" w:line="276"/>
      </w:pPr>
      <w:r>
        <w:rPr>
          <w:rFonts w:ascii="Cambria" w:cs="Cambria" w:eastAsia="Cambria" w:hAnsi="Cambria"/>
          <w:b/>
          <w:bCs/>
          <w:i w:val="false"/>
          <w:iCs w:val="false"/>
          <w:color w:val="1C1B2E"/>
          <w:sz w:val="25"/>
          <w:szCs w:val="25"/>
        </w:rPr>
        <w:t xml:space="preserve">Caso 3 — El sitio web del colegio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64A2A" w:sz="24"/>
              <w:bottom w:val="none" w:color="FFFFFF" w:sz="0"/>
              <w:right w:val="none" w:color="FFFFFF" w:sz="0"/>
            </w:tcBorders>
            <w:shd w:fill="EFEAF7" w:color="auto"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i/>
                <w:iCs/>
                <w:color w:val="1C1B2E"/>
                <w:sz w:val="23"/>
                <w:szCs w:val="23"/>
              </w:rPr>
              <w:t xml:space="preserve">El colegio quiere publicar su sitio web con un dominio .cr y aprovecharlo para difundir una campaña de salud y otra de educación ambiental. En clase surge la duda de quién decide y quién ordena estos temas en el mundo.</w:t>
            </w:r>
          </w:p>
        </w:tc>
      </w:tr>
    </w:tbl>
    <w:p>
      <w:pPr>
        <w:spacing w:after="80" w:before="140" w:line="276"/>
      </w:pPr>
      <w:r>
        <w:rPr>
          <w:rFonts w:ascii="Calibri" w:cs="Calibri" w:eastAsia="Calibri" w:hAnsi="Calibri"/>
          <w:b/>
          <w:bCs/>
          <w:i w:val="false"/>
          <w:iCs w:val="false"/>
          <w:color w:val="D64A2A"/>
          <w:sz w:val="24"/>
          <w:szCs w:val="24"/>
        </w:rPr>
        <w:t xml:space="preserve">7.  </w:t>
      </w:r>
      <w:r>
        <w:rPr>
          <w:rFonts w:ascii="Calibri" w:cs="Calibri" w:eastAsia="Calibri" w:hAnsi="Calibri"/>
          <w:b w:val="false"/>
          <w:bCs w:val="false"/>
          <w:i w:val="false"/>
          <w:iCs w:val="false"/>
          <w:color w:val="1C1B2E"/>
          <w:sz w:val="24"/>
          <w:szCs w:val="24"/>
        </w:rPr>
        <w:t xml:space="preserve">Escriba en cada paréntesis la letra del organismo que corresponde. La primera ya está resuelta como ejemplo.</w:t>
      </w:r>
    </w:p>
    <w:p>
      <w:pPr>
        <w:spacing w:after="100" w:before="0" w:line="276"/>
      </w:pPr>
      <w:r>
        <w:rPr>
          <w:rFonts w:ascii="Calibri" w:cs="Calibri" w:eastAsia="Calibri" w:hAnsi="Calibri"/>
          <w:b w:val="false"/>
          <w:bCs w:val="false"/>
          <w:i/>
          <w:iCs/>
          <w:color w:val="6B6880"/>
          <w:sz w:val="22"/>
          <w:szCs w:val="22"/>
        </w:rPr>
        <w:t xml:space="preserve">Lista para escoger:   A) ONU   ·   B) UNESCO   ·   C) OMS   ·   D) UIT   ·   E) ICANN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8820"/>
      </w:tblGrid>
      <w:tr>
        <w:trPr>
          <w:tblHeader/>
        </w:trPr>
        <w:tc>
          <w:tcPr>
            <w:tcW w:type="dxa" w:w="1260"/>
            <w:shd w:fill="1C1B2E" w:color="auto" w:val="clear"/>
            <w:tcMar>
              <w:top w:type="dxa" w:w="90"/>
              <w:left w:type="dxa" w:w="120"/>
              <w:bottom w:type="dxa" w:w="90"/>
              <w:right w:type="dxa" w:w="120"/>
            </w:tcMar>
            <w:vAlign w:val="center"/>
          </w:tcPr>
          <w:p>
            <w:pPr>
              <w:spacing w:after="0" w:before="0" w:line="276"/>
            </w:pPr>
            <w:r>
              <w:rPr>
                <w:rFonts w:ascii="Calibri" w:cs="Calibri" w:eastAsia="Calibri" w:hAnsi="Calibri"/>
                <w:b/>
                <w:bCs/>
                <w:i w:val="false"/>
                <w:iCs w:val="false"/>
                <w:color w:val="FFFFFF"/>
                <w:sz w:val="22"/>
                <w:szCs w:val="22"/>
              </w:rPr>
              <w:t xml:space="preserve">Letra</w:t>
            </w:r>
          </w:p>
        </w:tc>
        <w:tc>
          <w:tcPr>
            <w:tcW w:type="dxa" w:w="8820"/>
            <w:shd w:fill="1C1B2E" w:color="auto" w:val="clear"/>
            <w:tcMar>
              <w:top w:type="dxa" w:w="90"/>
              <w:left w:type="dxa" w:w="120"/>
              <w:bottom w:type="dxa" w:w="90"/>
              <w:right w:type="dxa" w:w="120"/>
            </w:tcMar>
            <w:vAlign w:val="center"/>
          </w:tcPr>
          <w:p>
            <w:pPr>
              <w:spacing w:after="0" w:before="0" w:line="276"/>
            </w:pPr>
            <w:r>
              <w:rPr>
                <w:rFonts w:ascii="Calibri" w:cs="Calibri" w:eastAsia="Calibri" w:hAnsi="Calibri"/>
                <w:b/>
                <w:bCs/>
                <w:i w:val="false"/>
                <w:iCs w:val="false"/>
                <w:color w:val="FFFFFF"/>
                <w:sz w:val="22"/>
                <w:szCs w:val="22"/>
              </w:rPr>
              <w:t xml:space="preserve">Lo que hace ese organismo</w:t>
            </w:r>
          </w:p>
        </w:tc>
      </w:tr>
      <w:tr>
        <w:tc>
          <w:tcPr>
            <w:tcW w:type="dxa" w:w="1260"/>
            <w:shd w:fill="EFEAF7" w:color="auto"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i/>
                <w:iCs/>
                <w:color w:val="5B2C87"/>
                <w:sz w:val="22"/>
                <w:szCs w:val="22"/>
              </w:rPr>
              <w:t xml:space="preserve">A</w:t>
            </w:r>
          </w:p>
        </w:tc>
        <w:tc>
          <w:tcPr>
            <w:tcW w:type="dxa" w:w="8820"/>
            <w:shd w:fill="EFEAF7" w:color="auto"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i/>
                <w:iCs/>
                <w:color w:val="5B2C87"/>
                <w:sz w:val="22"/>
                <w:szCs w:val="22"/>
              </w:rPr>
              <w:t xml:space="preserve">Reúne a casi todos los países del mundo y aprobó los Objetivos de Desarrollo Sostenible.</w:t>
            </w:r>
          </w:p>
        </w:tc>
      </w:tr>
      <w:tr>
        <w:trPr>
          <w:trHeight w:val="460" w:hRule="atLeast"/>
        </w:trPr>
        <w:tc>
          <w:tcPr>
            <w:tcW w:type="dxa" w:w="12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 </w:t>
            </w:r>
          </w:p>
        </w:tc>
        <w:tc>
          <w:tcPr>
            <w:tcW w:type="dxa" w:w="882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Administra los nombres de dominio y las direcciones de internet en el mundo.</w:t>
            </w:r>
          </w:p>
        </w:tc>
      </w:tr>
      <w:tr>
        <w:trPr>
          <w:trHeight w:val="460" w:hRule="atLeast"/>
        </w:trPr>
        <w:tc>
          <w:tcPr>
            <w:tcW w:type="dxa" w:w="12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 </w:t>
            </w:r>
          </w:p>
        </w:tc>
        <w:tc>
          <w:tcPr>
            <w:tcW w:type="dxa" w:w="882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Se ocupa de la educación, la ciencia y la cultura.</w:t>
            </w:r>
          </w:p>
        </w:tc>
      </w:tr>
      <w:tr>
        <w:trPr>
          <w:trHeight w:val="460" w:hRule="atLeast"/>
        </w:trPr>
        <w:tc>
          <w:tcPr>
            <w:tcW w:type="dxa" w:w="12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 </w:t>
            </w:r>
          </w:p>
        </w:tc>
        <w:tc>
          <w:tcPr>
            <w:tcW w:type="dxa" w:w="882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Coordina la respuesta de los países ante una enfermedad que se expande.</w:t>
            </w:r>
          </w:p>
        </w:tc>
      </w:tr>
      <w:tr>
        <w:trPr>
          <w:trHeight w:val="460" w:hRule="atLeast"/>
        </w:trPr>
        <w:tc>
          <w:tcPr>
            <w:tcW w:type="dxa" w:w="126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 </w:t>
            </w:r>
          </w:p>
        </w:tc>
        <w:tc>
          <w:tcPr>
            <w:tcW w:type="dxa" w:w="8820"/>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2"/>
                <w:szCs w:val="22"/>
              </w:rPr>
              <w:t xml:space="preserve">Acuerda los estándares para que las telecomunicaciones de todos los países se entiendan.</w:t>
            </w:r>
          </w:p>
        </w:tc>
      </w:tr>
    </w:tbl>
    <w:p>
      <w:pPr>
        <w:spacing w:after="80" w:before="140" w:line="276"/>
      </w:pPr>
      <w:r>
        <w:rPr>
          <w:rFonts w:ascii="Calibri" w:cs="Calibri" w:eastAsia="Calibri" w:hAnsi="Calibri"/>
          <w:b/>
          <w:bCs/>
          <w:i w:val="false"/>
          <w:iCs w:val="false"/>
          <w:color w:val="D64A2A"/>
          <w:sz w:val="24"/>
          <w:szCs w:val="24"/>
        </w:rPr>
        <w:t xml:space="preserve">8.  </w:t>
      </w:r>
      <w:r>
        <w:rPr>
          <w:rFonts w:ascii="Calibri" w:cs="Calibri" w:eastAsia="Calibri" w:hAnsi="Calibri"/>
          <w:b w:val="false"/>
          <w:bCs w:val="false"/>
          <w:i w:val="false"/>
          <w:iCs w:val="false"/>
          <w:color w:val="1C1B2E"/>
          <w:sz w:val="24"/>
          <w:szCs w:val="24"/>
        </w:rPr>
        <w:t xml:space="preserve">Un compañero dice: "la ONU puede obligar a Costa Rica a cumplir un acuerdo". Marque con una X si tiene razón y explique en una línea.</w:t>
      </w:r>
    </w:p>
    <w:p>
      <w:pPr>
        <w:spacing w:after="40" w:before="0" w:line="276"/>
        <w:ind w:left="300"/>
      </w:pPr>
      <w:r>
        <w:rPr>
          <w:rFonts w:ascii="Calibri" w:cs="Calibri" w:eastAsia="Calibri" w:hAnsi="Calibri"/>
          <w:b w:val="false"/>
          <w:bCs w:val="false"/>
          <w:i w:val="false"/>
          <w:iCs w:val="false"/>
          <w:color w:val="1C1B2E"/>
          <w:sz w:val="24"/>
          <w:szCs w:val="24"/>
        </w:rPr>
        <w:t xml:space="preserve">(     )   Sí tiene razón</w:t>
      </w:r>
    </w:p>
    <w:p>
      <w:pPr>
        <w:spacing w:after="100" w:before="0" w:line="276"/>
        <w:ind w:left="300"/>
      </w:pPr>
      <w:r>
        <w:rPr>
          <w:rFonts w:ascii="Calibri" w:cs="Calibri" w:eastAsia="Calibri" w:hAnsi="Calibri"/>
          <w:b w:val="false"/>
          <w:bCs w:val="false"/>
          <w:i w:val="false"/>
          <w:iCs w:val="false"/>
          <w:color w:val="1C1B2E"/>
          <w:sz w:val="24"/>
          <w:szCs w:val="24"/>
        </w:rPr>
        <w:t xml:space="preserve">(     )   No tiene razón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400" w:hRule="atLeast"/>
        </w:trPr>
        <w:tc>
          <w:tcPr>
            <w:tcW w:type="dxa" w:w="10080"/>
            <w:tcBorders>
              <w:top w:val="none" w:color="FFFFFF" w:sz="0"/>
              <w:left w:val="none" w:color="FFFFFF" w:sz="0"/>
              <w:bottom w:val="dotted" w:color="9C97AE" w:sz="6"/>
              <w:right w:val="none" w:color="FFFFFF" w:sz="0"/>
            </w:tcBorders>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4"/>
                <w:szCs w:val="24"/>
              </w:rPr>
              <w:t xml:space="preserve"> </w:t>
            </w:r>
          </w:p>
        </w:tc>
      </w:tr>
      <w:tr>
        <w:trPr>
          <w:trHeight w:val="400" w:hRule="atLeast"/>
        </w:trPr>
        <w:tc>
          <w:tcPr>
            <w:tcW w:type="dxa" w:w="10080"/>
            <w:tcBorders>
              <w:top w:val="none" w:color="FFFFFF" w:sz="0"/>
              <w:left w:val="none" w:color="FFFFFF" w:sz="0"/>
              <w:bottom w:val="dotted" w:color="9C97AE" w:sz="6"/>
              <w:right w:val="none" w:color="FFFFFF" w:sz="0"/>
            </w:tcBorders>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4"/>
                <w:szCs w:val="24"/>
              </w:rPr>
              <w:t xml:space="preserve"> </w:t>
            </w:r>
          </w:p>
        </w:tc>
      </w:tr>
    </w:tbl>
    <w:p>
      <w:pPr>
        <w:spacing w:after="120" w:before="260" w:line="276"/>
      </w:pPr>
      <w:r>
        <w:rPr>
          <w:rFonts w:ascii="Cambria" w:cs="Cambria" w:eastAsia="Cambria" w:hAnsi="Cambria"/>
          <w:b/>
          <w:bCs/>
          <w:i w:val="false"/>
          <w:iCs w:val="false"/>
          <w:color w:val="5B2C87"/>
          <w:sz w:val="28"/>
          <w:szCs w:val="28"/>
        </w:rPr>
        <w:t xml:space="preserve">Cierre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5B2C87" w:sz="24"/>
              <w:bottom w:val="none" w:color="FFFFFF" w:sz="0"/>
              <w:right w:val="none" w:color="FFFFFF" w:sz="0"/>
            </w:tcBorders>
            <w:shd w:fill="EFEAF7" w:color="auto"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3"/>
                <w:szCs w:val="23"/>
              </w:rPr>
              <w:t xml:space="preserve">En esta práctica recorrió la cadena completa: un acuerdo se toma en el nivel mundial, el país lo firma y lo aprueba, la municipalidad lo convierte en algo que se ve en el cantón y la persona lo cumple. Y comprobó que un derecho internacional, como la privacidad de los datos, termina afectando decisiones tan concretas como cuáles casillas lleva un formulario web.</w:t>
            </w:r>
          </w:p>
        </w:tc>
      </w:tr>
    </w:tbl>
    <w:p>
      <w:pPr>
        <w:spacing w:after="80" w:before="140" w:line="276"/>
      </w:pPr>
      <w:r>
        <w:rPr>
          <w:rFonts w:ascii="Calibri" w:cs="Calibri" w:eastAsia="Calibri" w:hAnsi="Calibri"/>
          <w:b/>
          <w:bCs/>
          <w:i w:val="false"/>
          <w:iCs w:val="false"/>
          <w:color w:val="D64A2A"/>
          <w:sz w:val="24"/>
          <w:szCs w:val="24"/>
        </w:rPr>
        <w:t xml:space="preserve">→  </w:t>
      </w:r>
      <w:r>
        <w:rPr>
          <w:rFonts w:ascii="Calibri" w:cs="Calibri" w:eastAsia="Calibri" w:hAnsi="Calibri"/>
          <w:b w:val="false"/>
          <w:bCs w:val="false"/>
          <w:i w:val="false"/>
          <w:iCs w:val="false"/>
          <w:color w:val="1C1B2E"/>
          <w:sz w:val="24"/>
          <w:szCs w:val="24"/>
        </w:rPr>
        <w:t xml:space="preserve">De todo lo analizado hoy, ¿cuál acción de ciudadanía planetaria podría empezar a hacer usted esta semana en el colegio? Escriba una sola, bien concreta.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400" w:hRule="atLeast"/>
        </w:trPr>
        <w:tc>
          <w:tcPr>
            <w:tcW w:type="dxa" w:w="10080"/>
            <w:tcBorders>
              <w:top w:val="none" w:color="FFFFFF" w:sz="0"/>
              <w:left w:val="none" w:color="FFFFFF" w:sz="0"/>
              <w:bottom w:val="dotted" w:color="9C97AE" w:sz="6"/>
              <w:right w:val="none" w:color="FFFFFF" w:sz="0"/>
            </w:tcBorders>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4"/>
                <w:szCs w:val="24"/>
              </w:rPr>
              <w:t xml:space="preserve"> </w:t>
            </w:r>
          </w:p>
        </w:tc>
      </w:tr>
      <w:tr>
        <w:trPr>
          <w:trHeight w:val="400" w:hRule="atLeast"/>
        </w:trPr>
        <w:tc>
          <w:tcPr>
            <w:tcW w:type="dxa" w:w="10080"/>
            <w:tcBorders>
              <w:top w:val="none" w:color="FFFFFF" w:sz="0"/>
              <w:left w:val="none" w:color="FFFFFF" w:sz="0"/>
              <w:bottom w:val="dotted" w:color="9C97AE" w:sz="6"/>
              <w:right w:val="none" w:color="FFFFFF" w:sz="0"/>
            </w:tcBorders>
            <w:tcMar>
              <w:top w:type="dxa" w:w="90"/>
              <w:left w:type="dxa" w:w="120"/>
              <w:bottom w:type="dxa" w:w="90"/>
              <w:right w:type="dxa" w:w="120"/>
            </w:tcMar>
            <w:vAlign w:val="center"/>
          </w:tcPr>
          <w:p>
            <w:pPr>
              <w:spacing w:after="0" w:before="0" w:line="276"/>
            </w:pPr>
            <w:r>
              <w:rPr>
                <w:rFonts w:ascii="Calibri" w:cs="Calibri" w:eastAsia="Calibri" w:hAnsi="Calibri"/>
                <w:b w:val="false"/>
                <w:bCs w:val="false"/>
                <w:i w:val="false"/>
                <w:iCs w:val="false"/>
                <w:color w:val="1C1B2E"/>
                <w:sz w:val="24"/>
                <w:szCs w:val="24"/>
              </w:rPr>
              <w:t xml:space="preserve">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B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2026-08-17T05:10:39.522Z</dcterms:created>
  <dcterms:modified xsi:type="dcterms:W3CDTF">2026-08-17T05:10:39.523Z</dcterms:modified>
</cp:coreProperties>
</file>

<file path=docProps/custom.xml><?xml version="1.0" encoding="utf-8"?>
<Properties xmlns="http://schemas.openxmlformats.org/officeDocument/2006/custom-properties" xmlns:vt="http://schemas.openxmlformats.org/officeDocument/2006/docPropsVTypes"/>
</file>