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b w:val="0"/>
        </w:rPr>
        <w:t>Arquitetura do ToggleMaster</w:t>
      </w:r>
    </w:p>
    <w:p>
      <w:pPr>
        <w:pStyle w:val="Heading1"/>
      </w:pPr>
      <w:r>
        <w:rPr>
          <w:b w:val="0"/>
        </w:rPr>
        <w:t>Fluxo principal</w:t>
      </w:r>
    </w:p>
    <w:p>
      <w:pPr>
        <w:pStyle w:val="Código"/>
        <w:keepLines/>
        <w:shd w:fill="F2F2F2"/>
      </w:pPr>
      <w:r>
        <w:rPr>
          <w:rFonts w:ascii="Consolas" w:hAnsi="Consolas"/>
          <w:sz w:val="18"/>
        </w:rPr>
        <w:t>Cliente</w:t>
        <w:br/>
        <w:t xml:space="preserve">  ├─ auth-service ─────────────── PostgreSQL/auth_db</w:t>
        <w:br/>
        <w:t xml:space="preserve">  ├─ flag-service ─────────────── PostgreSQL/flags_db</w:t>
        <w:br/>
        <w:t xml:space="preserve">  ├─ targeting-service ────────── PostgreSQL/targeting_db</w:t>
        <w:br/>
        <w:t xml:space="preserve">  └─ evaluation-service</w:t>
        <w:br/>
        <w:t xml:space="preserve">       ├─ consulta flag + targeting</w:t>
        <w:br/>
        <w:t xml:space="preserve">       ├─ usa Redis como cache do hot path</w:t>
        <w:br/>
        <w:t xml:space="preserve">       └─ publica evento no SQS</w:t>
        <w:br/>
        <w:t xml:space="preserve">                         │</w:t>
        <w:br/>
        <w:t xml:space="preserve">                         ▼</w:t>
        <w:br/>
        <w:t xml:space="preserve">                  analytics-service</w:t>
        <w:br/>
        <w:t xml:space="preserve">                         │</w:t>
        <w:br/>
        <w:t xml:space="preserve">                         ▼</w:t>
        <w:br/>
        <w:t xml:space="preserve">                      DynamoDB</w:t>
      </w:r>
    </w:p>
    <w:p>
      <w:pPr>
        <w:pStyle w:val="Heading1"/>
      </w:pPr>
      <w:r>
        <w:rPr>
          <w:b w:val="0"/>
        </w:rPr>
        <w:t>Correspondência local e produção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tblHeader w:val="true"/>
        </w:trPr>
        <w:tc>
          <w:tcPr>
            <w:tcW w:type="dxa" w:w="3024"/>
            <w:vAlign w:val="center"/>
            <w:shd w:fill="D9EAF7"/>
          </w:tcPr>
          <w:p>
            <w:pPr>
              <w:spacing w:after="40"/>
            </w:pPr>
            <w:r>
              <w:rPr>
                <w:b/>
              </w:rPr>
              <w:t>Requisito</w:t>
            </w:r>
          </w:p>
        </w:tc>
        <w:tc>
          <w:tcPr>
            <w:tcW w:type="dxa" w:w="3024"/>
            <w:vAlign w:val="center"/>
            <w:shd w:fill="D9EAF7"/>
          </w:tcPr>
          <w:p>
            <w:pPr>
              <w:spacing w:after="40"/>
            </w:pPr>
            <w:r>
              <w:rPr>
                <w:b/>
              </w:rPr>
              <w:t>Ambiente local</w:t>
            </w:r>
          </w:p>
        </w:tc>
        <w:tc>
          <w:tcPr>
            <w:tcW w:type="dxa" w:w="3024"/>
            <w:vAlign w:val="center"/>
            <w:shd w:fill="D9EAF7"/>
          </w:tcPr>
          <w:p>
            <w:pPr>
              <w:spacing w:after="40"/>
            </w:pPr>
            <w:r>
              <w:rPr>
                <w:b/>
              </w:rPr>
              <w:t>Produção prevista no enunciado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40"/>
            </w:pPr>
            <w:r>
              <w:rPr>
                <w:b w:val="0"/>
              </w:rPr>
              <w:t>Bancos relacionais</w:t>
            </w:r>
          </w:p>
        </w:tc>
        <w:tc>
          <w:tcPr>
            <w:tcW w:type="dxa" w:w="3024"/>
            <w:vAlign w:val="center"/>
          </w:tcPr>
          <w:p>
            <w:pPr>
              <w:spacing w:after="40"/>
            </w:pPr>
            <w:r>
              <w:rPr>
                <w:b w:val="0"/>
              </w:rPr>
              <w:t>2 containers PostgreSQL, 3 bancos lógicos</w:t>
            </w:r>
          </w:p>
        </w:tc>
        <w:tc>
          <w:tcPr>
            <w:tcW w:type="dxa" w:w="3024"/>
            <w:vAlign w:val="center"/>
          </w:tcPr>
          <w:p>
            <w:pPr>
              <w:spacing w:after="40"/>
            </w:pPr>
            <w:r>
              <w:rPr>
                <w:b w:val="0"/>
              </w:rPr>
              <w:t>3 instâncias RDS PostgreSQL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40"/>
            </w:pPr>
            <w:r>
              <w:rPr>
                <w:b w:val="0"/>
              </w:rPr>
              <w:t>Cache</w:t>
            </w:r>
          </w:p>
        </w:tc>
        <w:tc>
          <w:tcPr>
            <w:tcW w:type="dxa" w:w="3024"/>
            <w:vAlign w:val="center"/>
          </w:tcPr>
          <w:p>
            <w:pPr>
              <w:spacing w:after="40"/>
            </w:pPr>
            <w:r>
              <w:rPr>
                <w:b w:val="0"/>
              </w:rPr>
              <w:t>Redis containerizado</w:t>
            </w:r>
          </w:p>
        </w:tc>
        <w:tc>
          <w:tcPr>
            <w:tcW w:type="dxa" w:w="3024"/>
            <w:vAlign w:val="center"/>
          </w:tcPr>
          <w:p>
            <w:pPr>
              <w:spacing w:after="40"/>
            </w:pPr>
            <w:r>
              <w:rPr>
                <w:b w:val="0"/>
              </w:rPr>
              <w:t>ElastiCache for Redis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40"/>
            </w:pPr>
            <w:r>
              <w:rPr>
                <w:b w:val="0"/>
              </w:rPr>
              <w:t>Fila</w:t>
            </w:r>
          </w:p>
        </w:tc>
        <w:tc>
          <w:tcPr>
            <w:tcW w:type="dxa" w:w="3024"/>
            <w:vAlign w:val="center"/>
          </w:tcPr>
          <w:p>
            <w:pPr>
              <w:spacing w:after="40"/>
            </w:pPr>
            <w:r>
              <w:rPr>
                <w:b w:val="0"/>
              </w:rPr>
              <w:t>SQS em LocalStack</w:t>
            </w:r>
          </w:p>
        </w:tc>
        <w:tc>
          <w:tcPr>
            <w:tcW w:type="dxa" w:w="3024"/>
            <w:vAlign w:val="center"/>
          </w:tcPr>
          <w:p>
            <w:pPr>
              <w:spacing w:after="40"/>
            </w:pPr>
            <w:r>
              <w:rPr>
                <w:b w:val="0"/>
              </w:rPr>
              <w:t>AWS SQS Standard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40"/>
            </w:pPr>
            <w:r>
              <w:rPr>
                <w:b w:val="0"/>
              </w:rPr>
              <w:t>NoSQL</w:t>
            </w:r>
          </w:p>
        </w:tc>
        <w:tc>
          <w:tcPr>
            <w:tcW w:type="dxa" w:w="3024"/>
            <w:vAlign w:val="center"/>
          </w:tcPr>
          <w:p>
            <w:pPr>
              <w:spacing w:after="40"/>
            </w:pPr>
            <w:r>
              <w:rPr>
                <w:b w:val="0"/>
              </w:rPr>
              <w:t>DynamoDB em LocalStack</w:t>
            </w:r>
          </w:p>
        </w:tc>
        <w:tc>
          <w:tcPr>
            <w:tcW w:type="dxa" w:w="3024"/>
            <w:vAlign w:val="center"/>
          </w:tcPr>
          <w:p>
            <w:pPr>
              <w:spacing w:after="40"/>
            </w:pPr>
            <w:r>
              <w:rPr>
                <w:b w:val="0"/>
              </w:rPr>
              <w:t>AWS DynamoDB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40"/>
            </w:pPr>
            <w:r>
              <w:rPr>
                <w:b w:val="0"/>
              </w:rPr>
              <w:t>Orquestração</w:t>
            </w:r>
          </w:p>
        </w:tc>
        <w:tc>
          <w:tcPr>
            <w:tcW w:type="dxa" w:w="3024"/>
            <w:vAlign w:val="center"/>
          </w:tcPr>
          <w:p>
            <w:pPr>
              <w:spacing w:after="40"/>
            </w:pPr>
            <w:r>
              <w:rPr>
                <w:b w:val="0"/>
              </w:rPr>
              <w:t xml:space="preserve">Docker Compose ou cluster Kubernetes </w:t>
            </w:r>
            <w:r>
              <w:rPr>
                <w:rFonts w:ascii="Consolas" w:hAnsi="Consolas"/>
                <w:color w:val="444444"/>
                <w:sz w:val="19"/>
              </w:rPr>
              <w:t>kind</w:t>
            </w:r>
          </w:p>
        </w:tc>
        <w:tc>
          <w:tcPr>
            <w:tcW w:type="dxa" w:w="3024"/>
            <w:vAlign w:val="center"/>
          </w:tcPr>
          <w:p>
            <w:pPr>
              <w:spacing w:after="40"/>
            </w:pPr>
            <w:r>
              <w:rPr>
                <w:b w:val="0"/>
              </w:rPr>
              <w:t>EKS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40"/>
            </w:pPr>
            <w:r>
              <w:rPr>
                <w:b w:val="0"/>
              </w:rPr>
              <w:t>Registro</w:t>
            </w:r>
          </w:p>
        </w:tc>
        <w:tc>
          <w:tcPr>
            <w:tcW w:type="dxa" w:w="3024"/>
            <w:vAlign w:val="center"/>
          </w:tcPr>
          <w:p>
            <w:pPr>
              <w:spacing w:after="40"/>
            </w:pPr>
            <w:r>
              <w:rPr>
                <w:b w:val="0"/>
              </w:rPr>
              <w:t xml:space="preserve">Imagens locais </w:t>
            </w:r>
            <w:r>
              <w:rPr>
                <w:rFonts w:ascii="Consolas" w:hAnsi="Consolas"/>
                <w:color w:val="444444"/>
                <w:sz w:val="19"/>
              </w:rPr>
              <w:t>togglemaster/*:local</w:t>
            </w:r>
          </w:p>
        </w:tc>
        <w:tc>
          <w:tcPr>
            <w:tcW w:type="dxa" w:w="3024"/>
            <w:vAlign w:val="center"/>
          </w:tcPr>
          <w:p>
            <w:pPr>
              <w:spacing w:after="40"/>
            </w:pPr>
            <w:r>
              <w:rPr>
                <w:b w:val="0"/>
              </w:rPr>
              <w:t>5 repositórios ECR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40"/>
            </w:pPr>
            <w:r>
              <w:rPr>
                <w:b w:val="0"/>
              </w:rPr>
              <w:t>Entrada</w:t>
            </w:r>
          </w:p>
        </w:tc>
        <w:tc>
          <w:tcPr>
            <w:tcW w:type="dxa" w:w="3024"/>
            <w:vAlign w:val="center"/>
          </w:tcPr>
          <w:p>
            <w:pPr>
              <w:spacing w:after="40"/>
            </w:pPr>
            <w:r>
              <w:rPr>
                <w:b w:val="0"/>
              </w:rPr>
              <w:t>Portas locais ou Nginx Ingress</w:t>
            </w:r>
          </w:p>
        </w:tc>
        <w:tc>
          <w:tcPr>
            <w:tcW w:type="dxa" w:w="3024"/>
            <w:vAlign w:val="center"/>
          </w:tcPr>
          <w:p>
            <w:pPr>
              <w:spacing w:after="40"/>
            </w:pPr>
            <w:r>
              <w:rPr>
                <w:b w:val="0"/>
              </w:rPr>
              <w:t>Nginx Ingress + Load Balancer</w:t>
            </w:r>
          </w:p>
        </w:tc>
      </w:tr>
    </w:tbl>
    <w:p>
      <w:pPr>
        <w:spacing w:after="0"/>
      </w:pPr>
    </w:p>
    <w:p>
      <w:r>
        <w:rPr>
          <w:b w:val="0"/>
        </w:rPr>
        <w:t>O LocalStack reúne SQS e DynamoDB em um único container. Assim, o Compose mantém os 9 containers solicitados pelo enunciado: 5 aplicações e 4 componentes de dados.</w:t>
      </w:r>
    </w:p>
    <w:p>
      <w:r>
        <w:rPr>
          <w:b w:val="0"/>
        </w:rPr>
        <w:t xml:space="preserve">As aplicações continuam ouvindo internamente nas portas oficiais </w:t>
      </w:r>
      <w:r>
        <w:rPr>
          <w:rFonts w:ascii="Consolas" w:hAnsi="Consolas"/>
          <w:color w:val="444444"/>
          <w:sz w:val="19"/>
        </w:rPr>
        <w:t>8001–8005</w:t>
      </w:r>
      <w:r>
        <w:rPr>
          <w:b w:val="0"/>
        </w:rPr>
        <w:t xml:space="preserve">. O Compose publica </w:t>
      </w:r>
      <w:r>
        <w:rPr>
          <w:rFonts w:ascii="Consolas" w:hAnsi="Consolas"/>
          <w:color w:val="444444"/>
          <w:sz w:val="19"/>
        </w:rPr>
        <w:t>18001–18005</w:t>
      </w:r>
      <w:r>
        <w:rPr>
          <w:b w:val="0"/>
        </w:rPr>
        <w:t xml:space="preserve"> no Windows para não interromper outro projeto que já utiliza a porta 8002.</w:t>
      </w:r>
    </w:p>
    <w:p>
      <w:pPr>
        <w:pStyle w:val="Heading1"/>
      </w:pPr>
      <w:r>
        <w:rPr>
          <w:b w:val="0"/>
        </w:rPr>
        <w:t>Decisões de implementação</w:t>
      </w:r>
    </w:p>
    <w:p>
      <w:pPr>
        <w:pStyle w:val="ListBullet"/>
      </w:pPr>
      <w:r>
        <w:rPr>
          <w:b w:val="0"/>
        </w:rPr>
        <w:t>Os serviços Go são compilados em multi-stage e executados em Alpine como usuário não-root.</w:t>
      </w:r>
    </w:p>
    <w:p>
      <w:pPr>
        <w:pStyle w:val="ListBullet"/>
      </w:pPr>
      <w:r>
        <w:rPr>
          <w:b w:val="0"/>
        </w:rPr>
        <w:t>Os serviços Python instalam dependências em um estágio de build e executam com Gunicorn como usuário não-root.</w:t>
      </w:r>
    </w:p>
    <w:p>
      <w:pPr>
        <w:pStyle w:val="ListBullet"/>
      </w:pPr>
      <w:r>
        <w:rPr>
          <w:b w:val="0"/>
        </w:rPr>
        <w:t xml:space="preserve">Todas as aplicações expõem </w:t>
      </w:r>
      <w:r>
        <w:rPr>
          <w:rFonts w:ascii="Consolas" w:hAnsi="Consolas"/>
          <w:color w:val="444444"/>
          <w:sz w:val="19"/>
        </w:rPr>
        <w:t>/health</w:t>
      </w:r>
      <w:r>
        <w:rPr>
          <w:b w:val="0"/>
        </w:rPr>
        <w:t>; Compose e Kubernetes usam esse endpoint.</w:t>
      </w:r>
    </w:p>
    <w:p>
      <w:pPr>
        <w:pStyle w:val="ListBullet"/>
      </w:pPr>
      <w:r>
        <w:rPr>
          <w:b w:val="0"/>
        </w:rPr>
        <w:t xml:space="preserve">O </w:t>
      </w:r>
      <w:r>
        <w:rPr>
          <w:rFonts w:ascii="Consolas" w:hAnsi="Consolas"/>
          <w:color w:val="444444"/>
          <w:sz w:val="19"/>
        </w:rPr>
        <w:t>evaluation-service</w:t>
      </w:r>
      <w:r>
        <w:rPr>
          <w:b w:val="0"/>
        </w:rPr>
        <w:t xml:space="preserve"> é o hot path. Ele consulta flag e targeting em paralelo, guarda a combinação por 30 segundos no Redis e publica o resultado no SQS.</w:t>
      </w:r>
    </w:p>
    <w:p>
      <w:pPr>
        <w:pStyle w:val="ListBullet"/>
      </w:pPr>
      <w:r>
        <w:rPr>
          <w:b w:val="0"/>
        </w:rPr>
        <w:t xml:space="preserve">O </w:t>
      </w:r>
      <w:r>
        <w:rPr>
          <w:rFonts w:ascii="Consolas" w:hAnsi="Consolas"/>
          <w:color w:val="444444"/>
          <w:sz w:val="19"/>
        </w:rPr>
        <w:t>analytics-service</w:t>
      </w:r>
      <w:r>
        <w:rPr>
          <w:b w:val="0"/>
        </w:rPr>
        <w:t xml:space="preserve"> faz long polling da fila, persiste cada evento no DynamoDB e remove a mensagem somente após a gravação.</w:t>
      </w:r>
    </w:p>
    <w:p>
      <w:pPr>
        <w:pStyle w:val="ListBullet"/>
      </w:pPr>
      <w:r>
        <w:rPr>
          <w:b w:val="0"/>
        </w:rPr>
        <w:t>O HPA do evaluation e do analytics usa CPU, a alternativa compatível com AWS Academy/LabRole indicada no enunciado.</w:t>
      </w:r>
    </w:p>
    <w:p>
      <w:pPr>
        <w:pStyle w:val="ListBullet"/>
      </w:pPr>
      <w:r>
        <w:rPr>
          <w:b w:val="0"/>
        </w:rPr>
        <w:t>Requests e limits estão definidos para permitir agendamento previsível e cálculo correto do HPA.</w:t>
      </w:r>
    </w:p>
    <w:p>
      <w:pPr>
        <w:pStyle w:val="Heading1"/>
      </w:pPr>
      <w:r>
        <w:rPr>
          <w:b w:val="0"/>
        </w:rPr>
        <w:t>Data stores</w:t>
      </w:r>
    </w:p>
    <w:p>
      <w:pPr>
        <w:pStyle w:val="ListBullet"/>
      </w:pPr>
      <w:r>
        <w:rPr>
          <w:b/>
        </w:rPr>
        <w:t>PostgreSQL/RDS:</w:t>
      </w:r>
      <w:r>
        <w:rPr>
          <w:b w:val="0"/>
        </w:rPr>
        <w:t xml:space="preserve"> dados relacionais, consistentes e transacionais: chaves, flags e regras.</w:t>
      </w:r>
    </w:p>
    <w:p>
      <w:pPr>
        <w:pStyle w:val="ListBullet"/>
      </w:pPr>
      <w:r>
        <w:rPr>
          <w:b/>
        </w:rPr>
        <w:t>Redis/ElastiCache:</w:t>
      </w:r>
      <w:r>
        <w:rPr>
          <w:b w:val="0"/>
        </w:rPr>
        <w:t xml:space="preserve"> cache de baixa latência para o caminho de avaliação.</w:t>
      </w:r>
    </w:p>
    <w:p>
      <w:pPr>
        <w:pStyle w:val="ListBullet"/>
      </w:pPr>
      <w:r>
        <w:rPr>
          <w:b/>
        </w:rPr>
        <w:t>DynamoDB:</w:t>
      </w:r>
      <w:r>
        <w:rPr>
          <w:b w:val="0"/>
        </w:rPr>
        <w:t xml:space="preserve"> armazenamento NoSQL de eventos analíticos, adequado a alto volume e acesso por chave.</w:t>
      </w:r>
    </w:p>
    <w:p>
      <w:pPr>
        <w:pStyle w:val="ListBullet"/>
      </w:pPr>
      <w:r>
        <w:rPr>
          <w:b/>
        </w:rPr>
        <w:t>SQS:</w:t>
      </w:r>
      <w:r>
        <w:rPr>
          <w:b w:val="0"/>
        </w:rPr>
        <w:t xml:space="preserve"> desacopla a resposta de avaliação da persistência analítica e absorve picos.</w:t>
      </w:r>
    </w:p>
    <w:p>
      <w:pPr>
        <w:pStyle w:val="Heading1"/>
      </w:pPr>
      <w:r>
        <w:rPr>
          <w:b w:val="0"/>
        </w:rPr>
        <w:t>Limitações locais</w:t>
      </w:r>
    </w:p>
    <w:p>
      <w:r>
        <w:rPr>
          <w:b w:val="0"/>
        </w:rPr>
        <w:t xml:space="preserve">O ambiente local reproduz comportamento e topologia, mas não substitui evidências de EKS, ECR, RDS, ElastiCache ou Load Balancer da AWS. Os manifests usam imagens locais e </w:t>
      </w:r>
      <w:r>
        <w:rPr>
          <w:rFonts w:ascii="Consolas" w:hAnsi="Consolas"/>
          <w:color w:val="444444"/>
          <w:sz w:val="19"/>
        </w:rPr>
        <w:t>imagePullPolicy: Never</w:t>
      </w:r>
      <w:r>
        <w:rPr>
          <w:b w:val="0"/>
        </w:rPr>
        <w:t>; para EKS, substitua as imagens pelos endereços do ECR e use Secrets externos.</w:t>
      </w:r>
    </w:p>
    <w:p>
      <w:r>
        <w:rPr>
          <w:b w:val="0"/>
        </w:rPr>
        <w:t xml:space="preserve">O cluster </w:t>
      </w:r>
      <w:r>
        <w:rPr>
          <w:rFonts w:ascii="Consolas" w:hAnsi="Consolas"/>
          <w:color w:val="444444"/>
          <w:sz w:val="19"/>
        </w:rPr>
        <w:t>kind</w:t>
      </w:r>
      <w:r>
        <w:rPr>
          <w:b w:val="0"/>
        </w:rPr>
        <w:t xml:space="preserve"> publica o Nginx Ingress nas portas </w:t>
      </w:r>
      <w:r>
        <w:rPr>
          <w:rFonts w:ascii="Consolas" w:hAnsi="Consolas"/>
          <w:color w:val="444444"/>
          <w:sz w:val="19"/>
        </w:rPr>
        <w:t>18080</w:t>
      </w:r>
      <w:r>
        <w:rPr>
          <w:b w:val="0"/>
        </w:rPr>
        <w:t xml:space="preserve"> e </w:t>
      </w:r>
      <w:r>
        <w:rPr>
          <w:rFonts w:ascii="Consolas" w:hAnsi="Consolas"/>
          <w:color w:val="444444"/>
          <w:sz w:val="19"/>
        </w:rPr>
        <w:t>18443</w:t>
      </w:r>
      <w:r>
        <w:rPr>
          <w:b w:val="0"/>
        </w:rPr>
        <w:t>. Isso mantém o ambiente autocontido e evita depender da ativação do Kubernetes no Docker Desktop.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304" w:right="1417" w:bottom="1191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 xml:space="preserve">Página </w:t>
    </w:r>
    <w:r>
      <w:rPr>
        <w:color w:val="646464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646464"/>
        <w:sz w:val="16"/>
      </w:rPr>
      <w:t>ToggleMaster  |  Tech Challenge — Fase 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 Light" w:hAnsi="Calibri Light"/>
      <w:b/>
      <w:bCs/>
      <w:color w:val="1F4E78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 Light" w:hAnsi="Calibri Light"/>
      <w:b/>
      <w:bCs/>
      <w:color w:val="1F4E7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 Light" w:hAnsi="Calibri Light"/>
      <w:b/>
      <w:bCs/>
      <w:color w:val="1F4E7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 Light" w:hAnsi="Calibri Light"/>
      <w:b/>
      <w:color w:val="1F4E78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ódigo">
    <w:name w:val="Código"/>
    <w:pPr>
      <w:spacing w:before="80" w:after="160"/>
      <w:ind w:left="227" w:right="227"/>
    </w:pPr>
    <w:rPr>
      <w:rFonts w:ascii="Consolas" w:hAnsi="Consolas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Arquitetura do ToggleMaster</dc:title>
  <dc:subject>POSTECH — Tech Challenge — Fase 2</dc:subject>
  <dc:creator>FIAP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