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17365D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POSTECH  •  TECH CHALLENGE  •  FASE 2</w:t>
            </w:r>
          </w:p>
        </w:tc>
      </w:tr>
    </w:tbl>
    <w:p/>
    <w:p>
      <w:pPr>
        <w:pStyle w:val="Title"/>
        <w:jc w:val="center"/>
      </w:pPr>
      <w:r>
        <w:t>ToggleMaster</w:t>
      </w:r>
    </w:p>
    <w:p>
      <w:pPr>
        <w:jc w:val="center"/>
      </w:pPr>
      <w:r>
        <w:rPr>
          <w:rFonts w:ascii="Aptos Display" w:hAnsi="Aptos Display"/>
          <w:b/>
          <w:color w:val="2E75B6"/>
          <w:sz w:val="38"/>
        </w:rPr>
        <w:t>IMPLEMENTAÇÃO LOCAL</w:t>
      </w:r>
    </w:p>
    <w:p>
      <w:pPr>
        <w:jc w:val="center"/>
      </w:pPr>
      <w:r>
        <w:rPr>
          <w:rFonts w:ascii="Aptos" w:hAnsi="Aptos"/>
          <w:color w:val="666666"/>
          <w:sz w:val="24"/>
        </w:rPr>
        <w:t>Guia didático, arquitetura, execução e evidências</w:t>
        <w:br/>
        <w:t>Docker Compose + Kubernetes kind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DEBF7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2" w:color="FFFFFF"/>
              <w:bottom w:val="single" w:sz="2" w:color="FFFFFF"/>
              <w:start w:val="single" w:sz="2" w:color="FFFFFF"/>
              <w:end w:val="single" w:sz="2" w:color="FFFFFF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2E75B6"/>
                <w:sz w:val="44"/>
              </w:rPr>
              <w:t>5</w:t>
            </w:r>
            <w:r>
              <w:br/>
            </w:r>
            <w:r>
              <w:rPr>
                <w:rFonts w:ascii="Aptos" w:hAnsi="Aptos"/>
                <w:b/>
                <w:color w:val="2E75B6"/>
                <w:sz w:val="16"/>
              </w:rPr>
              <w:t>MICROSSERVIÇOS</w:t>
            </w:r>
          </w:p>
        </w:tc>
        <w:tc>
          <w:tcPr>
            <w:tcW w:type="dxa" w:w="4706"/>
            <w:shd w:fill="E2F0D9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2" w:color="FFFFFF"/>
              <w:bottom w:val="single" w:sz="2" w:color="FFFFFF"/>
              <w:start w:val="single" w:sz="2" w:color="FFFFFF"/>
              <w:end w:val="single" w:sz="2" w:color="FFFFFF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217346"/>
                <w:sz w:val="44"/>
              </w:rPr>
              <w:t>9</w:t>
            </w:r>
            <w:r>
              <w:br/>
            </w:r>
            <w:r>
              <w:rPr>
                <w:rFonts w:ascii="Aptos" w:hAnsi="Aptos"/>
                <w:b/>
                <w:color w:val="217346"/>
                <w:sz w:val="16"/>
              </w:rPr>
              <w:t>CONTÊINERES COMPOSE</w:t>
            </w:r>
          </w:p>
        </w:tc>
      </w:tr>
      <w:tr>
        <w:tc>
          <w:tcPr>
            <w:tcW w:type="dxa" w:w="4706"/>
            <w:shd w:fill="E4DFEC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2" w:color="FFFFFF"/>
              <w:bottom w:val="single" w:sz="2" w:color="FFFFFF"/>
              <w:start w:val="single" w:sz="2" w:color="FFFFFF"/>
              <w:end w:val="single" w:sz="2" w:color="FFFFFF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7030A0"/>
                <w:sz w:val="44"/>
              </w:rPr>
              <w:t>10</w:t>
            </w:r>
            <w:r>
              <w:br/>
            </w:r>
            <w:r>
              <w:rPr>
                <w:rFonts w:ascii="Aptos" w:hAnsi="Aptos"/>
                <w:b/>
                <w:color w:val="7030A0"/>
                <w:sz w:val="16"/>
              </w:rPr>
              <w:t>PODS INICIAIS NO KIND</w:t>
            </w:r>
          </w:p>
        </w:tc>
        <w:tc>
          <w:tcPr>
            <w:tcW w:type="dxa" w:w="4706"/>
            <w:shd w:fill="FCE4D6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2" w:color="FFFFFF"/>
              <w:bottom w:val="single" w:sz="2" w:color="FFFFFF"/>
              <w:start w:val="single" w:sz="2" w:color="FFFFFF"/>
              <w:end w:val="single" w:sz="2" w:color="FFFFFF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C65911"/>
                <w:sz w:val="44"/>
              </w:rPr>
              <w:t>2</w:t>
            </w:r>
            <w:r>
              <w:br/>
            </w:r>
            <w:r>
              <w:rPr>
                <w:rFonts w:ascii="Aptos" w:hAnsi="Aptos"/>
                <w:b/>
                <w:color w:val="C65911"/>
                <w:sz w:val="16"/>
              </w:rPr>
              <w:t>HPAs COM MÉTRICAS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2F0D9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217346"/>
              <w:top w:val="single" w:sz="2" w:color="E2F0D9"/>
              <w:bottom w:val="single" w:sz="2" w:color="E2F0D9"/>
              <w:end w:val="single" w:sz="2" w:color="E2F0D9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217346"/>
                <w:sz w:val="18"/>
              </w:rPr>
              <w:t>AMBIENTE VALIDADO</w:t>
            </w:r>
            <w:r>
              <w:br/>
            </w:r>
            <w:r>
              <w:rPr>
                <w:b w:val="0"/>
              </w:rPr>
              <w:t xml:space="preserve">O fluxo </w:t>
            </w:r>
            <w:r>
              <w:rPr>
                <w:b/>
              </w:rPr>
              <w:t>auth → flag → targeting → evaluation → SQS → analytics → DynamoDB</w:t>
            </w:r>
            <w:r>
              <w:rPr>
                <w:b w:val="0"/>
              </w:rPr>
              <w:t xml:space="preserve"> foi executado com sucesso no Docker Compose e no Kubernetes local.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17365D"/>
              </w:rPr>
              <w:t>Participante</w:t>
            </w:r>
          </w:p>
        </w:tc>
        <w:tc>
          <w:tcPr>
            <w:tcW w:type="dxa" w:w="470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4706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17365D"/>
              </w:rPr>
              <w:t>RM / Turma</w:t>
            </w:r>
          </w:p>
        </w:tc>
        <w:tc>
          <w:tcPr>
            <w:tcW w:type="dxa" w:w="470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4706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17365D"/>
              </w:rPr>
              <w:t>Versão</w:t>
            </w:r>
          </w:p>
        </w:tc>
        <w:tc>
          <w:tcPr>
            <w:tcW w:type="dxa" w:w="470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1.0 — ambiente local validado</w:t>
            </w:r>
          </w:p>
        </w:tc>
      </w:tr>
      <w:tr>
        <w:tc>
          <w:tcPr>
            <w:tcW w:type="dxa" w:w="4706"/>
            <w:shd w:fill="DDEB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b/>
                <w:color w:val="17365D"/>
              </w:rPr>
              <w:t>Data</w:t>
            </w:r>
          </w:p>
        </w:tc>
        <w:tc>
          <w:tcPr>
            <w:tcW w:type="dxa" w:w="470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28/10/2026</w:t>
            </w:r>
          </w:p>
        </w:tc>
      </w:tr>
    </w:tbl>
    <w:p/>
    <w:p>
      <w:pPr>
        <w:jc w:val="center"/>
      </w:pPr>
      <w:r>
        <w:rPr>
          <w:color w:val="666666"/>
          <w:sz w:val="16"/>
        </w:rPr>
        <w:t>Documento criado a partir do código, manifests e testes existentes em C:\Users\Jeferson\Desktop\Fase 2 Tech FIAP</w:t>
      </w:r>
    </w:p>
    <w:p>
      <w:r>
        <w:br w:type="page"/>
      </w:r>
    </w:p>
    <w:p>
      <w:pPr>
        <w:pStyle w:val="Heading1"/>
        <w:pBdr>
          <w:bottom w:val="single" w:sz="12" w:space="4" w:color="2E75B6"/>
        </w:pBdr>
      </w:pPr>
      <w:r>
        <w:t>Sumário e mapa de leitura</w:t>
      </w:r>
    </w:p>
    <w:p>
      <w:r>
        <w:rPr>
          <w:b w:val="0"/>
        </w:rPr>
        <w:t>Este guia segue a ordem natural de entendimento e execução do ambiente local. No Microsoft Word, selecione o campo abaixo e pressione F9 para atualizar o sumário clicável.</w:t>
      </w:r>
    </w:p>
    <w:p>
      <w:r>
        <w:fldChar w:fldCharType="begin"/>
        <w:instrText xml:space="preserve"> TOC \o "1-3" \h \z \u </w:instrText>
        <w:fldChar w:fldCharType="separate"/>
        <w:t>Atualize este campo no Word para gerar o sumário clicável.</w:t>
        <w:fldChar w:fldCharType="end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1701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Parte</w:t>
            </w:r>
          </w:p>
        </w:tc>
        <w:tc>
          <w:tcPr>
            <w:tcW w:type="dxa" w:w="737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1–3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Visão geral, arquitetura e equivalência entre local e AWS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4–6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Preparação, containerização e Docker Compose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7–9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Kubernetes kind, recursos, Ingress e HPA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10–12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Testes, segurança, operação e solução de problemas</w:t>
            </w:r>
          </w:p>
        </w:tc>
      </w:tr>
      <w:tr>
        <w:tc>
          <w:tcPr>
            <w:tcW w:type="dxa" w:w="170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13–14</w:t>
            </w:r>
          </w:p>
        </w:tc>
        <w:tc>
          <w:tcPr>
            <w:tcW w:type="dxa" w:w="73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Evidências, roteiro de vídeo, limitações e próximos passos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C65911"/>
              <w:top w:val="single" w:sz="2" w:color="FFF2CC"/>
              <w:bottom w:val="single" w:sz="2" w:color="FFF2CC"/>
              <w:end w:val="single" w:sz="2" w:color="FFF2CC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C65911"/>
                <w:sz w:val="18"/>
              </w:rPr>
              <w:t>ESCOPO</w:t>
            </w:r>
            <w:r>
              <w:br/>
            </w:r>
            <w:r>
              <w:rPr>
                <w:b w:val="0"/>
              </w:rPr>
              <w:t xml:space="preserve">Este documento descreve </w:t>
            </w:r>
            <w:r>
              <w:rPr>
                <w:b/>
              </w:rPr>
              <w:t>o que está implementado localmente</w:t>
            </w:r>
            <w:r>
              <w:rPr>
                <w:b w:val="0"/>
              </w:rPr>
              <w:t>. Ele não afirma que recursos gerenciados da AWS foram provisionados.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4" w:color="2E75B6"/>
        </w:pBdr>
      </w:pPr>
      <w:r>
        <w:t>1. Visão geral</w:t>
      </w:r>
    </w:p>
    <w:p>
      <w:r>
        <w:rPr>
          <w:b w:val="0"/>
        </w:rPr>
        <w:t>O ToggleMaster é uma plataforma de feature flags dividida em cinco microsserviços. A solução permite criar chaves de API, cadastrar flags, definir regras de segmentação, avaliar uma flag com baixa latência e registrar cada decisão para análise posterior.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DEBF7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2" w:color="FFFFFF"/>
              <w:bottom w:val="single" w:sz="2" w:color="FFFFFF"/>
              <w:start w:val="single" w:sz="2" w:color="FFFFFF"/>
              <w:end w:val="single" w:sz="2" w:color="FFFFFF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2E75B6"/>
                <w:sz w:val="44"/>
              </w:rPr>
              <w:t>5</w:t>
            </w:r>
            <w:r>
              <w:br/>
            </w:r>
            <w:r>
              <w:rPr>
                <w:rFonts w:ascii="Aptos" w:hAnsi="Aptos"/>
                <w:b/>
                <w:color w:val="2E75B6"/>
                <w:sz w:val="16"/>
              </w:rPr>
              <w:t>MICROSSERVIÇOS</w:t>
            </w:r>
          </w:p>
        </w:tc>
        <w:tc>
          <w:tcPr>
            <w:tcW w:type="dxa" w:w="4706"/>
            <w:shd w:fill="E2F0D9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2" w:color="FFFFFF"/>
              <w:bottom w:val="single" w:sz="2" w:color="FFFFFF"/>
              <w:start w:val="single" w:sz="2" w:color="FFFFFF"/>
              <w:end w:val="single" w:sz="2" w:color="FFFFFF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217346"/>
                <w:sz w:val="44"/>
              </w:rPr>
              <w:t>9</w:t>
            </w:r>
            <w:r>
              <w:br/>
            </w:r>
            <w:r>
              <w:rPr>
                <w:rFonts w:ascii="Aptos" w:hAnsi="Aptos"/>
                <w:b/>
                <w:color w:val="217346"/>
                <w:sz w:val="16"/>
              </w:rPr>
              <w:t>CONTÊINERES COMPOSE</w:t>
            </w:r>
          </w:p>
        </w:tc>
      </w:tr>
      <w:tr>
        <w:tc>
          <w:tcPr>
            <w:tcW w:type="dxa" w:w="4706"/>
            <w:shd w:fill="E4DFEC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2" w:color="FFFFFF"/>
              <w:bottom w:val="single" w:sz="2" w:color="FFFFFF"/>
              <w:start w:val="single" w:sz="2" w:color="FFFFFF"/>
              <w:end w:val="single" w:sz="2" w:color="FFFFFF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7030A0"/>
                <w:sz w:val="44"/>
              </w:rPr>
              <w:t>10</w:t>
            </w:r>
            <w:r>
              <w:br/>
            </w:r>
            <w:r>
              <w:rPr>
                <w:rFonts w:ascii="Aptos" w:hAnsi="Aptos"/>
                <w:b/>
                <w:color w:val="7030A0"/>
                <w:sz w:val="16"/>
              </w:rPr>
              <w:t>PODS INICIAIS NO KIND</w:t>
            </w:r>
          </w:p>
        </w:tc>
        <w:tc>
          <w:tcPr>
            <w:tcW w:type="dxa" w:w="4706"/>
            <w:shd w:fill="FCE4D6"/>
            <w:tcMar>
              <w:top w:w="150" w:type="dxa"/>
              <w:start w:w="130" w:type="dxa"/>
              <w:bottom w:w="150" w:type="dxa"/>
              <w:end w:w="130" w:type="dxa"/>
            </w:tcMar>
            <w:tcBorders>
              <w:top w:val="single" w:sz="2" w:color="FFFFFF"/>
              <w:bottom w:val="single" w:sz="2" w:color="FFFFFF"/>
              <w:start w:val="single" w:sz="2" w:color="FFFFFF"/>
              <w:end w:val="single" w:sz="2" w:color="FFFFFF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C65911"/>
                <w:sz w:val="44"/>
              </w:rPr>
              <w:t>2</w:t>
            </w:r>
            <w:r>
              <w:br/>
            </w:r>
            <w:r>
              <w:rPr>
                <w:rFonts w:ascii="Aptos" w:hAnsi="Aptos"/>
                <w:b/>
                <w:color w:val="C65911"/>
                <w:sz w:val="16"/>
              </w:rPr>
              <w:t>HPAs COM MÉTRICAS</w:t>
            </w:r>
          </w:p>
        </w:tc>
      </w:tr>
    </w:tbl>
    <w:p/>
    <w:p>
      <w:pPr>
        <w:pStyle w:val="Heading2"/>
      </w:pPr>
      <w:r>
        <w:t>O que foi entregue</w:t>
      </w:r>
    </w:p>
    <w:p>
      <w:pPr>
        <w:pStyle w:val="ListBullet"/>
        <w:spacing w:after="60"/>
      </w:pPr>
      <w:r>
        <w:rPr>
          <w:b w:val="0"/>
        </w:rPr>
        <w:t>Cinco microsserviços independentes, com imagens Docker próprias e endpoints de saúde.</w:t>
      </w:r>
    </w:p>
    <w:p>
      <w:pPr>
        <w:pStyle w:val="ListBullet"/>
        <w:spacing w:after="60"/>
      </w:pPr>
      <w:r>
        <w:rPr>
          <w:b w:val="0"/>
        </w:rPr>
        <w:t xml:space="preserve">Docker Compose com </w:t>
      </w:r>
      <w:r>
        <w:rPr>
          <w:b/>
        </w:rPr>
        <w:t>exatamente 9 contêineres</w:t>
      </w:r>
      <w:r>
        <w:rPr>
          <w:b w:val="0"/>
        </w:rPr>
        <w:t>: cinco aplicações e quatro componentes de dados.</w:t>
      </w:r>
    </w:p>
    <w:p>
      <w:pPr>
        <w:pStyle w:val="ListBullet"/>
        <w:spacing w:after="60"/>
      </w:pPr>
      <w:r>
        <w:rPr>
          <w:b w:val="0"/>
        </w:rPr>
        <w:t xml:space="preserve">SQS e DynamoDB emulados localmente pelo </w:t>
      </w:r>
      <w:r>
        <w:rPr>
          <w:b/>
        </w:rPr>
        <w:t>LocalStack 3.8.1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Cluster Kubernetes local com </w:t>
      </w:r>
      <w:r>
        <w:rPr>
          <w:b/>
        </w:rPr>
        <w:t>kind v0.33.0</w:t>
      </w:r>
      <w:r>
        <w:rPr>
          <w:b w:val="0"/>
        </w:rPr>
        <w:t xml:space="preserve"> e nó Kubernetes </w:t>
      </w:r>
      <w:r>
        <w:rPr>
          <w:b/>
        </w:rPr>
        <w:t>v1.34.11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Ingress Nginx, Metrics Server, ConfigMaps, Secret, probes, requests/limits e dois HPAs.</w:t>
      </w:r>
    </w:p>
    <w:p>
      <w:pPr>
        <w:pStyle w:val="ListBullet"/>
        <w:spacing w:after="60"/>
      </w:pPr>
      <w:r>
        <w:rPr>
          <w:b w:val="0"/>
        </w:rPr>
        <w:t>Scripts PowerShell para build, inicialização, validação estática, teste ponta a ponta, carga e deploy Kubernetes.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2F0D9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217346"/>
              <w:top w:val="single" w:sz="2" w:color="E2F0D9"/>
              <w:bottom w:val="single" w:sz="2" w:color="E2F0D9"/>
              <w:end w:val="single" w:sz="2" w:color="E2F0D9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217346"/>
                <w:sz w:val="18"/>
              </w:rPr>
              <w:t>RESULTADO</w:t>
            </w:r>
            <w:r>
              <w:br/>
            </w:r>
            <w:r>
              <w:rPr>
                <w:b w:val="0"/>
              </w:rPr>
              <w:t xml:space="preserve">O ambiente foi validado nos dois modos. No último teste Kubernetes, o evento analítico percorreu SQS e aumentou a contagem no DynamoDB de </w:t>
            </w:r>
            <w:r>
              <w:rPr>
                <w:b/>
              </w:rPr>
              <w:t>1 para 2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0"/>
      </w:pPr>
    </w:p>
    <w:p>
      <w:pPr>
        <w:pStyle w:val="Heading2"/>
      </w:pPr>
      <w:r>
        <w:t>Dois modos locais, o mesmo comportamento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Característica</w:t>
            </w:r>
          </w:p>
        </w:tc>
        <w:tc>
          <w:tcPr>
            <w:tcW w:type="dxa" w:w="340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Docker Compose</w:t>
            </w:r>
          </w:p>
        </w:tc>
        <w:tc>
          <w:tcPr>
            <w:tcW w:type="dxa" w:w="340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Kubernetes kind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Entrada</w:t>
            </w:r>
          </w:p>
        </w:tc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Portas 18001–18005</w:t>
            </w:r>
          </w:p>
        </w:tc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Nginx Ingress em 18080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Imagens</w:t>
            </w:r>
          </w:p>
        </w:tc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Build direto pelo Compose</w:t>
            </w:r>
          </w:p>
        </w:tc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Imagens locais carregadas no nó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Dados</w:t>
            </w:r>
          </w:p>
        </w:tc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Volumes Docker persistentes</w:t>
            </w:r>
          </w:p>
        </w:tc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PVC para PostgreSQL; emptyDir para Redis/LocalStack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Escala</w:t>
            </w:r>
          </w:p>
        </w:tc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Número fixo de contêineres</w:t>
            </w:r>
          </w:p>
        </w:tc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HPA para evaluation e analytics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Objetivo</w:t>
            </w:r>
          </w:p>
        </w:tc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Desenvolvimento e teste rápido</w:t>
            </w:r>
          </w:p>
        </w:tc>
        <w:tc>
          <w:tcPr>
            <w:tcW w:type="dxa" w:w="340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Validação dos manifests e da orquestração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4" w:color="2E75B6"/>
        </w:pBdr>
      </w:pPr>
      <w:r>
        <w:t>2. Arquitetura da solução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41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lo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1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 — Microsserviços, dependências e fluxo assíncrono do ambiente local.</w:t>
      </w:r>
    </w:p>
    <w:p>
      <w:pPr>
        <w:pStyle w:val="Heading2"/>
      </w:pPr>
      <w:r>
        <w:t>Catálogo dos microsserviços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Porta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Responsabilidade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Dependências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auth-service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Go 1.22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18001 → 8001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Cria e valida API keys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PostgreSQL / auth_db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flag-service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Python 3.11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18002 → 8002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CRUD de feature flags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Auth + PostgreSQL / flags_db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targeting-service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Python 3.11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18003 → 8003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CRUD de regras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Auth + PostgreSQL / targeting_db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evaluation-service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Go 1.22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18004 → 8004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Avalia, usa cache e publica evento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Flag + Targeting + Redis + SQS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analytics-service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Python 3.11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18005 → 8005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Consome e persiste eventos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SQS + DynamoDB</w:t>
            </w:r>
          </w:p>
        </w:tc>
      </w:tr>
    </w:tbl>
    <w:p>
      <w:pPr>
        <w:spacing w:after="0"/>
      </w:pPr>
    </w:p>
    <w:p>
      <w:pPr>
        <w:pStyle w:val="Heading2"/>
      </w:pPr>
      <w:r>
        <w:t>Fluxo ponta a ponta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Autenticação</w:t>
            </w:r>
            <w:r>
              <w:t xml:space="preserve"> — </w:t>
            </w:r>
            <w:r>
              <w:rPr>
                <w:b w:val="0"/>
              </w:rPr>
              <w:t>o cliente cria ou apresenta uma API key ao auth-service.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Flag</w:t>
            </w:r>
            <w:r>
              <w:t xml:space="preserve"> — </w:t>
            </w:r>
            <w:r>
              <w:rPr>
                <w:b w:val="0"/>
              </w:rPr>
              <w:t>o flag-service consulta o auth-service e lê a configuração da flag.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Targeting</w:t>
            </w:r>
            <w:r>
              <w:t xml:space="preserve"> — </w:t>
            </w:r>
            <w:r>
              <w:rPr>
                <w:b w:val="0"/>
              </w:rPr>
              <w:t>o targeting-service recupera a regra associada à flag.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Avaliação</w:t>
            </w:r>
            <w:r>
              <w:t xml:space="preserve"> — </w:t>
            </w:r>
            <w:r>
              <w:rPr>
                <w:b w:val="0"/>
              </w:rPr>
              <w:t>o evaluation consulta flag e targeting em paralelo e calcula o resultado.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Cache</w:t>
            </w:r>
            <w:r>
              <w:t xml:space="preserve"> — </w:t>
            </w:r>
            <w:r>
              <w:rPr>
                <w:b w:val="0"/>
              </w:rPr>
              <w:t>a combinação é mantida no Redis por 30 segundos para reduzir leituras.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Evento</w:t>
            </w:r>
            <w:r>
              <w:t xml:space="preserve"> — </w:t>
            </w:r>
            <w:r>
              <w:rPr>
                <w:b w:val="0"/>
              </w:rPr>
              <w:t>o resultado é publicado de forma assíncrona na fila SQS local.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7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Analytics</w:t>
            </w:r>
            <w:r>
              <w:t xml:space="preserve"> — </w:t>
            </w:r>
            <w:r>
              <w:rPr>
                <w:b w:val="0"/>
              </w:rPr>
              <w:t>o worker usa long polling, consome a mensagem e grava no DynamoDB.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8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Confirmação</w:t>
            </w:r>
            <w:r>
              <w:t xml:space="preserve"> — </w:t>
            </w:r>
            <w:r>
              <w:rPr>
                <w:b w:val="0"/>
              </w:rPr>
              <w:t>a mensagem só é removida da fila depois da persistência bem-sucedida.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DEBF7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2E75B6"/>
              <w:top w:val="single" w:sz="2" w:color="DDEBF7"/>
              <w:bottom w:val="single" w:sz="2" w:color="DDEBF7"/>
              <w:end w:val="single" w:sz="2" w:color="DDEBF7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2E75B6"/>
                <w:sz w:val="18"/>
              </w:rPr>
              <w:t>DECISÃO ARQUITETURAL</w:t>
            </w:r>
            <w:r>
              <w:br/>
            </w:r>
            <w:r>
              <w:rPr>
                <w:b w:val="0"/>
              </w:rPr>
              <w:t xml:space="preserve">A resposta ao usuário não espera a persistência analítica. A fila desacopla o </w:t>
            </w:r>
            <w:r>
              <w:rPr>
                <w:b/>
              </w:rPr>
              <w:t>hot path</w:t>
            </w:r>
            <w:r>
              <w:rPr>
                <w:b w:val="0"/>
              </w:rPr>
              <w:t xml:space="preserve"> de avaliação do processamento de analytics e absorve picos.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4" w:color="2E75B6"/>
        </w:pBdr>
      </w:pPr>
      <w:r>
        <w:t>3. Correspondência entre local e AWS</w:t>
      </w:r>
    </w:p>
    <w:p>
      <w:r>
        <w:rPr>
          <w:b w:val="0"/>
        </w:rPr>
        <w:t>O ambiente local reproduz o comportamento e a topologia lógica do enunciado com componentes executáveis no notebook. A tabela abaixo mostra a correspondência; os recursos locais não substituem as evidências de uma implantação real na AWS.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Requisito de produção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Equivalente local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Papel no projeto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Amazon EKS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Kubernetes kind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Orquestra Deployments, StatefulSets, Services e HPA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Amazon ECR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Imagens togglemaster/*:local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Armazena as cinco imagens no Docker local/nó kind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3 × Amazon RDS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 contêineres PostgreSQL / 3 bancos lógicos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auth_db, flags_db e targeting_db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ElastiCache for Redis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Redis 7.2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Cache do caminho de avaliação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Amazon SQS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SQS no LocalStack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Fila togglemaster-events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Amazon DynamoDB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DynamoDB no LocalStack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Tabela ToggleMasterAnalytics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Load Balancer + Ingress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Nginx Ingress + portas do kind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Entrada HTTP por localhost:18080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Secrets Manager / ESO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Secret Kubernetes local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Credenciais fictícias de desenvolvimento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CE4D6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C00000"/>
              <w:top w:val="single" w:sz="2" w:color="FCE4D6"/>
              <w:bottom w:val="single" w:sz="2" w:color="FCE4D6"/>
              <w:end w:val="single" w:sz="2" w:color="FCE4D6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C00000"/>
                <w:sz w:val="18"/>
              </w:rPr>
              <w:t>IMPORTANTE</w:t>
            </w:r>
            <w:r>
              <w:br/>
            </w:r>
            <w:r>
              <w:rPr>
                <w:b w:val="0"/>
              </w:rPr>
              <w:t xml:space="preserve">Base64 não é criptografia. O arquivo </w:t>
            </w:r>
            <w:r>
              <w:rPr>
                <w:rFonts w:ascii="Consolas" w:hAnsi="Consolas"/>
                <w:color w:val="2E75B6"/>
                <w:sz w:val="18"/>
              </w:rPr>
              <w:t>secret-local.yaml</w:t>
            </w:r>
            <w:r>
              <w:rPr>
                <w:b w:val="0"/>
              </w:rPr>
              <w:t xml:space="preserve"> contém apenas valores de desenvolvimento. Em AWS, use Secrets Manager e External Secrets Operator, como descrito no guia específico da Academy.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2E75B6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 1</w:t>
            </w:r>
          </w:p>
        </w:tc>
        <w:tc>
          <w:tcPr>
            <w:tcW w:type="dxa" w:w="7654"/>
            <w:shd w:fill="17365D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Preparação e estrutura do projeto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4" w:color="2E75B6"/>
        </w:pBdr>
      </w:pPr>
      <w:r>
        <w:t>4. Pré-requisitos</w:t>
      </w:r>
    </w:p>
    <w:p>
      <w:pPr>
        <w:pStyle w:val="ListBullet"/>
        <w:spacing w:after="60"/>
      </w:pPr>
      <w:r>
        <w:rPr>
          <w:b w:val="0"/>
        </w:rPr>
        <w:t>Windows com Docker Desktop em execução no modo de contêineres Linux.</w:t>
      </w:r>
    </w:p>
    <w:p>
      <w:pPr>
        <w:pStyle w:val="ListBullet"/>
        <w:spacing w:after="60"/>
      </w:pPr>
      <w:r>
        <w:rPr>
          <w:b w:val="0"/>
        </w:rPr>
        <w:t>PowerShell 5.1 ou superior.</w:t>
      </w:r>
    </w:p>
    <w:p>
      <w:pPr>
        <w:pStyle w:val="ListBullet"/>
        <w:spacing w:after="60"/>
      </w:pPr>
      <w:r>
        <w:rPr>
          <w:rFonts w:ascii="Consolas" w:hAnsi="Consolas"/>
          <w:color w:val="2E75B6"/>
          <w:sz w:val="18"/>
        </w:rPr>
        <w:t>kubectl</w:t>
      </w:r>
      <w:r>
        <w:rPr>
          <w:b w:val="0"/>
        </w:rPr>
        <w:t xml:space="preserve"> disponível no PATH; o projeto baixa seu próprio </w:t>
      </w:r>
      <w:r>
        <w:rPr>
          <w:rFonts w:ascii="Consolas" w:hAnsi="Consolas"/>
          <w:color w:val="2E75B6"/>
          <w:sz w:val="18"/>
        </w:rPr>
        <w:t>kind.exe</w:t>
      </w:r>
      <w:r>
        <w:rPr>
          <w:b w:val="0"/>
        </w:rPr>
        <w:t xml:space="preserve"> em </w:t>
      </w:r>
      <w:r>
        <w:rPr>
          <w:rFonts w:ascii="Consolas" w:hAnsi="Consolas"/>
          <w:color w:val="2E75B6"/>
          <w:sz w:val="18"/>
        </w:rPr>
        <w:t>tools/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Acesso à internet apenas na primeira criação do cluster e no download das imagens/addons.</w:t>
      </w:r>
    </w:p>
    <w:p>
      <w:pPr>
        <w:pStyle w:val="ListBullet"/>
        <w:spacing w:after="60"/>
      </w:pPr>
      <w:r>
        <w:rPr>
          <w:b w:val="0"/>
        </w:rPr>
        <w:t>Memória disponível para o Compose ou para o cluster kind. Recomenda-se executar um modo por vez.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E75B6"/>
              <w:top w:val="single" w:sz="2" w:color="D9E2F3"/>
              <w:bottom w:val="single" w:sz="2" w:color="D9E2F3"/>
              <w:end w:val="single" w:sz="2" w:color="D9E2F3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1F1F1F"/>
                <w:sz w:val="17"/>
              </w:rPr>
              <w:t>Set-Location "C:\Users\Jeferson\Desktop\Fase 2 Tech FIAP"</w:t>
              <w:br/>
              <w:t>Copy-Item .env.example .env</w:t>
              <w:br/>
              <w:t>powershell -NoProfile -ExecutionPolicy Bypass -File ".\scripts\validate.ps1"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C65911"/>
              <w:top w:val="single" w:sz="2" w:color="FFF2CC"/>
              <w:bottom w:val="single" w:sz="2" w:color="FFF2CC"/>
              <w:end w:val="single" w:sz="2" w:color="FFF2CC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C65911"/>
                <w:sz w:val="18"/>
              </w:rPr>
              <w:t>POWERSHELL</w:t>
            </w:r>
            <w:r>
              <w:br/>
            </w:r>
            <w:r>
              <w:rPr>
                <w:b w:val="0"/>
              </w:rPr>
              <w:t xml:space="preserve">Se a política de execução bloquear arquivos </w:t>
            </w:r>
            <w:r>
              <w:rPr>
                <w:rFonts w:ascii="Consolas" w:hAnsi="Consolas"/>
                <w:color w:val="2E75B6"/>
                <w:sz w:val="18"/>
              </w:rPr>
              <w:t>.ps1</w:t>
            </w:r>
            <w:r>
              <w:rPr>
                <w:b w:val="0"/>
              </w:rPr>
              <w:t xml:space="preserve">, use </w:t>
            </w:r>
            <w:r>
              <w:rPr>
                <w:rFonts w:ascii="Consolas" w:hAnsi="Consolas"/>
                <w:color w:val="2E75B6"/>
                <w:sz w:val="18"/>
              </w:rPr>
              <w:t>-ExecutionPolicy Bypass</w:t>
            </w:r>
            <w:r>
              <w:rPr>
                <w:b w:val="0"/>
              </w:rPr>
              <w:t xml:space="preserve"> somente na chamada do script, sem alterar permanentemente a política do computador.</w:t>
            </w:r>
          </w:p>
        </w:tc>
      </w:tr>
    </w:tbl>
    <w:p>
      <w:pPr>
        <w:spacing w:after="0"/>
      </w:pPr>
    </w:p>
    <w:p>
      <w:pPr>
        <w:pStyle w:val="Heading2"/>
      </w:pPr>
      <w:r>
        <w:t>Estrutura simplificada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E75B6"/>
              <w:top w:val="single" w:sz="2" w:color="D9E2F3"/>
              <w:bottom w:val="single" w:sz="2" w:color="D9E2F3"/>
              <w:end w:val="single" w:sz="2" w:color="D9E2F3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1F1F1F"/>
                <w:sz w:val="17"/>
              </w:rPr>
              <w:t>Fase 2 Tech FIAP/</w:t>
              <w:br/>
              <w:t>├── auth-service/          # Go + PostgreSQL</w:t>
              <w:br/>
              <w:t>├── flag-service/          # Python + PostgreSQL</w:t>
              <w:br/>
              <w:t>├── targeting-service/     # Python + PostgreSQL</w:t>
              <w:br/>
              <w:t>├── evaluation-service/    # Go + Redis + SQS</w:t>
              <w:br/>
              <w:t>├── analytics-service/     # Python + SQS + DynamoDB</w:t>
              <w:br/>
              <w:t>├── infra/                 # inicialização de bancos, LocalStack e patch do Metrics Server</w:t>
              <w:br/>
              <w:t>├── k8s/                   # manifests e kustomization</w:t>
              <w:br/>
              <w:t>├── scripts/               # automação PowerShell</w:t>
              <w:br/>
              <w:t>├── docs/                  # documentação e relatórios</w:t>
              <w:br/>
              <w:t>├── tools/kind.exe         # ferramenta local do cluster</w:t>
              <w:br/>
              <w:t>├── docker-compose.yml</w:t>
              <w:br/>
              <w:t>└── kind-config.yaml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470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docker-compose.yml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Define os nove serviços e quatro volumes locais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kind-config.yaml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Fixa o nó Kubernetes e mapeia 18080/18443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k8s/kustomization.yaml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Agrupa Namespace, Secrets, ConfigMaps, infra, apps, Ingress e HPA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scripts/start-local.ps1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Constrói e sobe o Compose aguardando saúde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scripts/setup-kind.ps1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Cria o cluster, instala addons e faz o deploy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scripts/test-local.ps1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Valida o fluxo ponta a ponta no Compose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scripts/test-k8s.ps1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Valida o mesmo fluxo pelo Ingress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scripts/validate.ps1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Valida Compose, Python, Kustomize e arquivos obrigatórios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2E75B6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 2</w:t>
            </w:r>
          </w:p>
        </w:tc>
        <w:tc>
          <w:tcPr>
            <w:tcW w:type="dxa" w:w="7654"/>
            <w:shd w:fill="17365D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Containerização segura e reproduzível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4" w:color="2E75B6"/>
        </w:pBdr>
      </w:pPr>
      <w:r>
        <w:t>5. As cinco imagens Docker</w:t>
      </w:r>
    </w:p>
    <w:p>
      <w:r>
        <w:rPr>
          <w:b w:val="0"/>
        </w:rPr>
        <w:t>Todos os serviços possuem Dockerfile multi-stage. O estágio de build compila o binário Go ou instala as dependências Python; o estágio final recebe apenas o necessário para executar a aplicação.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2353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Estágio de build</w:t>
            </w:r>
          </w:p>
        </w:tc>
        <w:tc>
          <w:tcPr>
            <w:tcW w:type="dxa" w:w="2353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Runtime</w:t>
            </w:r>
          </w:p>
        </w:tc>
        <w:tc>
          <w:tcPr>
            <w:tcW w:type="dxa" w:w="2353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Execução</w:t>
            </w:r>
          </w:p>
        </w:tc>
      </w:tr>
      <w:tr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auth / evaluation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golang:1.22-alpine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alpine:3.20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Binário estático, UID/GID 10001</w:t>
            </w:r>
          </w:p>
        </w:tc>
      </w:tr>
      <w:tr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flag / targeting / analytics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python:3.11-slim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python:3.11-slim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Gunicorn, UID/GID 10001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Código-fonte</w:t>
            </w:r>
            <w:r>
              <w:t xml:space="preserve"> — </w:t>
            </w:r>
            <w:r>
              <w:rPr>
                <w:b w:val="0"/>
              </w:rPr>
              <w:t>somente os arquivos necessários são copiados para o builder.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Build</w:t>
            </w:r>
            <w:r>
              <w:t xml:space="preserve"> — </w:t>
            </w:r>
            <w:r>
              <w:rPr>
                <w:b w:val="0"/>
              </w:rPr>
              <w:t xml:space="preserve">dependências são baixadas; Go é formatado e compilado com </w:t>
            </w:r>
            <w:r>
              <w:rPr>
                <w:rFonts w:ascii="Consolas" w:hAnsi="Consolas"/>
                <w:color w:val="2E75B6"/>
                <w:sz w:val="18"/>
              </w:rPr>
              <w:t>CGO_ENABLED=0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Imagem final</w:t>
            </w:r>
            <w:r>
              <w:t xml:space="preserve"> — </w:t>
            </w:r>
            <w:r>
              <w:rPr>
                <w:b w:val="0"/>
              </w:rPr>
              <w:t>artefatos do builder são copiados para uma camada de runtime menor.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Hardening</w:t>
            </w:r>
            <w:r>
              <w:t xml:space="preserve"> — </w:t>
            </w:r>
            <w:r>
              <w:rPr>
                <w:b w:val="0"/>
              </w:rPr>
              <w:t xml:space="preserve">o processo passa a executar como usuário não-root </w:t>
            </w:r>
            <w:r>
              <w:rPr>
                <w:rFonts w:ascii="Consolas" w:hAnsi="Consolas"/>
                <w:color w:val="2E75B6"/>
                <w:sz w:val="18"/>
              </w:rPr>
              <w:t>10001:10001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Observabilidade</w:t>
            </w:r>
            <w:r>
              <w:t xml:space="preserve"> — </w:t>
            </w:r>
            <w:r>
              <w:rPr>
                <w:b w:val="0"/>
              </w:rPr>
              <w:t xml:space="preserve">cada imagem contém um HEALTHCHECK no endpoint </w:t>
            </w:r>
            <w:r>
              <w:rPr>
                <w:rFonts w:ascii="Consolas" w:hAnsi="Consolas"/>
                <w:color w:val="2E75B6"/>
                <w:sz w:val="18"/>
              </w:rPr>
              <w:t>/health</w:t>
            </w:r>
            <w:r>
              <w:rPr>
                <w:b w:val="0"/>
              </w:rPr>
              <w:t>.</w:t>
            </w:r>
          </w:p>
        </w:tc>
      </w:tr>
    </w:tbl>
    <w:p/>
    <w:p>
      <w:pPr>
        <w:pStyle w:val="Heading2"/>
      </w:pPr>
      <w:r>
        <w:t>Imagens observadas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17212B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17346"/>
              <w:top w:val="single" w:sz="2" w:color="17212B"/>
              <w:bottom w:val="single" w:sz="2" w:color="17212B"/>
              <w:end w:val="single" w:sz="2" w:color="17212B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D7FFE1"/>
                <w:sz w:val="17"/>
              </w:rPr>
              <w:t>togglemaster/auth-service         local    24.2 MB</w:t>
              <w:br/>
              <w:t>togglemaster/evaluation-service   local    30.6 MB</w:t>
              <w:br/>
              <w:t>togglemaster/flag-service         local    222 MB</w:t>
              <w:br/>
              <w:t>togglemaster/targeting-service    local    222 MB</w:t>
              <w:br/>
              <w:t>togglemaster/analytics-service    local    311 MB</w:t>
            </w:r>
          </w:p>
        </w:tc>
      </w:tr>
    </w:tbl>
    <w:p>
      <w:pPr>
        <w:pStyle w:val="Caption"/>
        <w:jc w:val="center"/>
      </w:pPr>
      <w:r>
        <w:t>Evidência 1 — Cinco imagens locais construídas com sucesso.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DEBF7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2E75B6"/>
              <w:top w:val="single" w:sz="2" w:color="DDEBF7"/>
              <w:bottom w:val="single" w:sz="2" w:color="DDEBF7"/>
              <w:end w:val="single" w:sz="2" w:color="DDEBF7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2E75B6"/>
                <w:sz w:val="18"/>
              </w:rPr>
              <w:t>LEITURA DOS TAMANHOS</w:t>
            </w:r>
            <w:r>
              <w:br/>
            </w:r>
            <w:r>
              <w:rPr>
                <w:b w:val="0"/>
              </w:rPr>
              <w:t>Os serviços Go geram binários compactos. As imagens Python incluem interpretador e dependências; por isso são maiores. O multi-stage ainda evita levar caches e ferramentas de build para a imagem final.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2E75B6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 3</w:t>
            </w:r>
          </w:p>
        </w:tc>
        <w:tc>
          <w:tcPr>
            <w:tcW w:type="dxa" w:w="7654"/>
            <w:shd w:fill="17365D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Docker Compose — nove contêineres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4" w:color="2E75B6"/>
        </w:pBdr>
      </w:pPr>
      <w:r>
        <w:t>6. Ambiente Docker Compose</w:t>
      </w:r>
    </w:p>
    <w:p>
      <w:r>
        <w:rPr>
          <w:b w:val="0"/>
        </w:rPr>
        <w:t>O Compose reúne os cinco microsserviços e quatro componentes de dados. O LocalStack executa SQS e DynamoDB no mesmo contêiner, permitindo cumprir o total de nove contêineres sem depender da AWS.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Porta no Windows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Persistência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auth-service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Aplicação Go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18001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PostgreSQL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flag-service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Aplicação Python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18002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PostgreSQL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targeting-service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Aplicação Python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18003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PostgreSQL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evaluation-service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Aplicação Go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18004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Redis + SQS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analytics-service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Worker Python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18005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DynamoDB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auth-db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PostgreSQL 16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Somente rede interna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Volume auth-db-data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apps-db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PostgreSQL 16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Somente rede interna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Volume apps-db-data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redis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Redis 7.2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Somente rede interna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Volume redis-data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aws-local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LocalStack 3.8.1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4566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Volume localstack-data</w:t>
            </w:r>
          </w:p>
        </w:tc>
      </w:tr>
    </w:tbl>
    <w:p>
      <w:pPr>
        <w:spacing w:after="0"/>
      </w:pPr>
    </w:p>
    <w:p>
      <w:pPr>
        <w:pStyle w:val="Heading2"/>
      </w:pPr>
      <w:r>
        <w:t>Subir e inspecionar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E75B6"/>
              <w:top w:val="single" w:sz="2" w:color="D9E2F3"/>
              <w:bottom w:val="single" w:sz="2" w:color="D9E2F3"/>
              <w:end w:val="single" w:sz="2" w:color="D9E2F3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1F1F1F"/>
                <w:sz w:val="17"/>
              </w:rPr>
              <w:t>powershell -NoProfile -ExecutionPolicy Bypass -File ".\scripts\start-local.ps1"</w:t>
              <w:br/>
              <w:t>docker compose ps</w:t>
              <w:br/>
              <w:t>docker compose logs -f evaluation-service analytics-service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C65911"/>
              <w:top w:val="single" w:sz="2" w:color="FFF2CC"/>
              <w:bottom w:val="single" w:sz="2" w:color="FFF2CC"/>
              <w:end w:val="single" w:sz="2" w:color="FFF2CC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C65911"/>
                <w:sz w:val="18"/>
              </w:rPr>
              <w:t>PORTAS 18001–18005</w:t>
            </w:r>
            <w:r>
              <w:br/>
            </w:r>
            <w:r>
              <w:rPr>
                <w:b w:val="0"/>
              </w:rPr>
              <w:t>As aplicações continuam ouvindo internamente em 8001–8005. As portas externas foram deslocadas para 18001–18005 para evitar conflito com outro projeto que já utilizava a porta 8002.</w:t>
            </w:r>
          </w:p>
        </w:tc>
      </w:tr>
    </w:tbl>
    <w:p>
      <w:pPr>
        <w:spacing w:after="0"/>
      </w:pPr>
    </w:p>
    <w:p>
      <w:pPr>
        <w:pStyle w:val="Heading2"/>
      </w:pPr>
      <w:r>
        <w:t>Parar com ou sem dados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E75B6"/>
              <w:top w:val="single" w:sz="2" w:color="D9E2F3"/>
              <w:bottom w:val="single" w:sz="2" w:color="D9E2F3"/>
              <w:end w:val="single" w:sz="2" w:color="D9E2F3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1F1F1F"/>
                <w:sz w:val="17"/>
              </w:rPr>
              <w:t># Para e preserva os volumes</w:t>
              <w:br/>
              <w:t>.\scripts\stop-local.ps1</w:t>
              <w:br/>
              <w:br/>
              <w:t># Para e remove os volumes — reinício totalmente limpo</w:t>
              <w:br/>
              <w:t>.\scripts\stop-local.ps1 -RemoveVolumes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CE4D6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C00000"/>
              <w:top w:val="single" w:sz="2" w:color="FCE4D6"/>
              <w:bottom w:val="single" w:sz="2" w:color="FCE4D6"/>
              <w:end w:val="single" w:sz="2" w:color="FCE4D6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C00000"/>
                <w:sz w:val="18"/>
              </w:rPr>
              <w:t>ATENÇÃO</w:t>
            </w:r>
            <w:r>
              <w:br/>
            </w:r>
            <w:r>
              <w:rPr>
                <w:rFonts w:ascii="Consolas" w:hAnsi="Consolas"/>
                <w:color w:val="2E75B6"/>
                <w:sz w:val="18"/>
              </w:rPr>
              <w:t>-RemoveVolumes</w:t>
            </w:r>
            <w:r>
              <w:rPr>
                <w:b w:val="0"/>
              </w:rPr>
              <w:t xml:space="preserve"> apaga bancos, cache e eventos locais. Use somente quando desejar recomeçar do zero.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2E75B6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 4</w:t>
            </w:r>
          </w:p>
        </w:tc>
        <w:tc>
          <w:tcPr>
            <w:tcW w:type="dxa" w:w="7654"/>
            <w:shd w:fill="17365D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Teste ponta a ponta no Compose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4" w:color="2E75B6"/>
        </w:pBdr>
      </w:pPr>
      <w:r>
        <w:t>7. Validação funcional do Compose</w:t>
      </w:r>
    </w:p>
    <w:p>
      <w:r>
        <w:rPr>
          <w:b w:val="0"/>
        </w:rPr>
        <w:t xml:space="preserve">O script </w:t>
      </w:r>
      <w:r>
        <w:rPr>
          <w:rFonts w:ascii="Consolas" w:hAnsi="Consolas"/>
          <w:color w:val="2E75B6"/>
          <w:sz w:val="18"/>
        </w:rPr>
        <w:t>test-local.ps1</w:t>
      </w:r>
      <w:r>
        <w:rPr>
          <w:b w:val="0"/>
        </w:rPr>
        <w:t xml:space="preserve"> executa uma prova completa e falha imediatamente se qualquer etapa não produzir o resultado esperado.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Health checks</w:t>
            </w:r>
            <w:r>
              <w:t xml:space="preserve"> — </w:t>
            </w:r>
            <w:r>
              <w:rPr>
                <w:b w:val="0"/>
              </w:rPr>
              <w:t xml:space="preserve">aguarda resposta </w:t>
            </w:r>
            <w:r>
              <w:rPr>
                <w:rFonts w:ascii="Consolas" w:hAnsi="Consolas"/>
                <w:color w:val="2E75B6"/>
                <w:sz w:val="18"/>
              </w:rPr>
              <w:t>status=ok</w:t>
            </w:r>
            <w:r>
              <w:rPr>
                <w:b w:val="0"/>
              </w:rPr>
              <w:t xml:space="preserve"> nas cinco portas.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Nova chave</w:t>
            </w:r>
            <w:r>
              <w:t xml:space="preserve"> — </w:t>
            </w:r>
            <w:r>
              <w:rPr>
                <w:b w:val="0"/>
              </w:rPr>
              <w:t>cria uma API key no auth-service usando a master key local.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Validação</w:t>
            </w:r>
            <w:r>
              <w:t xml:space="preserve"> — </w:t>
            </w:r>
            <w:r>
              <w:rPr>
                <w:b w:val="0"/>
              </w:rPr>
              <w:t xml:space="preserve">confirma que a chave criada é aceita pelo endpoint </w:t>
            </w:r>
            <w:r>
              <w:rPr>
                <w:rFonts w:ascii="Consolas" w:hAnsi="Consolas"/>
                <w:color w:val="2E75B6"/>
                <w:sz w:val="18"/>
              </w:rPr>
              <w:t>/validate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Nova flag</w:t>
            </w:r>
            <w:r>
              <w:t xml:space="preserve"> — </w:t>
            </w:r>
            <w:r>
              <w:rPr>
                <w:b w:val="0"/>
              </w:rPr>
              <w:t>cadastra uma flag com nome único e estado habilitado.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Regra</w:t>
            </w:r>
            <w:r>
              <w:t xml:space="preserve"> — </w:t>
            </w:r>
            <w:r>
              <w:rPr>
                <w:b w:val="0"/>
              </w:rPr>
              <w:t>cadastra targeting do tipo PERCENTAGE com valor 100.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Avaliação</w:t>
            </w:r>
            <w:r>
              <w:t xml:space="preserve"> — </w:t>
            </w:r>
            <w:r>
              <w:rPr>
                <w:b w:val="0"/>
              </w:rPr>
              <w:t xml:space="preserve">consulta o evaluation-service e exige o resultado booleano </w:t>
            </w:r>
            <w:r>
              <w:rPr>
                <w:rFonts w:ascii="Consolas" w:hAnsi="Consolas"/>
                <w:color w:val="2E75B6"/>
                <w:sz w:val="18"/>
              </w:rPr>
              <w:t>true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7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Fila e worker</w:t>
            </w:r>
            <w:r>
              <w:t xml:space="preserve"> — </w:t>
            </w:r>
            <w:r>
              <w:rPr>
                <w:b w:val="0"/>
              </w:rPr>
              <w:t>aguarda o analytics consumir o evento publicado no SQS.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8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Persistência</w:t>
            </w:r>
            <w:r>
              <w:t xml:space="preserve"> — </w:t>
            </w:r>
            <w:r>
              <w:rPr>
                <w:b w:val="0"/>
              </w:rPr>
              <w:t>compara a contagem do DynamoDB antes e depois da avaliação.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E75B6"/>
              <w:top w:val="single" w:sz="2" w:color="D9E2F3"/>
              <w:bottom w:val="single" w:sz="2" w:color="D9E2F3"/>
              <w:end w:val="single" w:sz="2" w:color="D9E2F3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1F1F1F"/>
                <w:sz w:val="17"/>
              </w:rPr>
              <w:t>powershell -NoProfile -ExecutionPolicy Bypass -File ".\scripts\test-local.ps1"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17212B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17346"/>
              <w:top w:val="single" w:sz="2" w:color="17212B"/>
              <w:bottom w:val="single" w:sz="2" w:color="17212B"/>
              <w:end w:val="single" w:sz="2" w:color="17212B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D7FFE1"/>
                <w:sz w:val="17"/>
              </w:rPr>
              <w:t>[OK] Health 18001</w:t>
              <w:br/>
              <w:t>[OK] Health 18002</w:t>
              <w:br/>
              <w:t>[OK] Health 18003</w:t>
              <w:br/>
              <w:t>[OK] Health 18004</w:t>
              <w:br/>
              <w:t>[OK] Health 18005</w:t>
              <w:br/>
              <w:t>[OK] Auth: Chave válida</w:t>
              <w:br/>
              <w:t>[OK] Flag criada</w:t>
              <w:br/>
              <w:t>[OK] Regra de targeting criada (100%)</w:t>
              <w:br/>
              <w:t>[OK] Evaluation retornou true</w:t>
              <w:br/>
              <w:t>[OK] Analytics persistiu o evento no DynamoDB (3 -&gt; 4)</w:t>
              <w:br/>
              <w:br/>
              <w:t>Teste ponta a ponta concluído com sucesso.</w:t>
            </w:r>
          </w:p>
        </w:tc>
      </w:tr>
    </w:tbl>
    <w:p>
      <w:pPr>
        <w:pStyle w:val="Caption"/>
        <w:jc w:val="center"/>
      </w:pPr>
      <w:r>
        <w:t>Evidência 2 — Resultado registrado durante a validação do Compose.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C65911"/>
              <w:top w:val="single" w:sz="2" w:color="FFF2CC"/>
              <w:bottom w:val="single" w:sz="2" w:color="FFF2CC"/>
              <w:end w:val="single" w:sz="2" w:color="FFF2CC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C65911"/>
                <w:sz w:val="18"/>
              </w:rPr>
              <w:t>NOTA TÉCNICA</w:t>
            </w:r>
            <w:r>
              <w:br/>
            </w:r>
            <w:r>
              <w:rPr>
                <w:b w:val="0"/>
              </w:rPr>
              <w:t>O teste cria e valida uma chave nova, mas usa a chave de serviço fixa e semeada para chamar flag e targeting. Isso valida ambos os mecanismos, embora não reutilize a mesma chave no restante do fluxo.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2E75B6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 5</w:t>
            </w:r>
          </w:p>
        </w:tc>
        <w:tc>
          <w:tcPr>
            <w:tcW w:type="dxa" w:w="7654"/>
            <w:shd w:fill="17365D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Kubernetes local com kind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4" w:color="2E75B6"/>
        </w:pBdr>
      </w:pPr>
      <w:r>
        <w:t>8. Criação do cluster</w:t>
      </w:r>
    </w:p>
    <w:p>
      <w:r>
        <w:rPr>
          <w:b w:val="0"/>
        </w:rPr>
        <w:t>O kind executa um nó Kubernetes dentro do Docker. Assim, os manifests podem ser validados localmente sem ativar o Kubernetes do Docker Desktop e sem provisionar EKS.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Configuração local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Cluster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togglemaster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kind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v0.33.0, armazenado em tools/kind.exe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Nó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kindest/node v1.34.11, fixado por digest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HTTP / HTTPS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18080 → 80 e 18443 → 443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Namespace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togglemaster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Imagens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imagePullPolicy: Never; carregadas diretamente no nó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Addons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Metrics Server e Nginx Ingress Controller</w:t>
            </w:r>
          </w:p>
        </w:tc>
      </w:tr>
    </w:tbl>
    <w:p>
      <w:pPr>
        <w:spacing w:after="0"/>
      </w:pPr>
    </w:p>
    <w:p>
      <w:pPr>
        <w:pStyle w:val="Heading2"/>
      </w:pPr>
      <w:r>
        <w:t>Automação completa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E75B6"/>
              <w:top w:val="single" w:sz="2" w:color="D9E2F3"/>
              <w:bottom w:val="single" w:sz="2" w:color="D9E2F3"/>
              <w:end w:val="single" w:sz="2" w:color="D9E2F3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1F1F1F"/>
                <w:sz w:val="17"/>
              </w:rPr>
              <w:t>powershell -NoProfile -ExecutionPolicy Bypass -File ".\scripts\setup-kind.ps1"</w:t>
              <w:br/>
              <w:t>powershell -NoProfile -ExecutionPolicy Bypass -File ".\scripts\test-k8s.ps1"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Pré-checagem</w:t>
            </w:r>
            <w:r>
              <w:t xml:space="preserve"> — </w:t>
            </w:r>
            <w:r>
              <w:rPr>
                <w:b w:val="0"/>
              </w:rPr>
              <w:t>confirma Docker e kubectl disponíveis.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Cluster</w:t>
            </w:r>
            <w:r>
              <w:t xml:space="preserve"> — </w:t>
            </w:r>
            <w:r>
              <w:rPr>
                <w:b w:val="0"/>
              </w:rPr>
              <w:t xml:space="preserve">baixa/reutiliza o kind e cria </w:t>
            </w:r>
            <w:r>
              <w:rPr>
                <w:rFonts w:ascii="Consolas" w:hAnsi="Consolas"/>
                <w:color w:val="2E75B6"/>
                <w:sz w:val="18"/>
              </w:rPr>
              <w:t>togglemaster-control-plane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Addons</w:t>
            </w:r>
            <w:r>
              <w:t xml:space="preserve"> — </w:t>
            </w:r>
            <w:r>
              <w:rPr>
                <w:b w:val="0"/>
              </w:rPr>
              <w:t>instala Metrics Server e o Ingress Nginx para kind.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Imagens</w:t>
            </w:r>
            <w:r>
              <w:t xml:space="preserve"> — </w:t>
            </w:r>
            <w:r>
              <w:rPr>
                <w:b w:val="0"/>
              </w:rPr>
              <w:t xml:space="preserve">constrói, se necessário, e carrega as cinco tags </w:t>
            </w:r>
            <w:r>
              <w:rPr>
                <w:rFonts w:ascii="Consolas" w:hAnsi="Consolas"/>
                <w:color w:val="2E75B6"/>
                <w:sz w:val="18"/>
              </w:rPr>
              <w:t>:local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Manifests</w:t>
            </w:r>
            <w:r>
              <w:t xml:space="preserve"> — </w:t>
            </w:r>
            <w:r>
              <w:rPr>
                <w:b w:val="0"/>
              </w:rPr>
              <w:t xml:space="preserve">aplica </w:t>
            </w:r>
            <w:r>
              <w:rPr>
                <w:rFonts w:ascii="Consolas" w:hAnsi="Consolas"/>
                <w:color w:val="2E75B6"/>
                <w:sz w:val="18"/>
              </w:rPr>
              <w:t>kubectl apply -k .\k8s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Rollouts</w:t>
            </w:r>
            <w:r>
              <w:t xml:space="preserve"> — </w:t>
            </w:r>
            <w:r>
              <w:rPr>
                <w:b w:val="0"/>
              </w:rPr>
              <w:t>aguarda bancos, infraestrutura e aplicações ficarem prontos.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17212B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17346"/>
              <w:top w:val="single" w:sz="2" w:color="17212B"/>
              <w:bottom w:val="single" w:sz="2" w:color="17212B"/>
              <w:end w:val="single" w:sz="2" w:color="17212B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D7FFE1"/>
                <w:sz w:val="17"/>
              </w:rPr>
              <w:t>NAME                         STATUS   ROLES           VERSION</w:t>
              <w:br/>
              <w:t>togglemaster-control-plane   Ready    control-plane   v1.34.11</w:t>
            </w:r>
          </w:p>
        </w:tc>
      </w:tr>
    </w:tbl>
    <w:p>
      <w:pPr>
        <w:pStyle w:val="Caption"/>
        <w:jc w:val="center"/>
      </w:pPr>
      <w:r>
        <w:t>Evidência 3 — Nó local observado em estado Ready.</w:t>
      </w:r>
    </w:p>
    <w:p>
      <w:r>
        <w:br w:type="page"/>
      </w:r>
    </w:p>
    <w:p>
      <w:pPr>
        <w:pStyle w:val="Heading1"/>
        <w:pBdr>
          <w:bottom w:val="single" w:sz="12" w:space="4" w:color="2E75B6"/>
        </w:pBdr>
      </w:pPr>
      <w:r>
        <w:t>9. Recursos Kubernetes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470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Quantidade / função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Namespace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 — togglemaster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Deployments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7 — cinco apps, Redis e LocalStack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StatefulSets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 — auth-db e apps-db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Services ClusterIP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9 — um para cada workload principal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PersistentVolumeClaims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 × 1 Gi para PostgreSQL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ConfigMaps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Configuração dos apps e scripts de inicialização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Secret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Credenciais fictícias e URLs de banco para desenvolvimento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Ingress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1 — host togglemaster.local com cinco prefixos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HPAs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 — evaluation e analytics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4DFEC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7030A0"/>
              <w:top w:val="single" w:sz="2" w:color="E4DFEC"/>
              <w:bottom w:val="single" w:sz="2" w:color="E4DFEC"/>
              <w:end w:val="single" w:sz="2" w:color="E4DFEC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7030A0"/>
                <w:sz w:val="18"/>
              </w:rPr>
              <w:t>POR QUE EXISTEM 10 PODS?</w:t>
            </w:r>
            <w:r>
              <w:br/>
            </w:r>
            <w:r>
              <w:rPr>
                <w:b w:val="0"/>
              </w:rPr>
              <w:t xml:space="preserve">Há nove tipos de workload, mas o </w:t>
            </w:r>
            <w:r>
              <w:rPr>
                <w:rFonts w:ascii="Consolas" w:hAnsi="Consolas"/>
                <w:color w:val="2E75B6"/>
                <w:sz w:val="18"/>
              </w:rPr>
              <w:t>evaluation-service</w:t>
            </w:r>
            <w:r>
              <w:rPr>
                <w:b w:val="0"/>
              </w:rPr>
              <w:t xml:space="preserve"> inicia com </w:t>
            </w:r>
            <w:r>
              <w:rPr>
                <w:b/>
              </w:rPr>
              <w:t>duas réplicas</w:t>
            </w:r>
            <w:r>
              <w:rPr>
                <w:b w:val="0"/>
              </w:rPr>
              <w:t>. Assim, o estado mínimo contém seis pods de aplicação e quatro pods de infraestrutura, totalizando dez. Addons do cluster não entram nessa conta.</w:t>
            </w:r>
          </w:p>
        </w:tc>
      </w:tr>
    </w:tbl>
    <w:p>
      <w:pPr>
        <w:spacing w:after="0"/>
      </w:pPr>
    </w:p>
    <w:p>
      <w:pPr>
        <w:pStyle w:val="Heading2"/>
      </w:pPr>
      <w:r>
        <w:t>Recursos, probes e hardening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2353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CPU request / limit</w:t>
            </w:r>
          </w:p>
        </w:tc>
        <w:tc>
          <w:tcPr>
            <w:tcW w:type="dxa" w:w="2353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Memória request / limit</w:t>
            </w:r>
          </w:p>
        </w:tc>
        <w:tc>
          <w:tcPr>
            <w:tcW w:type="dxa" w:w="2353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Proteções</w:t>
            </w:r>
          </w:p>
        </w:tc>
      </w:tr>
      <w:tr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Go: auth / evaluation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100m / 500m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64Mi / 256Mi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Non-root, FS read-only, drop ALL</w:t>
            </w:r>
          </w:p>
        </w:tc>
      </w:tr>
      <w:tr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Python: flag / targeting / analytics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100m / 500m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128Mi / 384Mi</w:t>
            </w:r>
          </w:p>
        </w:tc>
        <w:tc>
          <w:tcPr>
            <w:tcW w:type="dxa" w:w="23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Non-root, FS read-only, drop ALL, /tmp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Consolas" w:hAnsi="Consolas"/>
          <w:color w:val="2E75B6"/>
          <w:sz w:val="18"/>
        </w:rPr>
        <w:t>startupProbe</w:t>
      </w:r>
      <w:r>
        <w:rPr>
          <w:b w:val="0"/>
        </w:rPr>
        <w:t xml:space="preserve"> concede tempo para dependências e inicialização.</w:t>
      </w:r>
    </w:p>
    <w:p>
      <w:pPr>
        <w:pStyle w:val="ListBullet"/>
        <w:spacing w:after="60"/>
      </w:pPr>
      <w:r>
        <w:rPr>
          <w:rFonts w:ascii="Consolas" w:hAnsi="Consolas"/>
          <w:color w:val="2E75B6"/>
          <w:sz w:val="18"/>
        </w:rPr>
        <w:t>readinessProbe</w:t>
      </w:r>
      <w:r>
        <w:rPr>
          <w:b w:val="0"/>
        </w:rPr>
        <w:t xml:space="preserve"> impede tráfego antes de o pod estar pronto.</w:t>
      </w:r>
    </w:p>
    <w:p>
      <w:pPr>
        <w:pStyle w:val="ListBullet"/>
        <w:spacing w:after="60"/>
      </w:pPr>
      <w:r>
        <w:rPr>
          <w:rFonts w:ascii="Consolas" w:hAnsi="Consolas"/>
          <w:color w:val="2E75B6"/>
          <w:sz w:val="18"/>
        </w:rPr>
        <w:t>livenessProbe</w:t>
      </w:r>
      <w:r>
        <w:rPr>
          <w:b w:val="0"/>
        </w:rPr>
        <w:t xml:space="preserve"> reinicia o contêiner se ele deixar de responder.</w:t>
      </w:r>
    </w:p>
    <w:p>
      <w:pPr>
        <w:pStyle w:val="ListBullet"/>
        <w:spacing w:after="60"/>
      </w:pPr>
      <w:r>
        <w:rPr>
          <w:rFonts w:ascii="Consolas" w:hAnsi="Consolas"/>
          <w:color w:val="2E75B6"/>
          <w:sz w:val="18"/>
        </w:rPr>
        <w:t>runAsNonRoot</w:t>
      </w:r>
      <w:r>
        <w:rPr>
          <w:b w:val="0"/>
        </w:rPr>
        <w:t xml:space="preserve">, UID/GID 10001, </w:t>
      </w:r>
      <w:r>
        <w:rPr>
          <w:rFonts w:ascii="Consolas" w:hAnsi="Consolas"/>
          <w:color w:val="2E75B6"/>
          <w:sz w:val="18"/>
        </w:rPr>
        <w:t>allowPrivilegeEscalation: false</w:t>
      </w:r>
      <w:r>
        <w:rPr>
          <w:b w:val="0"/>
        </w:rPr>
        <w:t xml:space="preserve"> e remoção de capabilities reduzem privilégios.</w:t>
      </w:r>
    </w:p>
    <w:p>
      <w:pPr>
        <w:pStyle w:val="ListBullet"/>
        <w:spacing w:after="60"/>
      </w:pPr>
      <w:r>
        <w:rPr>
          <w:b w:val="0"/>
        </w:rPr>
        <w:t xml:space="preserve">O filesystem raiz das aplicações é somente leitura; serviços Python recebem </w:t>
      </w:r>
      <w:r>
        <w:rPr>
          <w:rFonts w:ascii="Consolas" w:hAnsi="Consolas"/>
          <w:color w:val="2E75B6"/>
          <w:sz w:val="18"/>
        </w:rPr>
        <w:t>/tmp</w:t>
      </w:r>
      <w:r>
        <w:rPr>
          <w:b w:val="0"/>
        </w:rPr>
        <w:t xml:space="preserve"> via </w:t>
      </w:r>
      <w:r>
        <w:rPr>
          <w:rFonts w:ascii="Consolas" w:hAnsi="Consolas"/>
          <w:color w:val="2E75B6"/>
          <w:sz w:val="18"/>
        </w:rPr>
        <w:t>emptyDir</w:t>
      </w:r>
      <w:r>
        <w:rPr>
          <w:b w:val="0"/>
        </w:rPr>
        <w:t>.</w:t>
      </w:r>
    </w:p>
    <w:p>
      <w:pPr>
        <w:pStyle w:val="Heading2"/>
      </w:pPr>
      <w:r>
        <w:t>Persistência no cluster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Consequência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auth-db / apps-db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PVC de 1 Gi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Dados sobrevivem à recriação do pod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Redis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emptyDir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Cache é descartado quando o pod é recriado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LocalStack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emptyDir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Fila, tabela e eventos são reinicializados com o pod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4" w:color="2E75B6"/>
        </w:pBdr>
      </w:pPr>
      <w:r>
        <w:t>10. Ingress e rotas</w:t>
      </w:r>
    </w:p>
    <w:p>
      <w:r>
        <w:rPr>
          <w:b w:val="0"/>
        </w:rPr>
        <w:t xml:space="preserve">O nó kind publica a porta 80 do Nginx em </w:t>
      </w:r>
      <w:r>
        <w:rPr>
          <w:rFonts w:ascii="Consolas" w:hAnsi="Consolas"/>
          <w:color w:val="2E75B6"/>
          <w:sz w:val="18"/>
        </w:rPr>
        <w:t>127.0.0.1:18080</w:t>
      </w:r>
      <w:r>
        <w:rPr>
          <w:b w:val="0"/>
        </w:rPr>
        <w:t xml:space="preserve">. As regras usam o host </w:t>
      </w:r>
      <w:r>
        <w:rPr>
          <w:rFonts w:ascii="Consolas" w:hAnsi="Consolas"/>
          <w:color w:val="2E75B6"/>
          <w:sz w:val="18"/>
        </w:rPr>
        <w:t>togglemaster.local</w:t>
      </w:r>
      <w:r>
        <w:rPr>
          <w:b w:val="0"/>
        </w:rPr>
        <w:t xml:space="preserve"> e removem o primeiro prefixo antes de encaminhar ao Service.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Requisição externa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Reescrita interna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Destino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/auth/health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/health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auth-service:8001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/auth/admin/keys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/admin/keys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auth-service:8001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/flags/flags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/flags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flag-service:8002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/targeting/rules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/rules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targeting-service:8003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/evaluation/evaluate?...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/evaluate?...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evaluation-service:8004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/analytics/health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/health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analytics-service:8005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E75B6"/>
              <w:top w:val="single" w:sz="2" w:color="D9E2F3"/>
              <w:bottom w:val="single" w:sz="2" w:color="D9E2F3"/>
              <w:end w:val="single" w:sz="2" w:color="D9E2F3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1F1F1F"/>
                <w:sz w:val="17"/>
              </w:rPr>
              <w:t>curl.exe http://127.0.0.1:18080/auth/health -H "Host: togglemaster.local"</w:t>
              <w:br/>
              <w:t>curl.exe "http://127.0.0.1:18080/evaluation/evaluate?user_id=u1&amp;flag_name=minha-flag" `</w:t>
              <w:br/>
              <w:t xml:space="preserve">  -H "Host: togglemaster.local"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C65911"/>
              <w:top w:val="single" w:sz="2" w:color="FFF2CC"/>
              <w:bottom w:val="single" w:sz="2" w:color="FFF2CC"/>
              <w:end w:val="single" w:sz="2" w:color="FFF2CC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C65911"/>
                <w:sz w:val="18"/>
              </w:rPr>
              <w:t>ROTA DE FLAGS</w:t>
            </w:r>
            <w:r>
              <w:br/>
            </w:r>
            <w:r>
              <w:rPr>
                <w:b w:val="0"/>
              </w:rPr>
              <w:t xml:space="preserve">Como o Ingress remove o prefixo </w:t>
            </w:r>
            <w:r>
              <w:rPr>
                <w:rFonts w:ascii="Consolas" w:hAnsi="Consolas"/>
                <w:color w:val="2E75B6"/>
                <w:sz w:val="18"/>
              </w:rPr>
              <w:t>/flags</w:t>
            </w:r>
            <w:r>
              <w:rPr>
                <w:b w:val="0"/>
              </w:rPr>
              <w:t xml:space="preserve"> e o aplicativo também expõe </w:t>
            </w:r>
            <w:r>
              <w:rPr>
                <w:rFonts w:ascii="Consolas" w:hAnsi="Consolas"/>
                <w:color w:val="2E75B6"/>
                <w:sz w:val="18"/>
              </w:rPr>
              <w:t>/flags</w:t>
            </w:r>
            <w:r>
              <w:rPr>
                <w:b w:val="0"/>
              </w:rPr>
              <w:t xml:space="preserve">, a chamada de coleção pelo Ingress é </w:t>
            </w:r>
            <w:r>
              <w:rPr>
                <w:rFonts w:ascii="Consolas" w:hAnsi="Consolas"/>
                <w:color w:val="2E75B6"/>
                <w:sz w:val="18"/>
              </w:rPr>
              <w:t>/flags/flags</w:t>
            </w:r>
            <w:r>
              <w:rPr>
                <w:b w:val="0"/>
              </w:rPr>
              <w:t>. O script Kubernetes já utiliza a rota correta.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CE4D6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C00000"/>
              <w:top w:val="single" w:sz="2" w:color="FCE4D6"/>
              <w:bottom w:val="single" w:sz="2" w:color="FCE4D6"/>
              <w:end w:val="single" w:sz="2" w:color="FCE4D6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C00000"/>
                <w:sz w:val="18"/>
              </w:rPr>
              <w:t>HTTPS</w:t>
            </w:r>
            <w:r>
              <w:br/>
            </w:r>
            <w:r>
              <w:rPr>
                <w:b w:val="0"/>
              </w:rPr>
              <w:t>A porta 18443 está mapeada no kind, mas o manifesto atual não define certificado nem seção TLS. O acesso funcional validado é HTTP em 18080.</w:t>
            </w:r>
          </w:p>
        </w:tc>
      </w:tr>
    </w:tbl>
    <w:p>
      <w:pPr>
        <w:spacing w:after="0"/>
      </w:pPr>
    </w:p>
    <w:p>
      <w:pPr>
        <w:pStyle w:val="Heading2"/>
      </w:pPr>
      <w:r>
        <w:t>Horizontal Pod Autoscaler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Deployment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Máximo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CPU alvo</w:t>
            </w:r>
          </w:p>
        </w:tc>
        <w:tc>
          <w:tcPr>
            <w:tcW w:type="dxa" w:w="1882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Scale-down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evaluation-service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60 segundos</w:t>
            </w:r>
          </w:p>
        </w:tc>
      </w:tr>
      <w:tr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analytics-service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188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60 segundos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17212B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17346"/>
              <w:top w:val="single" w:sz="2" w:color="17212B"/>
              <w:bottom w:val="single" w:sz="2" w:color="17212B"/>
              <w:end w:val="single" w:sz="2" w:color="17212B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D7FFE1"/>
                <w:sz w:val="17"/>
              </w:rPr>
              <w:t>NAME                 TARGETS       MINPODS   MAXPODS   REPLICAS</w:t>
              <w:br/>
              <w:t>analytics-service    cpu: 3%/70%   1         6         1</w:t>
              <w:br/>
              <w:t>evaluation-service   cpu: 1%/70%   2         8         2</w:t>
            </w:r>
          </w:p>
        </w:tc>
      </w:tr>
    </w:tbl>
    <w:p>
      <w:pPr>
        <w:pStyle w:val="Caption"/>
        <w:jc w:val="center"/>
      </w:pPr>
      <w:r>
        <w:t>Evidência 4 — Os dois HPAs recebendo métricas reais do Metrics Server.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4DFEC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7030A0"/>
              <w:top w:val="single" w:sz="2" w:color="E4DFEC"/>
              <w:bottom w:val="single" w:sz="2" w:color="E4DFEC"/>
              <w:end w:val="single" w:sz="2" w:color="E4DFEC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7030A0"/>
                <w:sz w:val="18"/>
              </w:rPr>
              <w:t>LOCAL X DEMONSTRAÇÃO AWS</w:t>
            </w:r>
            <w:r>
              <w:br/>
            </w:r>
            <w:r>
              <w:rPr>
                <w:b w:val="0"/>
              </w:rPr>
              <w:t xml:space="preserve">Os manifests locais usam o alvo original de </w:t>
            </w:r>
            <w:r>
              <w:rPr>
                <w:b/>
              </w:rPr>
              <w:t>70%</w:t>
            </w:r>
            <w:r>
              <w:rPr>
                <w:b w:val="0"/>
              </w:rPr>
              <w:t xml:space="preserve">. O guia AWS Academy sugere </w:t>
            </w:r>
            <w:r>
              <w:rPr>
                <w:b/>
              </w:rPr>
              <w:t>30%</w:t>
            </w:r>
            <w:r>
              <w:rPr>
                <w:b w:val="0"/>
              </w:rPr>
              <w:t xml:space="preserve"> apenas para tornar a escala mais visível durante a gravação. O documento mantém essa distinção e não afirma que o ambiente local já está em 30%.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fill="2E75B6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 6</w:t>
            </w:r>
          </w:p>
        </w:tc>
        <w:tc>
          <w:tcPr>
            <w:tcW w:type="dxa" w:w="7654"/>
            <w:shd w:fill="17365D"/>
            <w:tcMar>
              <w:top w:w="125" w:type="dxa"/>
              <w:start w:w="150" w:type="dxa"/>
              <w:bottom w:w="125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Teste Kubernetes e evidências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4" w:color="2E75B6"/>
        </w:pBdr>
      </w:pPr>
      <w:r>
        <w:t>11. Teste ponta a ponta pelo Ingress</w:t>
      </w:r>
    </w:p>
    <w:p>
      <w:r>
        <w:rPr>
          <w:b w:val="0"/>
        </w:rPr>
        <w:t xml:space="preserve">O </w:t>
      </w:r>
      <w:r>
        <w:rPr>
          <w:rFonts w:ascii="Consolas" w:hAnsi="Consolas"/>
          <w:color w:val="2E75B6"/>
          <w:sz w:val="18"/>
        </w:rPr>
        <w:t>test-k8s.ps1</w:t>
      </w:r>
      <w:r>
        <w:rPr>
          <w:b w:val="0"/>
        </w:rPr>
        <w:t xml:space="preserve"> repete o mesmo cenário funcional do Compose, mas todas as chamadas HTTP entram pelo Nginx Ingress. O script adiciona o cabeçalho Host automaticamente; não é necessário editar o arquivo hosts do Windows.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E75B6"/>
              <w:top w:val="single" w:sz="2" w:color="D9E2F3"/>
              <w:bottom w:val="single" w:sz="2" w:color="D9E2F3"/>
              <w:end w:val="single" w:sz="2" w:color="D9E2F3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1F1F1F"/>
                <w:sz w:val="17"/>
              </w:rPr>
              <w:t>powershell -NoProfile -ExecutionPolicy Bypass -File ".\scripts\test-k8s.ps1"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17212B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17346"/>
              <w:top w:val="single" w:sz="2" w:color="17212B"/>
              <w:bottom w:val="single" w:sz="2" w:color="17212B"/>
              <w:end w:val="single" w:sz="2" w:color="17212B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D7FFE1"/>
                <w:sz w:val="17"/>
              </w:rPr>
              <w:t>[OK] Ingress e auth-service saudáveis</w:t>
              <w:br/>
              <w:t>[OK] Auth: Chave válida</w:t>
              <w:br/>
              <w:t>[OK] Flag criada: k8s-test-1793235838566</w:t>
              <w:br/>
              <w:t>[OK] Regra de targeting criada (100%)</w:t>
              <w:br/>
              <w:t>[OK] Evaluation retornou true</w:t>
              <w:br/>
              <w:t>[OK] Analytics persistiu o evento no DynamoDB (1 -&gt; 2)</w:t>
              <w:br/>
              <w:br/>
              <w:t>Teste Kubernetes ponta a ponta concluído com sucesso.</w:t>
            </w:r>
          </w:p>
        </w:tc>
      </w:tr>
    </w:tbl>
    <w:p>
      <w:pPr>
        <w:pStyle w:val="Caption"/>
        <w:jc w:val="center"/>
      </w:pPr>
      <w:r>
        <w:t>Evidência 5 — Teste executado novamente depois da mudança do projeto para a pasta final.</w:t>
      </w:r>
    </w:p>
    <w:p>
      <w:pPr>
        <w:pStyle w:val="Heading2"/>
      </w:pPr>
      <w:r>
        <w:t>Estado observado do cluster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Evidência</w:t>
            </w:r>
          </w:p>
        </w:tc>
        <w:tc>
          <w:tcPr>
            <w:tcW w:type="dxa" w:w="470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Nó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togglemaster-control-plane — Ready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Pods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10/10 Ready no namespace togglemaster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Ingress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Classe nginx, host togglemaster.local, endereço localhost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Evaluation HPA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2 réplicas, 1%/70% no snapshot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Analytics HPA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7"/>
              </w:rPr>
              <w:t>1 réplica, 3%/70% no snapshot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DynamoDB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7"/>
              </w:rPr>
              <w:t>Contagem incrementada após o evento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C65911"/>
              <w:top w:val="single" w:sz="2" w:color="FFF2CC"/>
              <w:bottom w:val="single" w:sz="2" w:color="FFF2CC"/>
              <w:end w:val="single" w:sz="2" w:color="FFF2CC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C65911"/>
                <w:sz w:val="18"/>
              </w:rPr>
              <w:t>REINÍCIOS INICIAIS</w:t>
            </w:r>
            <w:r>
              <w:br/>
            </w:r>
            <w:r>
              <w:rPr>
                <w:b w:val="0"/>
              </w:rPr>
              <w:t xml:space="preserve">O auth teve um restart e cada réplica do evaluation teve quatro restarts enquanto as dependências iniciavam. Depois disso, todos os pods permaneceram </w:t>
            </w:r>
            <w:r>
              <w:rPr>
                <w:rFonts w:ascii="Consolas" w:hAnsi="Consolas"/>
                <w:color w:val="2E75B6"/>
                <w:sz w:val="18"/>
              </w:rPr>
              <w:t>Ready</w:t>
            </w:r>
            <w:r>
              <w:rPr>
                <w:b w:val="0"/>
              </w:rPr>
              <w:t>. As startup probes e a política de restart permitiram a convergência automática.</w:t>
            </w:r>
          </w:p>
        </w:tc>
      </w:tr>
    </w:tbl>
    <w:p>
      <w:pPr>
        <w:spacing w:after="0"/>
      </w:pPr>
    </w:p>
    <w:p>
      <w:pPr>
        <w:pStyle w:val="Heading2"/>
      </w:pPr>
      <w:r>
        <w:t>Validação estática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E75B6"/>
              <w:top w:val="single" w:sz="2" w:color="D9E2F3"/>
              <w:bottom w:val="single" w:sz="2" w:color="D9E2F3"/>
              <w:end w:val="single" w:sz="2" w:color="D9E2F3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1F1F1F"/>
                <w:sz w:val="17"/>
              </w:rPr>
              <w:t>powershell -NoProfile -ExecutionPolicy Bypass -File ".\scripts\validate.ps1"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b w:val="0"/>
        </w:rPr>
        <w:t>Valida a sintaxe do Docker Compose.</w:t>
      </w:r>
    </w:p>
    <w:p>
      <w:pPr>
        <w:pStyle w:val="ListBullet"/>
        <w:spacing w:after="60"/>
      </w:pPr>
      <w:r>
        <w:rPr>
          <w:b w:val="0"/>
        </w:rPr>
        <w:t xml:space="preserve">Compila os arquivos Python com </w:t>
      </w:r>
      <w:r>
        <w:rPr>
          <w:rFonts w:ascii="Consolas" w:hAnsi="Consolas"/>
          <w:color w:val="2E75B6"/>
          <w:sz w:val="18"/>
        </w:rPr>
        <w:t>py_compile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Renderiza os manifests com </w:t>
      </w:r>
      <w:r>
        <w:rPr>
          <w:rFonts w:ascii="Consolas" w:hAnsi="Consolas"/>
          <w:color w:val="2E75B6"/>
          <w:sz w:val="18"/>
        </w:rPr>
        <w:t>kubectl kustomize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Confere a presença dos arquivos obrigatórios.</w:t>
      </w:r>
    </w:p>
    <w:p>
      <w:pPr>
        <w:pStyle w:val="ListBullet"/>
        <w:spacing w:after="60"/>
      </w:pPr>
      <w:r>
        <w:rPr>
          <w:b w:val="0"/>
        </w:rPr>
        <w:t>O build das imagens compila os binários Go; não há suíte de testes unitários no repositório neste momento.</w:t>
      </w:r>
    </w:p>
    <w:p>
      <w:pPr>
        <w:pStyle w:val="Heading2"/>
      </w:pPr>
      <w:r>
        <w:t>Teste de carga</w:t>
      </w:r>
    </w:p>
    <w:p>
      <w:r>
        <w:rPr>
          <w:b w:val="0"/>
        </w:rPr>
        <w:t xml:space="preserve">O script existente envia requisições diretamente para </w:t>
      </w:r>
      <w:r>
        <w:rPr>
          <w:rFonts w:ascii="Consolas" w:hAnsi="Consolas"/>
          <w:color w:val="2E75B6"/>
          <w:sz w:val="18"/>
        </w:rPr>
        <w:t>localhost:18004</w:t>
      </w:r>
      <w:r>
        <w:rPr>
          <w:b w:val="0"/>
        </w:rPr>
        <w:t>, portanto é voltado ao modo Compose. A flag usada no parâmetro deve existir antes da execução.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7F9FC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start w:val="single" w:sz="18" w:color="2E75B6"/>
              <w:top w:val="single" w:sz="2" w:color="D9E2F3"/>
              <w:bottom w:val="single" w:sz="2" w:color="D9E2F3"/>
              <w:end w:val="single" w:sz="2" w:color="D9E2F3"/>
            </w:tcBorders>
          </w:tcPr>
          <w:p>
            <w:pPr>
              <w:pStyle w:val="Códigolocal"/>
            </w:pPr>
            <w:r>
              <w:rPr>
                <w:rFonts w:ascii="Consolas" w:hAnsi="Consolas"/>
                <w:color w:val="1F1F1F"/>
                <w:sz w:val="17"/>
              </w:rPr>
              <w:t>.\scripts\load-test.ps1 -Requests 500 -Concurrency 20 -FlagName load-test-flag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C65911"/>
              <w:top w:val="single" w:sz="2" w:color="FFF2CC"/>
              <w:bottom w:val="single" w:sz="2" w:color="FFF2CC"/>
              <w:end w:val="single" w:sz="2" w:color="FFF2CC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C65911"/>
                <w:sz w:val="18"/>
              </w:rPr>
              <w:t>PARA TESTAR O HPA</w:t>
            </w:r>
            <w:r>
              <w:br/>
            </w:r>
            <w:r>
              <w:rPr>
                <w:b w:val="0"/>
              </w:rPr>
              <w:t xml:space="preserve">Uma carga Kubernetes deve usar </w:t>
            </w:r>
            <w:r>
              <w:rPr>
                <w:rFonts w:ascii="Consolas" w:hAnsi="Consolas"/>
                <w:color w:val="2E75B6"/>
                <w:sz w:val="18"/>
              </w:rPr>
              <w:t>localhost:18080/evaluation/evaluate</w:t>
            </w:r>
            <w:r>
              <w:rPr>
                <w:b w:val="0"/>
              </w:rPr>
              <w:t xml:space="preserve"> com </w:t>
            </w:r>
            <w:r>
              <w:rPr>
                <w:rFonts w:ascii="Consolas" w:hAnsi="Consolas"/>
                <w:color w:val="2E75B6"/>
                <w:sz w:val="18"/>
              </w:rPr>
              <w:t>Host: togglemaster.local</w:t>
            </w:r>
            <w:r>
              <w:rPr>
                <w:b w:val="0"/>
              </w:rPr>
              <w:t>. O script de carga atual não usa o Ingress e não deve ser apresentado como evidência do HPA sem adaptação.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4" w:color="2E75B6"/>
        </w:pBdr>
      </w:pPr>
      <w:r>
        <w:t>12. Segurança e confiabilidade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Medida implementada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Benefício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API keys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256 bits; somente SHA-256 armazenado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Evita persistir a chave em texto puro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Master key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Comparação em tempo constante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Reduz vazamento por diferença de tempo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Autorização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Bearer validado no auth por flag/targeting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Centraliza autenticação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Contêiner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UID/GID 10001 e non-root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Reduz impacto de comprometimento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Kubernetes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FS read-only, sem privilege escalation, drop ALL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Limita ações dentro do pod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Disponibilidade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Healthchecks, probes, retries e restart policies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Recuperação automática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Dados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Volumes/PVC para PostgreSQL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Preserva dados relacionais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Mensageria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Mensagem removida somente após persistir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Evita perda silenciosa do evento</w:t>
            </w:r>
          </w:p>
        </w:tc>
      </w:tr>
    </w:tbl>
    <w:p>
      <w:pPr>
        <w:spacing w:after="0"/>
      </w:pPr>
    </w:p>
    <w:p>
      <w:pPr>
        <w:pStyle w:val="Heading2"/>
      </w:pPr>
      <w:r>
        <w:t>Limites conscientes do ambiente local</w:t>
      </w:r>
    </w:p>
    <w:p>
      <w:pPr>
        <w:pStyle w:val="ListBullet"/>
        <w:spacing w:after="60"/>
      </w:pPr>
      <w:r>
        <w:rPr>
          <w:b w:val="0"/>
        </w:rPr>
        <w:t>Credenciais são fictícias e o Secret Kubernetes está somente em base64.</w:t>
      </w:r>
    </w:p>
    <w:p>
      <w:pPr>
        <w:pStyle w:val="ListBullet"/>
        <w:spacing w:after="60"/>
      </w:pPr>
      <w:r>
        <w:rPr>
          <w:b w:val="0"/>
        </w:rPr>
        <w:t>Não há TLS configurado no Ingress, NetworkPolicy ou RBAC dedicado às aplicações.</w:t>
      </w:r>
    </w:p>
    <w:p>
      <w:pPr>
        <w:pStyle w:val="ListBullet"/>
        <w:spacing w:after="60"/>
      </w:pPr>
      <w:r>
        <w:rPr>
          <w:b w:val="0"/>
        </w:rPr>
        <w:t xml:space="preserve">Redis e LocalStack usam </w:t>
      </w:r>
      <w:r>
        <w:rPr>
          <w:rFonts w:ascii="Consolas" w:hAnsi="Consolas"/>
          <w:color w:val="2E75B6"/>
          <w:sz w:val="18"/>
        </w:rPr>
        <w:t>emptyDir</w:t>
      </w:r>
      <w:r>
        <w:rPr>
          <w:b w:val="0"/>
        </w:rPr>
        <w:t xml:space="preserve"> no kind; seus dados são temporários nesse modo.</w:t>
      </w:r>
    </w:p>
    <w:p>
      <w:pPr>
        <w:pStyle w:val="ListBullet"/>
        <w:spacing w:after="60"/>
      </w:pPr>
      <w:r>
        <w:rPr>
          <w:b w:val="0"/>
        </w:rPr>
        <w:t>Pods de infraestrutura não recebem todo o hardening aplicado aos cinco aplicativos.</w:t>
      </w:r>
    </w:p>
    <w:p>
      <w:pPr>
        <w:pStyle w:val="ListBullet"/>
        <w:spacing w:after="60"/>
      </w:pPr>
      <w:r>
        <w:rPr>
          <w:b w:val="0"/>
        </w:rPr>
        <w:t>Os health checks de auth, flag, targeting e evaluation confirmam o processo HTTP, mas não verificam todas as dependências; o analytics verifica SQS e DynamoDB.</w:t>
      </w:r>
    </w:p>
    <w:p>
      <w:pPr>
        <w:pStyle w:val="ListBullet"/>
        <w:spacing w:after="60"/>
      </w:pPr>
      <w:r>
        <w:rPr>
          <w:b w:val="0"/>
        </w:rPr>
        <w:t>Respostas de erro internas de flag/targeting ainda podem expor detalhes em falhas 500 e devem ser sanitizadas antes de produção.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CE4D6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C00000"/>
              <w:top w:val="single" w:sz="2" w:color="FCE4D6"/>
              <w:bottom w:val="single" w:sz="2" w:color="FCE4D6"/>
              <w:end w:val="single" w:sz="2" w:color="FCE4D6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C00000"/>
                <w:sz w:val="18"/>
              </w:rPr>
              <w:t>PRODUÇÃO</w:t>
            </w:r>
            <w:r>
              <w:br/>
            </w:r>
            <w:r>
              <w:rPr>
                <w:b w:val="0"/>
              </w:rPr>
              <w:t>Para uma implantação real, use TLS, Secrets Manager/ESO, NetworkPolicies, RBAC mínimo, observabilidade centralizada, backups e data stores gerenciados.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4" w:color="2E75B6"/>
        </w:pBdr>
      </w:pPr>
      <w:r>
        <w:t>13. Operação e solução de problemas</w:t>
      </w:r>
    </w:p>
    <w:p>
      <w:pPr>
        <w:pStyle w:val="Heading2"/>
      </w:pPr>
      <w:r>
        <w:t>Comandos rápidos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706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Comando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Subir Compose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.\scripts\start-local.ps1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Testar Compose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.\scripts\test-local.ps1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Parar Compose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.\scripts\stop-local.ps1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Criar/atualizar kind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.\scripts\setup-kind.ps1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Reaplicar manifests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.\scripts\deploy-k8s.ps1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Testar Kubernetes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.\scripts\test-k8s.ps1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Ver workloads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kubectl get pods,svc,ingress,hpa -n togglemaster</w:t>
            </w:r>
          </w:p>
        </w:tc>
      </w:tr>
      <w:tr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Remover cluster</w:t>
            </w:r>
          </w:p>
        </w:tc>
        <w:tc>
          <w:tcPr>
            <w:tcW w:type="dxa" w:w="470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.\tools\kind.exe delete cluster --name togglemaster</w:t>
            </w:r>
          </w:p>
        </w:tc>
      </w:tr>
    </w:tbl>
    <w:p>
      <w:pPr>
        <w:spacing w:after="0"/>
      </w:pPr>
    </w:p>
    <w:p>
      <w:pPr>
        <w:pStyle w:val="Heading2"/>
      </w:pPr>
      <w:r>
        <w:t>Diagnóstico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Sintoma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Causa provável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Ação recomendada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Docker indisponível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Docker Desktop parado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Inicie o Docker e confirme com docker info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Porta ocupada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Outro projeto usando a porta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Mantenha os mapeamentos 18001–18005 e 18080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Script bloqueado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ExecutionPolicy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Execute com -ExecutionPolicy Bypass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Contêiner unhealthy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Dependência ou init falhou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docker compose logs &lt;serviço&gt;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401/403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Bearer ausente ou inválido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Crie/valide a API key e revise Authorization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Evento não aparece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SQS/analytics/LocalStack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Inspecione logs e a fila togglemaster-events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ImagePullBackOff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Imagem não carregada no kind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Execute deploy-k8s.ps1 para kind load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Ingress sem resposta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Controller ou Host incorreto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Use porta 18080 e Host togglemaster.local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HPA &lt;unknown&gt;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Metrics Server recente ou sem coleta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Aguarde e execute kubectl top pods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CrashLoopBackOff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Variável/dependência indisponível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kubectl logs --previous e kubectl describe pod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DDEBF7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2E75B6"/>
              <w:top w:val="single" w:sz="2" w:color="DDEBF7"/>
              <w:bottom w:val="single" w:sz="2" w:color="DDEBF7"/>
              <w:end w:val="single" w:sz="2" w:color="DDEBF7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2E75B6"/>
                <w:sz w:val="18"/>
              </w:rPr>
              <w:t>ESTADO ATUAL</w:t>
            </w:r>
            <w:r>
              <w:br/>
            </w:r>
            <w:r>
              <w:rPr>
                <w:b w:val="0"/>
              </w:rPr>
              <w:t>O Compose foi parado para liberar memória, preservando seus volumes. O cluster kind permaneceu ativo e saudável no momento em que este documento foi preparado.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4" w:color="2E75B6"/>
        </w:pBdr>
      </w:pPr>
      <w:r>
        <w:t>14. Matriz de evidências e roteiro de entrega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Implementação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Evidência sugerida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5 microsserviços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Cinco diretórios, Dockerfiles e imagens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docker images togglemaster/*:local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9 contêineres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Compose com 5 apps + 4 dados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docker compose ps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SQS e DynamoDB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LocalStack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Fila, tabela e incremento no teste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Kubernetes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kind + manifests Kustomize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kubectl get nodes e pods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Ingress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Nginx em localhost:18080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health pelo Host togglemaster.local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Escalabilidade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2 HPAs por CPU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kubectl get hpa e kubectl top pods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Segurança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Non-root, read-only FS, Secret/ConfigMap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Dockerfiles e kubectl describe pod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Fluxo completo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Scripts test-local e test-k8s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Todos os marcadores [OK]</w:t>
            </w:r>
          </w:p>
        </w:tc>
      </w:tr>
    </w:tbl>
    <w:p>
      <w:pPr>
        <w:spacing w:after="0"/>
      </w:pPr>
    </w:p>
    <w:p>
      <w:pPr>
        <w:pStyle w:val="Heading2"/>
      </w:pPr>
      <w:r>
        <w:t>Roteiro visual para uma demonstração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Arquitetura</w:t>
            </w:r>
            <w:r>
              <w:t xml:space="preserve"> — </w:t>
            </w:r>
            <w:r>
              <w:rPr>
                <w:b w:val="0"/>
              </w:rPr>
              <w:t>abra a Figura 1 e explique o fluxo síncrono e assíncrono.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Imagens</w:t>
            </w:r>
            <w:r>
              <w:t xml:space="preserve"> — </w:t>
            </w:r>
            <w:r>
              <w:rPr>
                <w:b w:val="0"/>
              </w:rPr>
              <w:t>mostre as cinco imagens e destaque multi-stage/non-root.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Compose</w:t>
            </w:r>
            <w:r>
              <w:t xml:space="preserve"> — </w:t>
            </w:r>
            <w:r>
              <w:rPr>
                <w:b w:val="0"/>
              </w:rPr>
              <w:t>suba o ambiente e mostre exatamente nove serviços saudáveis.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Teste local</w:t>
            </w:r>
            <w:r>
              <w:t xml:space="preserve"> — </w:t>
            </w:r>
            <w:r>
              <w:rPr>
                <w:b w:val="0"/>
              </w:rPr>
              <w:t>execute test-local.ps1 e destaque o incremento no DynamoDB.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Cluster</w:t>
            </w:r>
            <w:r>
              <w:t xml:space="preserve"> — </w:t>
            </w:r>
            <w:r>
              <w:rPr>
                <w:b w:val="0"/>
              </w:rPr>
              <w:t>mostre o nó Ready, os dez pods e os nove Services.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Ingress</w:t>
            </w:r>
            <w:r>
              <w:t xml:space="preserve"> — </w:t>
            </w:r>
            <w:r>
              <w:rPr>
                <w:b w:val="0"/>
              </w:rPr>
              <w:t>explique localhost:18080, o Host e as reescritas de rota.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7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HPA</w:t>
            </w:r>
            <w:r>
              <w:t xml:space="preserve"> — </w:t>
            </w:r>
            <w:r>
              <w:rPr>
                <w:b w:val="0"/>
              </w:rPr>
              <w:t>mostre métricas reais dos dois autoscalers e os limites de réplicas.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8</w:t>
            </w:r>
          </w:p>
        </w:tc>
        <w:tc>
          <w:tcPr>
            <w:tcW w:type="dxa" w:w="4706"/>
            <w:shd w:fill="EDF3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Teste K8s</w:t>
            </w:r>
            <w:r>
              <w:t xml:space="preserve"> — </w:t>
            </w:r>
            <w:r>
              <w:rPr>
                <w:b w:val="0"/>
              </w:rPr>
              <w:t>execute test-k8s.ps1 e confirme novamente o evento analítico.</w:t>
            </w:r>
          </w:p>
        </w:tc>
      </w:tr>
      <w:tr>
        <w:tc>
          <w:tcPr>
            <w:tcW w:type="dxa" w:w="680"/>
            <w:shd w:fill="2E75B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9</w:t>
            </w:r>
          </w:p>
        </w:tc>
        <w:tc>
          <w:tcPr>
            <w:tcW w:type="dxa" w:w="4706"/>
            <w:shd w:fill="F7F9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Limites</w:t>
            </w:r>
            <w:r>
              <w:t xml:space="preserve"> — </w:t>
            </w:r>
            <w:r>
              <w:rPr>
                <w:b w:val="0"/>
              </w:rPr>
              <w:t>diferencie claramente emulação local de recursos AWS gerenciados.</w:t>
            </w:r>
          </w:p>
        </w:tc>
      </w:tr>
    </w:tbl>
    <w:p/>
    <w:p>
      <w:pPr>
        <w:pStyle w:val="Heading2"/>
      </w:pPr>
      <w:r>
        <w:t>Checklist antes da entrega</w:t>
      </w:r>
    </w:p>
    <w:p>
      <w:pPr>
        <w:pStyle w:val="ListBullet"/>
        <w:spacing w:after="60"/>
      </w:pPr>
      <w:r>
        <w:rPr>
          <w:b w:val="0"/>
        </w:rPr>
        <w:t>☐ Preencher participante, RM, turma e Discord.</w:t>
      </w:r>
    </w:p>
    <w:p>
      <w:pPr>
        <w:pStyle w:val="ListBullet"/>
        <w:spacing w:after="60"/>
      </w:pPr>
      <w:r>
        <w:rPr>
          <w:b w:val="0"/>
        </w:rPr>
        <w:t>☐ Informar os links dos repositórios.</w:t>
      </w:r>
    </w:p>
    <w:p>
      <w:pPr>
        <w:pStyle w:val="ListBullet"/>
        <w:spacing w:after="60"/>
      </w:pPr>
      <w:r>
        <w:rPr>
          <w:b w:val="0"/>
        </w:rPr>
        <w:t>☐ Gravar e publicar o vídeo de demonstração.</w:t>
      </w:r>
    </w:p>
    <w:p>
      <w:pPr>
        <w:pStyle w:val="ListBullet"/>
        <w:spacing w:after="60"/>
      </w:pPr>
      <w:r>
        <w:rPr>
          <w:b w:val="0"/>
        </w:rPr>
        <w:t>☐ Remover credenciais reais de arquivos e capturas.</w:t>
      </w:r>
    </w:p>
    <w:p>
      <w:pPr>
        <w:pStyle w:val="ListBullet"/>
        <w:spacing w:after="60"/>
      </w:pPr>
      <w:r>
        <w:rPr>
          <w:b w:val="0"/>
        </w:rPr>
        <w:t>☐ Conferir se todos os comandos foram executados a partir da pasta final.</w:t>
      </w:r>
    </w:p>
    <w:p>
      <w:pPr>
        <w:pStyle w:val="ListBullet"/>
        <w:spacing w:after="60"/>
      </w:pPr>
      <w:r>
        <w:rPr>
          <w:b w:val="0"/>
        </w:rPr>
        <w:t>☐ Decidir se o HPA da demonstração AWS ficará em 30% ou se será mantido em 70%.</w:t>
      </w:r>
    </w:p>
    <w:p>
      <w:pPr>
        <w:pStyle w:val="ListBullet"/>
        <w:spacing w:after="60"/>
      </w:pPr>
      <w:r>
        <w:rPr>
          <w:b w:val="0"/>
        </w:rPr>
        <w:t>☐ Atualizar o sumário deste Word com F9 antes de exportar para PDF.</w:t>
      </w:r>
    </w:p>
    <w:p>
      <w:pPr>
        <w:pStyle w:val="Heading2"/>
      </w:pPr>
      <w:r>
        <w:t>Próximos passos para AWS Academy</w:t>
      </w:r>
    </w:p>
    <w:p>
      <w:pPr>
        <w:pStyle w:val="ListBullet"/>
        <w:spacing w:after="60"/>
      </w:pPr>
      <w:r>
        <w:rPr>
          <w:b w:val="0"/>
        </w:rPr>
        <w:t>Publicar as cinco imagens em repositórios ECR com tags imutáveis.</w:t>
      </w:r>
    </w:p>
    <w:p>
      <w:pPr>
        <w:pStyle w:val="ListBullet"/>
        <w:spacing w:after="60"/>
      </w:pPr>
      <w:r>
        <w:rPr>
          <w:b w:val="0"/>
        </w:rPr>
        <w:t>Criar EKS e substituir o nó kind pelo node group da Academy.</w:t>
      </w:r>
    </w:p>
    <w:p>
      <w:pPr>
        <w:pStyle w:val="ListBullet"/>
        <w:spacing w:after="60"/>
      </w:pPr>
      <w:r>
        <w:rPr>
          <w:b w:val="0"/>
        </w:rPr>
        <w:t>Trocar PostgreSQL local por três RDS, Redis por ElastiCache/Valkey e endpoints LocalStack pelos endpoints AWS.</w:t>
      </w:r>
    </w:p>
    <w:p>
      <w:pPr>
        <w:pStyle w:val="ListBullet"/>
        <w:spacing w:after="60"/>
      </w:pPr>
      <w:r>
        <w:rPr>
          <w:b w:val="0"/>
        </w:rPr>
        <w:t>Usar Secrets Manager e External Secrets Operator em vez do Secret local.</w:t>
      </w:r>
    </w:p>
    <w:p>
      <w:pPr>
        <w:pStyle w:val="ListBullet"/>
        <w:spacing w:after="60"/>
      </w:pPr>
      <w:r>
        <w:rPr>
          <w:b w:val="0"/>
        </w:rPr>
        <w:t>Configurar Ingress com Load Balancer, DNS/TLS e políticas de rede.</w:t>
      </w:r>
    </w:p>
    <w:p>
      <w:pPr>
        <w:pStyle w:val="ListBullet"/>
        <w:spacing w:after="60"/>
      </w:pPr>
      <w:r>
        <w:rPr>
          <w:b w:val="0"/>
        </w:rPr>
        <w:t>Executar a demonstração de HPA com o alvo calibrado para a carga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2F0D9"/>
            <w:tcMar>
              <w:top w:w="160" w:type="dxa"/>
              <w:start w:w="190" w:type="dxa"/>
              <w:bottom w:w="160" w:type="dxa"/>
              <w:end w:w="190" w:type="dxa"/>
            </w:tcMar>
            <w:tcBorders>
              <w:start w:val="single" w:sz="22" w:color="217346"/>
              <w:top w:val="single" w:sz="2" w:color="E2F0D9"/>
              <w:bottom w:val="single" w:sz="2" w:color="E2F0D9"/>
              <w:end w:val="single" w:sz="2" w:color="E2F0D9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217346"/>
                <w:sz w:val="18"/>
              </w:rPr>
              <w:t>CONCLUSÃO</w:t>
            </w:r>
            <w:r>
              <w:br/>
            </w:r>
            <w:r>
              <w:rPr>
                <w:b w:val="0"/>
              </w:rPr>
              <w:t>A implementação local está executável, reproduzível e validada. Ela demonstra a decomposição em microsserviços, o desacoplamento por fila, o uso de múltiplos data stores, a containerização e a orquestração Kubernetes exigidas na Fase 2.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pBdr>
          <w:bottom w:val="single" w:sz="12" w:space="4" w:color="2E75B6"/>
        </w:pBdr>
      </w:pPr>
      <w:r>
        <w:t>Apêndice A — Endpoints rápidos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Compose</w:t>
            </w:r>
          </w:p>
        </w:tc>
        <w:tc>
          <w:tcPr>
            <w:tcW w:type="dxa" w:w="3137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http://localhost:18001/health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Saúde do auth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http://localhost:18001/admin/keys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Criar API key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http://localhost:18001/validate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Validar Bearer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GET/POST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http://localhost:18002/flags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Listar/criar flags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GET/PUT/DELETE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http://localhost:18002/flags/{name}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Operar uma flag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http://localhost:18003/rules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Criar regra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GET/PUT/DELETE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http://localhost:18003/rules/{flag}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Operar uma regra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http://localhost:18004/evaluate?user_id=...&amp;flag_name=...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3F6FA"/>
          </w:tcPr>
          <w:p>
            <w:pPr>
              <w:spacing w:after="0"/>
            </w:pPr>
            <w:r>
              <w:rPr>
                <w:b w:val="0"/>
                <w:sz w:val="16"/>
              </w:rPr>
              <w:t>Avaliar flag</w:t>
            </w:r>
          </w:p>
        </w:tc>
      </w:tr>
      <w:tr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http://localhost:18005/health</w:t>
            </w:r>
          </w:p>
        </w:tc>
        <w:tc>
          <w:tcPr>
            <w:tcW w:type="dxa" w:w="31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b w:val="0"/>
                <w:sz w:val="16"/>
              </w:rPr>
              <w:t>Saúde do analytics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2" w:space="4" w:color="2E75B6"/>
        </w:pBdr>
      </w:pPr>
      <w:r>
        <w:t>Apêndice B — Observações de manutenção</w:t>
      </w:r>
    </w:p>
    <w:p>
      <w:pPr>
        <w:pStyle w:val="ListBullet"/>
        <w:spacing w:after="60"/>
      </w:pPr>
      <w:r>
        <w:rPr>
          <w:rFonts w:ascii="Consolas" w:hAnsi="Consolas"/>
          <w:color w:val="2E75B6"/>
          <w:sz w:val="18"/>
        </w:rPr>
        <w:t>tools/kind.exe</w:t>
      </w:r>
      <w:r>
        <w:rPr>
          <w:b w:val="0"/>
        </w:rPr>
        <w:t xml:space="preserve"> já existe; setup-kind.ps1 o reutiliza em vez de baixar novamente.</w:t>
      </w:r>
    </w:p>
    <w:p>
      <w:pPr>
        <w:pStyle w:val="ListBullet"/>
        <w:spacing w:after="60"/>
      </w:pPr>
      <w:r>
        <w:rPr>
          <w:b w:val="0"/>
        </w:rPr>
        <w:t xml:space="preserve">Os manifests usam imagens locais e </w:t>
      </w:r>
      <w:r>
        <w:rPr>
          <w:rFonts w:ascii="Consolas" w:hAnsi="Consolas"/>
          <w:color w:val="2E75B6"/>
          <w:sz w:val="18"/>
        </w:rPr>
        <w:t>imagePullPolicy: Never</w:t>
      </w:r>
      <w:r>
        <w:rPr>
          <w:b w:val="0"/>
        </w:rPr>
        <w:t>; carregar as imagens no nó é obrigatório.</w:t>
      </w:r>
    </w:p>
    <w:p>
      <w:pPr>
        <w:pStyle w:val="ListBullet"/>
        <w:spacing w:after="60"/>
      </w:pPr>
      <w:r>
        <w:rPr>
          <w:b w:val="0"/>
        </w:rPr>
        <w:t xml:space="preserve">Os downloads de addons apontam para URLs </w:t>
      </w:r>
      <w:r>
        <w:rPr>
          <w:rFonts w:ascii="Consolas" w:hAnsi="Consolas"/>
          <w:color w:val="2E75B6"/>
          <w:sz w:val="18"/>
        </w:rPr>
        <w:t>latest/main</w:t>
      </w:r>
      <w:r>
        <w:rPr>
          <w:b w:val="0"/>
        </w:rPr>
        <w:t>; para máxima reprodutibilidade futura, fixe versões e checksums.</w:t>
      </w:r>
    </w:p>
    <w:p>
      <w:pPr>
        <w:pStyle w:val="ListBullet"/>
        <w:spacing w:after="60"/>
      </w:pPr>
      <w:r>
        <w:rPr>
          <w:b w:val="0"/>
        </w:rPr>
        <w:t xml:space="preserve">O script de validação usa o comando legado </w:t>
      </w:r>
      <w:r>
        <w:rPr>
          <w:rFonts w:ascii="Consolas" w:hAnsi="Consolas"/>
          <w:color w:val="2E75B6"/>
          <w:sz w:val="18"/>
        </w:rPr>
        <w:t>docker-compose</w:t>
      </w:r>
      <w:r>
        <w:rPr>
          <w:b w:val="0"/>
        </w:rPr>
        <w:t xml:space="preserve">; em máquinas somente com Compose v2, alinhe para </w:t>
      </w:r>
      <w:r>
        <w:rPr>
          <w:rFonts w:ascii="Consolas" w:hAnsi="Consolas"/>
          <w:color w:val="2E75B6"/>
          <w:sz w:val="18"/>
        </w:rPr>
        <w:t>docker compose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>Adicionar testes unitários Go/Python é um próximo passo recomendado além dos testes E2E existentes.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07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 xml:space="preserve">Tech Challenge — Fase 2   |   Guia local   |  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2E75B6"/>
      </w:pBdr>
    </w:pPr>
    <w:r>
      <w:rPr>
        <w:rFonts w:ascii="Aptos" w:hAnsi="Aptos"/>
        <w:b/>
        <w:color w:val="17365D"/>
        <w:sz w:val="16"/>
      </w:rPr>
      <w:t>TOGGLEMASTER   •   IMPLEMENTAÇÃO LOCAL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local">
    <w:name w:val="Código local"/>
    <w:pPr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ToggleMaster — Implementação Local</dc:title>
  <dc:subject>Guia didático da implementação local com Docker Compose e Kubernetes kind</dc:subject>
  <dc:creator>FIAP — Tech Challenge Fase 2</dc:creator>
  <cp:keywords/>
  <dc:description>Gerado a partir da implementação local validada.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