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 w:val="0"/>
        </w:rPr>
        <w:t>Relatório de Entrega — Tech Challenge Fase 2</w:t>
      </w:r>
    </w:p>
    <w:p>
      <w:pPr>
        <w:pStyle w:val="Heading1"/>
      </w:pPr>
      <w:r>
        <w:rPr>
          <w:b w:val="0"/>
        </w:rPr>
        <w:t>Participantes</w:t>
      </w:r>
    </w:p>
    <w:p>
      <w:r>
        <w:rPr>
          <w:b w:val="0"/>
        </w:rPr>
        <w:t>Preencher antes da entrega: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Nome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RM</w:t>
            </w:r>
          </w:p>
        </w:tc>
        <w:tc>
          <w:tcPr>
            <w:tcW w:type="dxa" w:w="3024"/>
            <w:vAlign w:val="center"/>
            <w:shd w:fill="D9EAF7"/>
          </w:tcPr>
          <w:p>
            <w:pPr>
              <w:spacing w:after="40"/>
            </w:pPr>
            <w:r>
              <w:rPr>
                <w:b/>
              </w:rPr>
              <w:t>Discord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A preencher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A preencher</w:t>
            </w:r>
          </w:p>
        </w:tc>
        <w:tc>
          <w:tcPr>
            <w:tcW w:type="dxa" w:w="3024"/>
            <w:vAlign w:val="center"/>
          </w:tcPr>
          <w:p>
            <w:pPr>
              <w:spacing w:after="40"/>
            </w:pPr>
            <w:r>
              <w:rPr>
                <w:b w:val="0"/>
              </w:rPr>
              <w:t>A preencher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b w:val="0"/>
        </w:rPr>
        <w:t>Repositórios</w:t>
      </w:r>
    </w:p>
    <w:p>
      <w:pPr>
        <w:pStyle w:val="ListBullet"/>
      </w:pPr>
      <w:r>
        <w:rPr>
          <w:b w:val="0"/>
        </w:rPr>
        <w:t xml:space="preserve">Repositório principal: </w:t>
      </w:r>
      <w:r>
        <w:rPr>
          <w:rFonts w:ascii="Consolas" w:hAnsi="Consolas"/>
          <w:color w:val="444444"/>
          <w:sz w:val="19"/>
        </w:rPr>
        <w:t>A preencher</w:t>
      </w:r>
    </w:p>
    <w:p>
      <w:pPr>
        <w:pStyle w:val="ListBullet"/>
      </w:pPr>
      <w:r>
        <w:rPr>
          <w:b w:val="0"/>
        </w:rPr>
        <w:t xml:space="preserve">Vídeo de demonstração: </w:t>
      </w:r>
      <w:r>
        <w:rPr>
          <w:rFonts w:ascii="Consolas" w:hAnsi="Consolas"/>
          <w:color w:val="444444"/>
          <w:sz w:val="19"/>
        </w:rPr>
        <w:t>A preencher</w:t>
      </w:r>
    </w:p>
    <w:p>
      <w:pPr>
        <w:pStyle w:val="Heading1"/>
      </w:pPr>
      <w:r>
        <w:rPr>
          <w:b w:val="0"/>
        </w:rPr>
        <w:t>Solução</w:t>
      </w:r>
    </w:p>
    <w:p>
      <w:r>
        <w:rPr>
          <w:b w:val="0"/>
        </w:rPr>
        <w:t>O ToggleMaster foi decomposto em cinco microsserviços independentes. O ambiente local utiliza Docker Compose com nove containers e substitui os serviços gerenciados da AWS por PostgreSQL, Redis e LocalStack. O ambiente Kubernetes usa namespace próprio, serviços ClusterIP, Ingress, Secrets, ConfigMap, probes, recursos e HPA.</w:t>
      </w:r>
    </w:p>
    <w:p>
      <w:pPr>
        <w:pStyle w:val="Heading1"/>
      </w:pPr>
      <w:r>
        <w:rPr>
          <w:b w:val="0"/>
        </w:rPr>
        <w:t>Validação executável</w:t>
      </w:r>
    </w:p>
    <w:p>
      <w:pPr>
        <w:pStyle w:val="Código"/>
        <w:keepLines/>
        <w:shd w:fill="F2F2F2"/>
      </w:pPr>
      <w:r>
        <w:rPr>
          <w:rFonts w:ascii="Consolas" w:hAnsi="Consolas"/>
          <w:sz w:val="18"/>
        </w:rPr>
        <w:t>.\scripts\start-local.ps1</w:t>
        <w:br/>
        <w:t>.\scripts\test-local.ps1</w:t>
        <w:br/>
        <w:t>.\scripts\load-test.ps1 -Requests 500 -Concurrency 20</w:t>
        <w:br/>
        <w:t>.\scripts\setup-kind.ps1</w:t>
        <w:br/>
        <w:t>.\scripts\test-k8s.ps1</w:t>
      </w:r>
    </w:p>
    <w:p>
      <w:r>
        <w:rPr>
          <w:b w:val="0"/>
        </w:rPr>
        <w:t>O teste ponta a ponta cria e valida uma API key, cria uma flag e uma regra de 100%, avalia a flag, aguarda o consumo da fila e confirma a gravação no DynamoDB local.</w:t>
      </w:r>
    </w:p>
    <w:p>
      <w:r>
        <w:rPr>
          <w:b w:val="0"/>
        </w:rPr>
        <w:t xml:space="preserve">O ambiente Kubernetes local foi validado com o nó </w:t>
      </w:r>
      <w:r>
        <w:rPr>
          <w:rFonts w:ascii="Consolas" w:hAnsi="Consolas"/>
          <w:color w:val="444444"/>
          <w:sz w:val="19"/>
        </w:rPr>
        <w:t>togglemaster-control-plane</w:t>
      </w:r>
      <w:r>
        <w:rPr>
          <w:b w:val="0"/>
        </w:rPr>
        <w:t xml:space="preserve"> em estado </w:t>
      </w:r>
      <w:r>
        <w:rPr>
          <w:rFonts w:ascii="Consolas" w:hAnsi="Consolas"/>
          <w:color w:val="444444"/>
          <w:sz w:val="19"/>
        </w:rPr>
        <w:t>Ready</w:t>
      </w:r>
      <w:r>
        <w:rPr>
          <w:b w:val="0"/>
        </w:rPr>
        <w:t>, dez pods de aplicação/infraestrutura em execução, Ingress Nginx funcional e métricas de CPU disponíveis para os dois HPAs. O teste via Ingress confirmou a persistência do evento analítico no DynamoDB.</w:t>
      </w:r>
    </w:p>
    <w:p>
      <w:pPr>
        <w:pStyle w:val="Heading1"/>
      </w:pPr>
      <w:r>
        <w:rPr>
          <w:b w:val="0"/>
        </w:rPr>
        <w:t>Escalabilidade</w:t>
      </w:r>
    </w:p>
    <w:p>
      <w:r>
        <w:rPr>
          <w:b w:val="0"/>
        </w:rPr>
        <w:t xml:space="preserve">Foram criados HPAs para </w:t>
      </w:r>
      <w:r>
        <w:rPr>
          <w:rFonts w:ascii="Consolas" w:hAnsi="Consolas"/>
          <w:color w:val="444444"/>
          <w:sz w:val="19"/>
        </w:rPr>
        <w:t>evaluation-service</w:t>
      </w:r>
      <w:r>
        <w:rPr>
          <w:b w:val="0"/>
        </w:rPr>
        <w:t xml:space="preserve"> e </w:t>
      </w:r>
      <w:r>
        <w:rPr>
          <w:rFonts w:ascii="Consolas" w:hAnsi="Consolas"/>
          <w:color w:val="444444"/>
          <w:sz w:val="19"/>
        </w:rPr>
        <w:t>analytics-service</w:t>
      </w:r>
      <w:r>
        <w:rPr>
          <w:b w:val="0"/>
        </w:rPr>
        <w:t>, ambos com alvo médio de CPU de 70%. Essa opção é compatível com as limitações da LabRole no AWS Academy. Em uma conta pessoal, o analytics pode ser migrado para KEDA com escala orientada diretamente pela profundidade da fila.</w:t>
      </w:r>
    </w:p>
    <w:p>
      <w:pPr>
        <w:pStyle w:val="Heading1"/>
      </w:pPr>
      <w:r>
        <w:rPr>
          <w:b w:val="0"/>
        </w:rPr>
        <w:t>Desafios e decisões</w:t>
      </w:r>
    </w:p>
    <w:p>
      <w:pPr>
        <w:pStyle w:val="ListBullet"/>
      </w:pPr>
      <w:r>
        <w:rPr>
          <w:b w:val="0"/>
        </w:rPr>
        <w:t>O ambiente local precisa representar SQS e DynamoDB sem depender de credenciais AWS; foi usado LocalStack.</w:t>
      </w:r>
    </w:p>
    <w:p>
      <w:pPr>
        <w:pStyle w:val="ListBullet"/>
      </w:pPr>
      <w:r>
        <w:rPr>
          <w:b w:val="0"/>
        </w:rPr>
        <w:t>O Compose deve permanecer com nove containers; SQS e DynamoDB compartilham o container LocalStack.</w:t>
      </w:r>
    </w:p>
    <w:p>
      <w:pPr>
        <w:pStyle w:val="ListBullet"/>
      </w:pPr>
      <w:r>
        <w:rPr>
          <w:b w:val="0"/>
        </w:rPr>
        <w:t>O evaluation-service precisa responder rapidamente; a persistência analítica é assíncrona via fila.</w:t>
      </w:r>
    </w:p>
    <w:p>
      <w:pPr>
        <w:pStyle w:val="ListBullet"/>
      </w:pPr>
      <w:r>
        <w:rPr>
          <w:b w:val="0"/>
        </w:rPr>
        <w:t>Credenciais locais são deliberadamente fictícias. Produção deve usar Secrets gerenciados e rotação.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Página </w:t>
    </w:r>
    <w:r>
      <w:rPr>
        <w:color w:val="64646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6464"/>
        <w:sz w:val="16"/>
      </w:rPr>
      <w:t>ToggleMaster  |  Tech Challenge — Fase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F4E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 Light" w:hAnsi="Calibri Light"/>
      <w:b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ódigo">
    <w:name w:val="Código"/>
    <w:pPr>
      <w:spacing w:before="80" w:after="160"/>
      <w:ind w:left="227" w:right="227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Entrega — Tech Challenge Fase 2</dc:title>
  <dc:subject>POSTECH — Tech Challenge — Fase 2</dc:subject>
  <dc:creator>FIAP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