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Roteiro de demonstração</w:t>
      </w:r>
    </w:p>
    <w:p>
      <w:pPr>
        <w:pStyle w:val="ListNumber"/>
      </w:pPr>
      <w:r>
        <w:rPr>
          <w:b w:val="0"/>
        </w:rPr>
        <w:t xml:space="preserve">Apresentar o diagrama em </w:t>
      </w:r>
      <w:r>
        <w:rPr>
          <w:rFonts w:ascii="Consolas" w:hAnsi="Consolas"/>
          <w:color w:val="444444"/>
          <w:sz w:val="19"/>
        </w:rPr>
        <w:t>docs/ARQUITETURA.md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Executar </w:t>
      </w:r>
      <w:r>
        <w:rPr>
          <w:rFonts w:ascii="Consolas" w:hAnsi="Consolas"/>
          <w:color w:val="444444"/>
          <w:sz w:val="19"/>
        </w:rPr>
        <w:t>docker compose up -d --build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Mostrar </w:t>
      </w:r>
      <w:r>
        <w:rPr>
          <w:rFonts w:ascii="Consolas" w:hAnsi="Consolas"/>
          <w:color w:val="444444"/>
          <w:sz w:val="19"/>
        </w:rPr>
        <w:t>docker compose ps</w:t>
      </w:r>
      <w:r>
        <w:rPr>
          <w:b w:val="0"/>
        </w:rPr>
        <w:t xml:space="preserve"> com os 9 containers saudáveis.</w:t>
      </w:r>
    </w:p>
    <w:p>
      <w:pPr>
        <w:pStyle w:val="ListNumber"/>
      </w:pPr>
      <w:r>
        <w:rPr>
          <w:b w:val="0"/>
        </w:rPr>
        <w:t xml:space="preserve">Executar </w:t>
      </w:r>
      <w:r>
        <w:rPr>
          <w:rFonts w:ascii="Consolas" w:hAnsi="Consolas"/>
          <w:color w:val="444444"/>
          <w:sz w:val="19"/>
        </w:rPr>
        <w:t>scripts/test-local.ps1</w:t>
      </w:r>
      <w:r>
        <w:rPr>
          <w:b w:val="0"/>
        </w:rPr>
        <w:t xml:space="preserve"> e mostrar o evento no DynamoDB local.</w:t>
      </w:r>
    </w:p>
    <w:p>
      <w:pPr>
        <w:pStyle w:val="ListNumber"/>
      </w:pPr>
      <w:r>
        <w:rPr>
          <w:b w:val="0"/>
        </w:rPr>
        <w:t>Mostrar os cinco Dockerfiles multi-stage.</w:t>
      </w:r>
    </w:p>
    <w:p>
      <w:pPr>
        <w:pStyle w:val="ListNumber"/>
      </w:pPr>
      <w:r>
        <w:rPr>
          <w:b w:val="0"/>
        </w:rPr>
        <w:t xml:space="preserve">No Kubernetes, mostrar </w:t>
      </w:r>
      <w:r>
        <w:rPr>
          <w:rFonts w:ascii="Consolas" w:hAnsi="Consolas"/>
          <w:color w:val="444444"/>
          <w:sz w:val="19"/>
        </w:rPr>
        <w:t>kubectl get pods,svc,ingress,hpa -n togglemaster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Fazer uma chamada pelo Ingress para </w:t>
      </w:r>
      <w:r>
        <w:rPr>
          <w:rFonts w:ascii="Consolas" w:hAnsi="Consolas"/>
          <w:color w:val="444444"/>
          <w:sz w:val="19"/>
        </w:rPr>
        <w:t>/evaluation/evaluate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Executar carga com </w:t>
      </w:r>
      <w:r>
        <w:rPr>
          <w:rFonts w:ascii="Consolas" w:hAnsi="Consolas"/>
          <w:color w:val="444444"/>
          <w:sz w:val="19"/>
        </w:rPr>
        <w:t>scripts/load-test.ps1</w:t>
      </w:r>
      <w:r>
        <w:rPr>
          <w:b w:val="0"/>
        </w:rPr>
        <w:t xml:space="preserve"> e acompanhar </w:t>
      </w:r>
      <w:r>
        <w:rPr>
          <w:rFonts w:ascii="Consolas" w:hAnsi="Consolas"/>
          <w:color w:val="444444"/>
          <w:sz w:val="19"/>
        </w:rPr>
        <w:t>kubectl get hpa,pods -n togglemaster -w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Mostrar mensagens SQS e itens do DynamoDB pelo LocalStack.</w:t>
      </w:r>
    </w:p>
    <w:p>
      <w:pPr>
        <w:pStyle w:val="ListNumber"/>
      </w:pPr>
      <w:r>
        <w:rPr>
          <w:b w:val="0"/>
        </w:rPr>
        <w:t>Explicar PostgreSQL/RDS, Redis/ElastiCache e DynamoDB, além da escolha de HPA por CPU para compatibilidade com AWS Academy.</w:t>
      </w:r>
    </w:p>
    <w:p>
      <w:r>
        <w:rPr>
          <w:b w:val="0"/>
        </w:rPr>
        <w:t>Mantenha dados pessoais, tokens e credenciais fora da gravação.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ToggleMaster  |  Tech Challenge —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80" w:after="160"/>
      <w:ind w:left="227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demonstração</dc:title>
  <dc:subject>POSTECH — Tech Challenge — Fase 2</dc:subject>
  <dc:creator>FIAP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