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Arial" w:hAnsi="Arial"/>
          <w:b/>
          <w:color w:val="FF9900"/>
          <w:sz w:val="28"/>
        </w:rPr>
        <w:t>TOGGLEMASTER</w:t>
      </w:r>
    </w:p>
    <w:p>
      <w:pPr>
        <w:pStyle w:val="Title"/>
        <w:spacing w:after="160"/>
      </w:pPr>
      <w:r>
        <w:t>Relatório da</w:t>
        <w:br/>
        <w:t>Implantação AWS</w:t>
      </w:r>
    </w:p>
    <w:p>
      <w:pPr>
        <w:pStyle w:val="Subtitle"/>
      </w:pPr>
      <w:r>
        <w:t>Tech Challenge — Fase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9900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440" w:after="280"/>
        <w:jc w:val="left"/>
      </w:pPr>
      <w:r>
        <w:rPr>
          <w:rFonts w:ascii="Arial" w:hAnsi="Arial"/>
          <w:b/>
          <w:color w:val="232F3E"/>
          <w:sz w:val="32"/>
        </w:rPr>
        <w:t>Ambiente implantado e validado ponta a ponta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Conta AWS</w:t>
            </w:r>
          </w:p>
        </w:tc>
        <w:tc>
          <w:tcPr>
            <w:tcW w:type="dxa" w:w="691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</w:t>
            </w:r>
          </w:p>
        </w:tc>
      </w:tr>
      <w:tr>
        <w:tc>
          <w:tcPr>
            <w:tcW w:type="dxa" w:w="238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Região</w:t>
            </w:r>
          </w:p>
        </w:tc>
        <w:tc>
          <w:tcPr>
            <w:tcW w:type="dxa" w:w="691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us-east-1</w:t>
            </w:r>
          </w:p>
        </w:tc>
      </w:tr>
      <w:tr>
        <w:tc>
          <w:tcPr>
            <w:tcW w:type="dxa" w:w="238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Cluster</w:t>
            </w:r>
          </w:p>
        </w:tc>
        <w:tc>
          <w:tcPr>
            <w:tcW w:type="dxa" w:w="691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eks-togglemaster</w:t>
            </w:r>
          </w:p>
        </w:tc>
      </w:tr>
      <w:tr>
        <w:tc>
          <w:tcPr>
            <w:tcW w:type="dxa" w:w="238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Kubernetes</w:t>
            </w:r>
          </w:p>
        </w:tc>
        <w:tc>
          <w:tcPr>
            <w:tcW w:type="dxa" w:w="691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1.37</w:t>
            </w:r>
          </w:p>
        </w:tc>
      </w:tr>
      <w:tr>
        <w:tc>
          <w:tcPr>
            <w:tcW w:type="dxa" w:w="238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Data da validação</w:t>
            </w:r>
          </w:p>
        </w:tc>
        <w:tc>
          <w:tcPr>
            <w:tcW w:type="dxa" w:w="691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29/10/2026</w:t>
            </w:r>
          </w:p>
        </w:tc>
      </w:tr>
      <w:tr>
        <w:tc>
          <w:tcPr>
            <w:tcW w:type="dxa" w:w="238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Endpoint</w:t>
            </w:r>
          </w:p>
        </w:tc>
        <w:tc>
          <w:tcPr>
            <w:tcW w:type="dxa" w:w="691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http://ae6a5981f8069438481a714114fef81d-9676d8a498457cbb.elb.us-east-1.amazonaws.com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15803D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DCFCE7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5803D"/>
                <w:sz w:val="20"/>
              </w:rPr>
              <w:t>STATUS FINAL: APROVADO</w:t>
            </w:r>
          </w:p>
          <w:p>
            <w:pPr>
              <w:spacing w:after="0"/>
            </w:pPr>
            <w:r>
              <w:rPr>
                <w:sz w:val="18"/>
              </w:rPr>
              <w:t>Aplicações, NLB, Redis Cluster, SQS, Analytics e DynamoDB validados.</w:t>
            </w:r>
          </w:p>
        </w:tc>
      </w:tr>
    </w:tbl>
    <w:p>
      <w:pPr>
        <w:spacing w:before="520"/>
        <w:jc w:val="center"/>
      </w:pPr>
      <w:r>
        <w:rPr>
          <w:i/>
          <w:color w:val="6B7280"/>
          <w:sz w:val="17"/>
        </w:rPr>
        <w:t>Documento gerado a partir do ambiente realmente implantado — sem credenciais ou tokens.</w:t>
      </w:r>
    </w:p>
    <w:p>
      <w:r>
        <w:br w:type="page"/>
      </w:r>
    </w:p>
    <w:p>
      <w:pPr>
        <w:pStyle w:val="Heading1"/>
      </w:pPr>
      <w:r>
        <w:t>1. Resultado executivo</w:t>
      </w:r>
    </w:p>
    <w:p>
      <w:r>
        <w:t>O ToggleMaster foi implantado com sucesso no EKS. Os cinco microsserviços estão disponíveis, sem reinicializações, e o fluxo completo foi validado desde a API pública até a persistência do evento no DynamoDB.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AF4F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46EB4"/>
                <w:sz w:val="40"/>
              </w:rPr>
              <w:t>5/5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aplicações disponíveis</w:t>
            </w:r>
          </w:p>
        </w:tc>
        <w:tc>
          <w:tcPr>
            <w:tcW w:type="dxa" w:w="3326"/>
            <w:shd w:fill="FFF4E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9900"/>
                <w:sz w:val="40"/>
              </w:rPr>
              <w:t>2/2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nós Ready</w:t>
            </w:r>
          </w:p>
        </w:tc>
        <w:tc>
          <w:tcPr>
            <w:tcW w:type="dxa" w:w="3326"/>
            <w:shd w:fill="EAF4F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46EB4"/>
                <w:sz w:val="40"/>
              </w:rPr>
              <w:t>4/4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segredos sincronizados</w:t>
            </w:r>
          </w:p>
        </w:tc>
      </w:tr>
      <w:tr>
        <w:tc>
          <w:tcPr>
            <w:tcW w:type="dxa" w:w="3326"/>
            <w:shd w:fill="FFF4E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9900"/>
                <w:sz w:val="40"/>
              </w:rPr>
              <w:t>3/3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Jobs SQL concluídos</w:t>
            </w:r>
          </w:p>
        </w:tc>
        <w:tc>
          <w:tcPr>
            <w:tcW w:type="dxa" w:w="3326"/>
            <w:shd w:fill="EAF4F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46EB4"/>
                <w:sz w:val="40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HPAs ativos</w:t>
            </w:r>
          </w:p>
        </w:tc>
        <w:tc>
          <w:tcPr>
            <w:tcW w:type="dxa" w:w="3326"/>
            <w:shd w:fill="FFF4E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9900"/>
                <w:sz w:val="40"/>
              </w:rPr>
              <w:t>100%</w:t>
            </w:r>
          </w:p>
          <w:p>
            <w:pPr>
              <w:spacing w:after="0"/>
              <w:jc w:val="center"/>
            </w:pPr>
            <w:r>
              <w:rPr>
                <w:color w:val="1F2937"/>
                <w:sz w:val="16"/>
              </w:rPr>
              <w:t>fluxo E2E aprovado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FF9900"/>
            <w:tcBorders>
              <w:top w:val="single" w:sz="0" w:color="FFF4E2"/>
              <w:left w:val="single" w:sz="0" w:color="FFF4E2"/>
              <w:bottom w:val="single" w:sz="0" w:color="FFF4E2"/>
              <w:right w:val="single" w:sz="0" w:color="FFF4E2"/>
              <w:insideH w:val="single" w:sz="0" w:color="FFF4E2"/>
              <w:insideV w:val="single" w:sz="0" w:color="FFF4E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FFF4E2"/>
            <w:tcBorders>
              <w:top w:val="single" w:sz="0" w:color="FFF4E2"/>
              <w:left w:val="single" w:sz="0" w:color="FFF4E2"/>
              <w:bottom w:val="single" w:sz="0" w:color="FFF4E2"/>
              <w:right w:val="single" w:sz="0" w:color="FFF4E2"/>
              <w:insideH w:val="single" w:sz="0" w:color="FFF4E2"/>
              <w:insideV w:val="single" w:sz="0" w:color="FFF4E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9900"/>
                <w:sz w:val="20"/>
              </w:rPr>
              <w:t>Endpoint público atual</w:t>
            </w:r>
          </w:p>
          <w:p>
            <w:pPr>
              <w:spacing w:after="0"/>
            </w:pPr>
            <w:r>
              <w:rPr>
                <w:sz w:val="18"/>
              </w:rPr>
              <w:t>http://ae6a5981f8069438481a714114fef81d-9676d8a498457cbb.elb.us-east-1.amazonaws.com</w:t>
              <w:br/>
              <w:t>O hostname é gerado pela AWS e pode mudar se o Service do ingress for recriado.</w:t>
            </w:r>
          </w:p>
        </w:tc>
      </w:tr>
    </w:tbl>
    <w:p>
      <w:pPr>
        <w:pStyle w:val="Heading1"/>
      </w:pPr>
      <w:r>
        <w:t>2. Arquitetura implantada</w:t>
      </w:r>
    </w:p>
    <w:p>
      <w:r>
        <w:t>A entrada pública termina no Network Load Balancer. O Nginx Ingress distribui cada rota ao serviço correspondente, enquanto dados e mensageria permanecem em serviços gerenciados da AWS.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ws_togglema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Figura 1 — Arquitetura AWS validada em 29/10/2026.</w:t>
      </w:r>
    </w:p>
    <w:p>
      <w:pPr>
        <w:pStyle w:val="Heading1"/>
      </w:pPr>
      <w:r>
        <w:t>3. Inventário do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7087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 implantado</w:t>
            </w:r>
          </w:p>
        </w:tc>
      </w:tr>
      <w:tr>
        <w:tc>
          <w:tcPr>
            <w:tcW w:type="dxa" w:w="226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Orquestração</w:t>
            </w:r>
          </w:p>
        </w:tc>
        <w:tc>
          <w:tcPr>
            <w:tcW w:type="dxa" w:w="708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EKS eks-togglemaster — Kubernetes 1.37</w:t>
            </w:r>
          </w:p>
        </w:tc>
      </w:tr>
      <w:tr>
        <w:tc>
          <w:tcPr>
            <w:tcW w:type="dxa" w:w="226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Entrada</w:t>
            </w:r>
          </w:p>
        </w:tc>
        <w:tc>
          <w:tcPr>
            <w:tcW w:type="dxa" w:w="708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NLB internet-facing + ingress-nginx 1.15.1 / chart 4.15.1</w:t>
            </w:r>
          </w:p>
        </w:tc>
      </w:tr>
      <w:tr>
        <w:tc>
          <w:tcPr>
            <w:tcW w:type="dxa" w:w="226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Auth</w:t>
            </w:r>
          </w:p>
        </w:tc>
        <w:tc>
          <w:tcPr>
            <w:tcW w:type="dxa" w:w="708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058264096738.dkr.ecr.us-east-1.amazonaws.com/ecr/auth-service:v1 + RDS db-auth-service</w:t>
            </w:r>
          </w:p>
        </w:tc>
      </w:tr>
      <w:tr>
        <w:tc>
          <w:tcPr>
            <w:tcW w:type="dxa" w:w="226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Flags</w:t>
            </w:r>
          </w:p>
        </w:tc>
        <w:tc>
          <w:tcPr>
            <w:tcW w:type="dxa" w:w="708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058264096738.dkr.ecr.us-east-1.amazonaws.com/ecr/flag-service:v1 + RDS db-flag-service</w:t>
            </w:r>
          </w:p>
        </w:tc>
      </w:tr>
      <w:tr>
        <w:tc>
          <w:tcPr>
            <w:tcW w:type="dxa" w:w="226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Targeting</w:t>
            </w:r>
          </w:p>
        </w:tc>
        <w:tc>
          <w:tcPr>
            <w:tcW w:type="dxa" w:w="708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058264096738.dkr.ecr.us-east-1.amazonaws.com/ecr/targeting-service:v1 + RDS db-targeting-service</w:t>
            </w:r>
          </w:p>
        </w:tc>
      </w:tr>
      <w:tr>
        <w:tc>
          <w:tcPr>
            <w:tcW w:type="dxa" w:w="226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Evaluation</w:t>
            </w:r>
          </w:p>
        </w:tc>
        <w:tc>
          <w:tcPr>
            <w:tcW w:type="dxa" w:w="708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058264096738.dkr.ecr.us-east-1.amazonaws.com/ecr/evaluation-service:v3 + ElastiCache + SQS</w:t>
            </w:r>
          </w:p>
        </w:tc>
      </w:tr>
      <w:tr>
        <w:tc>
          <w:tcPr>
            <w:tcW w:type="dxa" w:w="226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Analytics</w:t>
            </w:r>
          </w:p>
        </w:tc>
        <w:tc>
          <w:tcPr>
            <w:tcW w:type="dxa" w:w="708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058264096738.dkr.ecr.us-east-1.amazonaws.com/ecr/analytics-service:v1 + SQS + DynamoDB</w:t>
            </w:r>
          </w:p>
        </w:tc>
      </w:tr>
      <w:tr>
        <w:tc>
          <w:tcPr>
            <w:tcW w:type="dxa" w:w="226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Fila</w:t>
            </w:r>
          </w:p>
        </w:tc>
        <w:tc>
          <w:tcPr>
            <w:tcW w:type="dxa" w:w="708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evaluation-analytics-queue</w:t>
            </w:r>
          </w:p>
        </w:tc>
      </w:tr>
      <w:tr>
        <w:tc>
          <w:tcPr>
            <w:tcW w:type="dxa" w:w="226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Tabela</w:t>
            </w:r>
          </w:p>
        </w:tc>
        <w:tc>
          <w:tcPr>
            <w:tcW w:type="dxa" w:w="7087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ToggleMasterAnalytics</w:t>
            </w:r>
          </w:p>
        </w:tc>
      </w:tr>
      <w:tr>
        <w:tc>
          <w:tcPr>
            <w:tcW w:type="dxa" w:w="226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Segredos</w:t>
            </w:r>
          </w:p>
        </w:tc>
        <w:tc>
          <w:tcPr>
            <w:tcW w:type="dxa" w:w="7087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4 segredos no Secrets Manager sincronizados pelo ESO</w:t>
            </w:r>
          </w:p>
        </w:tc>
      </w:tr>
    </w:tbl>
    <w:p>
      <w:pPr>
        <w:spacing w:after="0"/>
      </w:pPr>
    </w:p>
    <w:p>
      <w:pPr>
        <w:pStyle w:val="Heading1"/>
      </w:pPr>
      <w:r>
        <w:t>4. Sequência da implantação</w:t>
      </w:r>
    </w:p>
    <w:p>
      <w:pPr>
        <w:pStyle w:val="ListNumber"/>
        <w:spacing w:after="50"/>
      </w:pPr>
      <w:r>
        <w:t>Validar a conta, a região, os recursos gerenciados e as imagens do ECR.</w:t>
      </w:r>
    </w:p>
    <w:p>
      <w:pPr>
        <w:pStyle w:val="ListNumber"/>
        <w:spacing w:after="50"/>
      </w:pPr>
      <w:r>
        <w:t>Preparar o EKS, recuperar os dois nós e ajustar o hop limit do IMDS para 2.</w:t>
      </w:r>
    </w:p>
    <w:p>
      <w:pPr>
        <w:pStyle w:val="ListNumber"/>
        <w:spacing w:after="50"/>
      </w:pPr>
      <w:r>
        <w:t>Liberar os fluxos EKS → RDS em 5432 e EKS → ElastiCache em 6379.</w:t>
      </w:r>
    </w:p>
    <w:p>
      <w:pPr>
        <w:pStyle w:val="ListNumber"/>
        <w:spacing w:after="50"/>
      </w:pPr>
      <w:r>
        <w:t>Instalar External Secrets Operator, Metrics Server e ingress-nginx.</w:t>
      </w:r>
    </w:p>
    <w:p>
      <w:pPr>
        <w:pStyle w:val="ListNumber"/>
        <w:spacing w:after="50"/>
      </w:pPr>
      <w:r>
        <w:t>Sincronizar os quatro segredos e executar os três Jobs de inicialização SQL.</w:t>
      </w:r>
    </w:p>
    <w:p>
      <w:pPr>
        <w:pStyle w:val="ListNumber"/>
        <w:spacing w:after="50"/>
      </w:pPr>
      <w:r>
        <w:t>Aplicar os cinco Deployments, Services, Ingresses e dois HPAs.</w:t>
      </w:r>
    </w:p>
    <w:p>
      <w:pPr>
        <w:pStyle w:val="ListNumber"/>
        <w:spacing w:after="50"/>
      </w:pPr>
      <w:r>
        <w:t>Corrigir o cliente Redis do evaluation, publicar v3 e executar o rollout.</w:t>
      </w:r>
    </w:p>
    <w:p>
      <w:pPr>
        <w:pStyle w:val="ListNumber"/>
        <w:spacing w:after="50"/>
      </w:pPr>
      <w:r>
        <w:t>Recriar o Service do ingress para provisionar o NLB e validar os targets.</w:t>
      </w:r>
    </w:p>
    <w:p>
      <w:pPr>
        <w:pStyle w:val="ListNumber"/>
        <w:spacing w:after="50"/>
      </w:pPr>
      <w:r>
        <w:t>Executar o smoke test completo até o DynamoDB e remover os dados temporários de API.</w:t>
      </w:r>
    </w:p>
    <w:p>
      <w:pPr>
        <w:pStyle w:val="Heading1"/>
      </w:pPr>
      <w:r>
        <w:t>5. Correção do evaluation-service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FF9900"/>
            <w:tcBorders>
              <w:top w:val="single" w:sz="0" w:color="FFF4E2"/>
              <w:left w:val="single" w:sz="0" w:color="FFF4E2"/>
              <w:bottom w:val="single" w:sz="0" w:color="FFF4E2"/>
              <w:right w:val="single" w:sz="0" w:color="FFF4E2"/>
              <w:insideH w:val="single" w:sz="0" w:color="FFF4E2"/>
              <w:insideV w:val="single" w:sz="0" w:color="FFF4E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FFF4E2"/>
            <w:tcBorders>
              <w:top w:val="single" w:sz="0" w:color="FFF4E2"/>
              <w:left w:val="single" w:sz="0" w:color="FFF4E2"/>
              <w:bottom w:val="single" w:sz="0" w:color="FFF4E2"/>
              <w:right w:val="single" w:sz="0" w:color="FFF4E2"/>
              <w:insideH w:val="single" w:sz="0" w:color="FFF4E2"/>
              <w:insideV w:val="single" w:sz="0" w:color="FFF4E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9900"/>
                <w:sz w:val="20"/>
              </w:rPr>
              <w:t>Causa identificada</w:t>
            </w:r>
          </w:p>
          <w:p>
            <w:pPr>
              <w:spacing w:after="0"/>
            </w:pPr>
            <w:r>
              <w:rPr>
                <w:sz w:val="18"/>
              </w:rPr>
              <w:t>O go-redis/v8.11.5 aceitava somente 2 ou 3 campos no CLUSTER SLOTS. O Redis 7 do ElastiCache devolve um quarto campo de metadados.</w:t>
            </w:r>
          </w:p>
        </w:tc>
      </w:tr>
    </w:tbl>
    <w:p>
      <w:r>
        <w:t>Erro observado no pod: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got 4 elements in cluster info address, expected 2 or 3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Migração para github.com/redis/go-redis/v9 v9.18.0.</w:t>
      </w:r>
    </w:p>
    <w:p>
      <w:pPr>
        <w:pStyle w:val="ListBullet"/>
        <w:spacing w:after="50"/>
      </w:pPr>
      <w:r>
        <w:t>Conexão REDIS_URL usando rediss://, autenticação e criptografia em trânsito.</w:t>
      </w:r>
    </w:p>
    <w:p>
      <w:pPr>
        <w:pStyle w:val="ListBullet"/>
        <w:spacing w:after="50"/>
      </w:pPr>
      <w:r>
        <w:t>TLS 1.2, cluster mode e autenticação do ElastiCache preservados.</w:t>
      </w:r>
    </w:p>
    <w:p>
      <w:pPr>
        <w:pStyle w:val="ListBullet"/>
        <w:spacing w:after="50"/>
      </w:pPr>
      <w:r>
        <w:t>Testes Go aprovados com Go 1.22.</w:t>
      </w:r>
    </w:p>
    <w:p>
      <w:pPr>
        <w:pStyle w:val="ListBullet"/>
        <w:spacing w:after="50"/>
      </w:pPr>
      <w:r>
        <w:t>Imagem publicada no ECR como evaluation-service:v3.</w:t>
      </w:r>
    </w:p>
    <w:p>
      <w:pPr>
        <w:pStyle w:val="ListBullet"/>
        <w:spacing w:after="50"/>
      </w:pPr>
      <w:r>
        <w:t>Manifesto EKS, Compose AWS, README e ZIP atualizados para v3.</w:t>
      </w:r>
    </w:p>
    <w:p>
      <w:r>
        <w:t>Confirmação após o rollout: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Conectado ao Redis com sucesso (cluster=true)!</w:t>
              <w:br/>
              <w:t>Cliente SQS inicializado com sucesso.</w:t>
            </w:r>
          </w:p>
        </w:tc>
      </w:tr>
    </w:tbl>
    <w:p>
      <w:pPr>
        <w:spacing w:after="0"/>
      </w:pPr>
    </w:p>
    <w:p>
      <w:pPr>
        <w:pStyle w:val="Heading1"/>
      </w:pPr>
      <w:r>
        <w:t>6. Segurança</w:t>
      </w:r>
    </w:p>
    <w:p>
      <w:pPr>
        <w:pStyle w:val="ListBullet"/>
        <w:spacing w:after="50"/>
      </w:pPr>
      <w:r>
        <w:t>Nenhuma credencial temporária da AWS foi gravada em código, YAML, ZIP ou documentação.</w:t>
      </w:r>
    </w:p>
    <w:p>
      <w:pPr>
        <w:pStyle w:val="ListBullet"/>
        <w:spacing w:after="50"/>
      </w:pPr>
      <w:r>
        <w:t>URLs de banco, Master Key, token Redis e API key permanecem no Secrets Manager.</w:t>
      </w:r>
    </w:p>
    <w:p>
      <w:pPr>
        <w:pStyle w:val="ListBullet"/>
        <w:spacing w:after="50"/>
      </w:pPr>
      <w:r>
        <w:t>A API key do evaluation foi criada pelo auth-service e sincronizada pelo External Secrets Operator.</w:t>
      </w:r>
    </w:p>
    <w:p>
      <w:pPr>
        <w:pStyle w:val="ListBullet"/>
        <w:spacing w:after="50"/>
      </w:pPr>
      <w:r>
        <w:t>RDS e ElastiCache continuam privados; somente os nós do EKS têm rota e regras autorizadas.</w:t>
      </w:r>
    </w:p>
    <w:p>
      <w:pPr>
        <w:pStyle w:val="ListBullet"/>
        <w:spacing w:after="50"/>
      </w:pPr>
      <w:r>
        <w:t>Containers executam sem root, com filesystem somente leitura e capabilities removidas.</w:t>
      </w:r>
    </w:p>
    <w:p>
      <w:pPr>
        <w:pStyle w:val="ListBullet"/>
        <w:spacing w:after="50"/>
      </w:pPr>
      <w:r>
        <w:t>IMDSv2 é obrigatório nos nós.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146EB4"/>
            <w:tcBorders>
              <w:top w:val="single" w:sz="0" w:color="EAF4FB"/>
              <w:left w:val="single" w:sz="0" w:color="EAF4FB"/>
              <w:bottom w:val="single" w:sz="0" w:color="EAF4FB"/>
              <w:right w:val="single" w:sz="0" w:color="EAF4FB"/>
              <w:insideH w:val="single" w:sz="0" w:color="EAF4FB"/>
              <w:insideV w:val="single" w:sz="0" w:color="EAF4F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EAF4FB"/>
            <w:tcBorders>
              <w:top w:val="single" w:sz="0" w:color="EAF4FB"/>
              <w:left w:val="single" w:sz="0" w:color="EAF4FB"/>
              <w:bottom w:val="single" w:sz="0" w:color="EAF4FB"/>
              <w:right w:val="single" w:sz="0" w:color="EAF4FB"/>
              <w:insideH w:val="single" w:sz="0" w:color="EAF4FB"/>
              <w:insideV w:val="single" w:sz="0" w:color="EAF4F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46EB4"/>
                <w:sz w:val="20"/>
              </w:rPr>
              <w:t>Decisão específica do AWS Academy</w:t>
            </w:r>
          </w:p>
          <w:p>
            <w:pPr>
              <w:spacing w:after="0"/>
            </w:pPr>
            <w:r>
              <w:rPr>
                <w:sz w:val="18"/>
              </w:rPr>
              <w:t>O hop limit 2 permite que os pods utilizem a LabRole do nó. Em produção, substitua esse mecanismo por EKS Pod Identity ou IRSA, com política mínima por serviço.</w:t>
            </w:r>
          </w:p>
        </w:tc>
      </w:tr>
    </w:tbl>
    <w:p>
      <w:pPr>
        <w:pStyle w:val="Heading1"/>
      </w:pPr>
      <w:r>
        <w:t>7. Rotas públicas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Operação</w:t>
            </w:r>
          </w:p>
        </w:tc>
        <w:tc>
          <w:tcPr>
            <w:tcW w:type="dxa" w:w="6803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Método e rota</w:t>
            </w:r>
          </w:p>
        </w:tc>
      </w:tr>
      <w:tr>
        <w:tc>
          <w:tcPr>
            <w:tcW w:type="dxa" w:w="255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Saúde do Auth</w:t>
            </w:r>
          </w:p>
        </w:tc>
        <w:tc>
          <w:tcPr>
            <w:tcW w:type="dxa" w:w="6803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GET /auth/health</w:t>
            </w:r>
          </w:p>
        </w:tc>
      </w:tr>
      <w:tr>
        <w:tc>
          <w:tcPr>
            <w:tcW w:type="dxa" w:w="255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Criar API key</w:t>
            </w:r>
          </w:p>
        </w:tc>
        <w:tc>
          <w:tcPr>
            <w:tcW w:type="dxa" w:w="6803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POST /auth/admin/keys</w:t>
            </w:r>
          </w:p>
        </w:tc>
      </w:tr>
      <w:tr>
        <w:tc>
          <w:tcPr>
            <w:tcW w:type="dxa" w:w="255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Validar API key</w:t>
            </w:r>
          </w:p>
        </w:tc>
        <w:tc>
          <w:tcPr>
            <w:tcW w:type="dxa" w:w="6803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GET /auth/validate</w:t>
            </w:r>
          </w:p>
        </w:tc>
      </w:tr>
      <w:tr>
        <w:tc>
          <w:tcPr>
            <w:tcW w:type="dxa" w:w="255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Flags</w:t>
            </w:r>
          </w:p>
        </w:tc>
        <w:tc>
          <w:tcPr>
            <w:tcW w:type="dxa" w:w="6803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GET/POST /flags; GET/PUT/DELETE /flags/{name}</w:t>
            </w:r>
          </w:p>
        </w:tc>
      </w:tr>
      <w:tr>
        <w:tc>
          <w:tcPr>
            <w:tcW w:type="dxa" w:w="2551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Regras</w:t>
            </w:r>
          </w:p>
        </w:tc>
        <w:tc>
          <w:tcPr>
            <w:tcW w:type="dxa" w:w="6803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POST /rules; GET/PUT/DELETE /rules/{flag_name}</w:t>
            </w:r>
          </w:p>
        </w:tc>
      </w:tr>
      <w:tr>
        <w:tc>
          <w:tcPr>
            <w:tcW w:type="dxa" w:w="2551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Avaliação</w:t>
            </w:r>
          </w:p>
        </w:tc>
        <w:tc>
          <w:tcPr>
            <w:tcW w:type="dxa" w:w="6803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GET /evaluate?user_id={id}&amp;flag_name={flag}</w:t>
            </w:r>
          </w:p>
        </w:tc>
      </w:tr>
    </w:tbl>
    <w:p>
      <w:pPr>
        <w:spacing w:after="0"/>
      </w:pPr>
    </w:p>
    <w:p>
      <w:r>
        <w:t>O analytics-service é um worker interno e não possui Ingress público.</w:t>
      </w:r>
    </w:p>
    <w:p>
      <w:pPr>
        <w:pStyle w:val="Heading1"/>
      </w:pPr>
      <w:r>
        <w:t>8. Validação ponta a ponta</w:t>
      </w:r>
    </w:p>
    <w:p>
      <w:r>
        <w:t>O teste executado percorreu todas as camadas relevantes:</w:t>
      </w:r>
    </w:p>
    <w:p>
      <w:pPr>
        <w:pStyle w:val="ListNumber"/>
        <w:spacing w:after="50"/>
      </w:pPr>
      <w:r>
        <w:t>Criação e validação de uma API key no auth-service.</w:t>
      </w:r>
    </w:p>
    <w:p>
      <w:pPr>
        <w:pStyle w:val="ListNumber"/>
        <w:spacing w:after="50"/>
      </w:pPr>
      <w:r>
        <w:t>Criação de uma flag habilitada.</w:t>
      </w:r>
    </w:p>
    <w:p>
      <w:pPr>
        <w:pStyle w:val="ListNumber"/>
        <w:spacing w:after="50"/>
      </w:pPr>
      <w:r>
        <w:t>Criação de uma regra PERCENTAGE com valor 100.</w:t>
      </w:r>
    </w:p>
    <w:p>
      <w:pPr>
        <w:pStyle w:val="ListNumber"/>
        <w:spacing w:after="50"/>
      </w:pPr>
      <w:r>
        <w:t>Avaliação externa pelo NLB, com resultado true.</w:t>
      </w:r>
    </w:p>
    <w:p>
      <w:pPr>
        <w:pStyle w:val="ListNumber"/>
        <w:spacing w:after="50"/>
      </w:pPr>
      <w:r>
        <w:t>Publicação do evento no SQS.</w:t>
      </w:r>
    </w:p>
    <w:p>
      <w:pPr>
        <w:pStyle w:val="ListNumber"/>
        <w:spacing w:after="50"/>
      </w:pPr>
      <w:r>
        <w:t>Consumo pelo analytics-service.</w:t>
      </w:r>
    </w:p>
    <w:p>
      <w:pPr>
        <w:pStyle w:val="ListNumber"/>
        <w:spacing w:after="50"/>
      </w:pPr>
      <w:r>
        <w:t>Persistência confirmada na tabela ToggleMasterAnalytics.</w:t>
      </w:r>
    </w:p>
    <w:p>
      <w:pPr>
        <w:pStyle w:val="ListNumber"/>
        <w:spacing w:after="50"/>
      </w:pPr>
      <w:r>
        <w:t>Remoção da flag e da regra temporárias.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{"flag_name":"nlb-smoke-…","user_id":"nlb-smoke-user","result":true}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15803D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DCFCE7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5803D"/>
                <w:sz w:val="20"/>
              </w:rPr>
              <w:t>Evidência final</w:t>
            </w:r>
          </w:p>
          <w:p>
            <w:pPr>
              <w:spacing w:after="0"/>
            </w:pPr>
            <w:r>
              <w:rPr>
                <w:sz w:val="18"/>
              </w:rPr>
              <w:t>O log do analytics confirmou o evento de teste salvo no DynamoDB.</w:t>
            </w:r>
          </w:p>
        </w:tc>
      </w:tr>
    </w:tbl>
    <w:p>
      <w:pPr>
        <w:pStyle w:val="Heading1"/>
      </w:pPr>
      <w:r>
        <w:t>9. Saúde e escalabilidade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6406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94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Deployments</w:t>
            </w:r>
          </w:p>
        </w:tc>
        <w:tc>
          <w:tcPr>
            <w:tcW w:type="dxa" w:w="6406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5/5 disponíveis</w:t>
            </w:r>
          </w:p>
        </w:tc>
      </w:tr>
      <w:tr>
        <w:tc>
          <w:tcPr>
            <w:tcW w:type="dxa" w:w="294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Pods das aplicações</w:t>
            </w:r>
          </w:p>
        </w:tc>
        <w:tc>
          <w:tcPr>
            <w:tcW w:type="dxa" w:w="6406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Running, zero reinicializações</w:t>
            </w:r>
          </w:p>
        </w:tc>
      </w:tr>
      <w:tr>
        <w:tc>
          <w:tcPr>
            <w:tcW w:type="dxa" w:w="294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Jobs SQL</w:t>
            </w:r>
          </w:p>
        </w:tc>
        <w:tc>
          <w:tcPr>
            <w:tcW w:type="dxa" w:w="6406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3/3 Succeeded</w:t>
            </w:r>
          </w:p>
        </w:tc>
      </w:tr>
      <w:tr>
        <w:tc>
          <w:tcPr>
            <w:tcW w:type="dxa" w:w="294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ClusterSecretStore</w:t>
            </w:r>
          </w:p>
        </w:tc>
        <w:tc>
          <w:tcPr>
            <w:tcW w:type="dxa" w:w="6406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Valid=True</w:t>
            </w:r>
          </w:p>
        </w:tc>
      </w:tr>
      <w:tr>
        <w:tc>
          <w:tcPr>
            <w:tcW w:type="dxa" w:w="294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ExternalSecrets</w:t>
            </w:r>
          </w:p>
        </w:tc>
        <w:tc>
          <w:tcPr>
            <w:tcW w:type="dxa" w:w="6406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4/4 SecretSynced=True</w:t>
            </w:r>
          </w:p>
        </w:tc>
      </w:tr>
      <w:tr>
        <w:tc>
          <w:tcPr>
            <w:tcW w:type="dxa" w:w="294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NLB</w:t>
            </w:r>
          </w:p>
        </w:tc>
        <w:tc>
          <w:tcPr>
            <w:tcW w:type="dxa" w:w="6406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active; 2/2 targets healthy em 80 e 443</w:t>
            </w:r>
          </w:p>
        </w:tc>
      </w:tr>
      <w:tr>
        <w:tc>
          <w:tcPr>
            <w:tcW w:type="dxa" w:w="2948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HPA evaluation</w:t>
            </w:r>
          </w:p>
        </w:tc>
        <w:tc>
          <w:tcPr>
            <w:tcW w:type="dxa" w:w="6406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1–5 réplicas; CPU alvo 30%</w:t>
            </w:r>
          </w:p>
        </w:tc>
      </w:tr>
      <w:tr>
        <w:tc>
          <w:tcPr>
            <w:tcW w:type="dxa" w:w="294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HPA analytics</w:t>
            </w:r>
          </w:p>
        </w:tc>
        <w:tc>
          <w:tcPr>
            <w:tcW w:type="dxa" w:w="6406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1–5 réplicas; CPU alvo 30%</w:t>
            </w:r>
          </w:p>
        </w:tc>
      </w:tr>
    </w:tbl>
    <w:p>
      <w:pPr>
        <w:spacing w:after="0"/>
      </w:pPr>
    </w:p>
    <w:p>
      <w:pPr>
        <w:pStyle w:val="Heading1"/>
      </w:pPr>
      <w:r>
        <w:t>10. Operação básica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kubectl get deployments -A</w:t>
              <w:br/>
              <w:t>kubectl get pods -A</w:t>
              <w:br/>
              <w:t>kubectl get externalsecret -A</w:t>
              <w:br/>
              <w:t>kubectl get hpa -A</w:t>
              <w:br/>
              <w:t>kubectl get ingress -A</w:t>
              <w:br/>
              <w:t>kubectl -n evaluation logs deployment/evaluation-service</w:t>
              <w:br/>
              <w:t>kubectl -n analytics logs deployment/analytics-service</w:t>
            </w:r>
          </w:p>
        </w:tc>
      </w:tr>
    </w:tbl>
    <w:p>
      <w:pPr>
        <w:spacing w:after="0"/>
      </w:pPr>
    </w:p>
    <w:p>
      <w:r>
        <w:t>Renderização local dos manifests, sem alterar o cluster: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kubectl kustomize .\k8s-aws</w:t>
            </w:r>
          </w:p>
        </w:tc>
      </w:tr>
    </w:tbl>
    <w:p>
      <w:pPr>
        <w:spacing w:after="0"/>
      </w:pPr>
    </w:p>
    <w:p>
      <w:pPr>
        <w:pStyle w:val="Heading1"/>
      </w:pPr>
      <w:r>
        <w:t>11. Próximas melhorias</w:t>
      </w:r>
    </w:p>
    <w:p>
      <w:pPr>
        <w:pStyle w:val="ListNumber"/>
        <w:spacing w:after="50"/>
      </w:pPr>
      <w:r>
        <w:t>Associar o NLB a um domínio no Route 53 e habilitar HTTPS com ACM.</w:t>
      </w:r>
    </w:p>
    <w:p>
      <w:pPr>
        <w:pStyle w:val="ListNumber"/>
        <w:spacing w:after="50"/>
      </w:pPr>
      <w:r>
        <w:t>Substituir LabRole/IMDS por Pod Identity ou IRSA.</w:t>
      </w:r>
    </w:p>
    <w:p>
      <w:pPr>
        <w:pStyle w:val="ListNumber"/>
        <w:spacing w:after="50"/>
      </w:pPr>
      <w:r>
        <w:t>Restringir as políticas IAM por microsserviço.</w:t>
      </w:r>
    </w:p>
    <w:p>
      <w:pPr>
        <w:pStyle w:val="ListNumber"/>
        <w:spacing w:after="50"/>
      </w:pPr>
      <w:r>
        <w:t>Centralizar métricas e logs no CloudWatch.</w:t>
      </w:r>
    </w:p>
    <w:p>
      <w:pPr>
        <w:pStyle w:val="ListNumber"/>
        <w:spacing w:after="50"/>
      </w:pPr>
      <w:r>
        <w:t>Criar um pipeline CI/CD para teste, ECR e rollout.</w:t>
      </w:r>
    </w:p>
    <w:p>
      <w:pPr>
        <w:pStyle w:val="ListNumber"/>
        <w:spacing w:after="50"/>
      </w:pPr>
      <w:r>
        <w:t>Revisar os pools de conexão dos serviços Python antes de testes de carga.</w:t>
      </w:r>
    </w:p>
    <w:p>
      <w:pPr>
        <w:pStyle w:val="Heading1"/>
      </w:pPr>
      <w:r>
        <w:t>12. Arquivos entregues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082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5272"/>
            <w:shd w:fill="232F3E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408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k8s-aws/</w:t>
            </w:r>
          </w:p>
        </w:tc>
        <w:tc>
          <w:tcPr>
            <w:tcW w:type="dxa" w:w="527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Manifests usados no EKS</w:t>
            </w:r>
          </w:p>
        </w:tc>
      </w:tr>
      <w:tr>
        <w:tc>
          <w:tcPr>
            <w:tcW w:type="dxa" w:w="408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k8s-aws.zip</w:t>
            </w:r>
          </w:p>
        </w:tc>
        <w:tc>
          <w:tcPr>
            <w:tcW w:type="dxa" w:w="527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Pacote sincronizado dos manifests</w:t>
            </w:r>
          </w:p>
        </w:tc>
      </w:tr>
      <w:tr>
        <w:tc>
          <w:tcPr>
            <w:tcW w:type="dxa" w:w="408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docker-compose.aws.yml</w:t>
            </w:r>
          </w:p>
        </w:tc>
        <w:tc>
          <w:tcPr>
            <w:tcW w:type="dxa" w:w="527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Execução das aplicações contra recursos AWS</w:t>
            </w:r>
          </w:p>
        </w:tc>
      </w:tr>
      <w:tr>
        <w:tc>
          <w:tcPr>
            <w:tcW w:type="dxa" w:w="408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docs/COMPOSE-AWS.md</w:t>
            </w:r>
          </w:p>
        </w:tc>
        <w:tc>
          <w:tcPr>
            <w:tcW w:type="dxa" w:w="527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Orientações do Compose AWS</w:t>
            </w:r>
          </w:p>
        </w:tc>
      </w:tr>
      <w:tr>
        <w:tc>
          <w:tcPr>
            <w:tcW w:type="dxa" w:w="408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docs/RELATORIO-IMPLANTACAO-AWS.md</w:t>
            </w:r>
          </w:p>
        </w:tc>
        <w:tc>
          <w:tcPr>
            <w:tcW w:type="dxa" w:w="5272"/>
            <w:shd w:fill="FFFFFF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Versão textual deste relatório</w:t>
            </w:r>
          </w:p>
        </w:tc>
      </w:tr>
      <w:tr>
        <w:tc>
          <w:tcPr>
            <w:tcW w:type="dxa" w:w="408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32F3E"/>
                <w:sz w:val="17"/>
              </w:rPr>
              <w:t>docs/Relatorio_Implantacao_AWS_ToggleMaster.docx</w:t>
            </w:r>
          </w:p>
        </w:tc>
        <w:tc>
          <w:tcPr>
            <w:tcW w:type="dxa" w:w="5272"/>
            <w:shd w:fill="F3F4F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Versão didática e visual em Word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354"/>
      </w:tblGrid>
      <w:tr>
        <w:tc>
          <w:tcPr>
            <w:tcW w:type="dxa" w:w="4989"/>
            <w:shd w:fill="15803D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/>
        </w:tc>
        <w:tc>
          <w:tcPr>
            <w:tcW w:type="dxa" w:w="4989"/>
            <w:shd w:fill="DCFCE7"/>
            <w:tcBorders>
              <w:top w:val="single" w:sz="0" w:color="DCFCE7"/>
              <w:left w:val="single" w:sz="0" w:color="DCFCE7"/>
              <w:bottom w:val="single" w:sz="0" w:color="DCFCE7"/>
              <w:right w:val="single" w:sz="0" w:color="DCFCE7"/>
              <w:insideH w:val="single" w:sz="0" w:color="DCFCE7"/>
              <w:insideV w:val="single" w:sz="0" w:color="DCFCE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5803D"/>
                <w:sz w:val="20"/>
              </w:rPr>
              <w:t>Conclusão</w:t>
            </w:r>
          </w:p>
          <w:p>
            <w:pPr>
              <w:spacing w:after="0"/>
            </w:pPr>
            <w:r>
              <w:rPr>
                <w:sz w:val="18"/>
              </w:rPr>
              <w:t>A arquitetura solicitada está implantada, funcional e documentada. O teste externo pelo NLB comprovou autenticação, flags, targeting, avaliação, mensageria e analytics.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146EB4"/>
        <w:sz w:val="16"/>
      </w:rPr>
      <w:t>TOGGLEMASTER  •  TECH CHALLENGE FASE 2  •  AWS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2F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6E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FF99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32F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/>
      <w:i/>
      <w:iCs/>
      <w:color w:val="146EB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42" w:right="142"/>
    </w:pPr>
    <w:rPr>
      <w:rFonts w:ascii="Consolas" w:hAnsi="Consolas"/>
      <w:color w:val="11182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