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Relações contratuais e o Direito Cibernético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Caro estudante, ao longo desta unidade você teve a oportunidade de compreender as características dos contratos eletrônicos, observando especialmente os requisitos de validade e os elementos de eficácia de tal forma de contratação.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 estudo de caso mostrará que além de serem válidos, os contratos eletrônicos podem ser munidos de uma força executiva, ou seja, representarem um título executivo extrajudicial.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Até março de 2020, antes da pandemia da covid-19, na prática contratual e jurídica havia muita resistência quanto à formação dos contratos por meio eletrônico, especialmente quando estávamos diante de contratações empresariais e paritárias (contratos negociados sem ser no formato por adesão).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Com o advento da pandemia da covid-19, os profissionais que eram resistentes à forma de contratação por meio eletrônico não tiveram outra solução, apenas a hipótese de aceitar os contratos eletrônicos, mas ainda com dúvidas acerca de sua validade e eficácia.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Você, como um futuro profissional especialista em direito cibernético, não pode ter esta dúvida. Os contratos eletrônicos são válidos e eficazes.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Desde a edição da Medida Provisória nº 2.200-2, ainda em vigor por força da Emenda Constitucional nº 32, foi regulada toda a criação de uma estrutura da internet no Brasil e a criação do ICP-Brasil, responsável pelo controle e emissão dos certificados digitais. Um documento assinado com um certificado digital terá a mesma validade e força, por ficção jurídica, de um documento público. Este é o texto do artigo 10 da Medida Provisória nº 2.200-2. Já no parágrafo 2º, do artigo 10 da MP nº 2.200-2 foi criada a possibilidade de as partes acordarem em relação à utilização de outras formas de assinaturas eletrônicas, independentemente do certificado digital emitido pelo ICP-Brasil, com a mesma validade e força dos documentos assinados com um certificado digital.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Portanto, os documentos eletrônicos com assinatura digital aceita pelas partes de forma expressa ou tácita, quando assim for possível constatar pela conduta reiterada das partes (boa-fé objetiva nos termos do artigo 422, Código Civil, combinado com o artigo 113, §1º, I, Código Civil), terá a mesma validade e força que um documento público (gênero), tendo plena validade e eficácia, inclusive com força executiva nos termos do artigo 784, II, Código de Processo Civil.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Como você viu, os chamados contratos inteligentes representam uma espécie do gênero contrato eletrônico, tendo características próprias. O contrato inteligente (</w:t>
      </w:r>
      <w:r>
        <w:rPr>
          <w:rStyle w:val="Emphasis"/>
        </w:rPr>
        <w:t>Smart Contract</w:t>
      </w:r>
      <w:r>
        <w:rPr/>
        <w:t>) é uma das formas de contratação por meio eletrônico, igualmente válido e eficaz, com base na legislação vigente no Brasil.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E como toda relação jurídica contratual está sujeita a conflitos e inadimplemento, você viu uma das soluções adequadas de conflitos, no caso, uma solução on-line de conflitos que já é aplicada globalmente há aproximadamente 20 anos: é a ODR – </w:t>
      </w:r>
      <w:r>
        <w:rPr>
          <w:rStyle w:val="Emphasis"/>
        </w:rPr>
        <w:t>Online Dispute Resolutions</w:t>
      </w:r>
      <w:r>
        <w:rPr/>
        <w:t> ou simplesmente soluções on-line de conflitos. E qual é a conexão das ODRs com os NTFs, blockchain e criptomoedas? No final da disciplina vimos este conteúdo.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Encerrando, compreendemos os conceitos e principais desafios às relações jurídicas com gamers.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Videoaula: Resumo da unidade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</w:p>
    <w:p>
      <w:pPr>
        <w:pStyle w:val="BodyText"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781800" cy="571500"/>
            <wp:effectExtent l="0" t="0" r="0" b="0"/>
            <wp:docPr id="2" name="Objeto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to1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</w:sectPr>
      </w:pP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Caro estudante, você está convidado a acompanhar nosso podcast, no qual você terá a oportunidade de revisar todos os principais temas e questões jurídicas relevantes do direito cibernético e que foram objeto de estudo nesta unidade.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Você terá acesso a uma conversa sobre os temas tratados, como os contratos eletrônicos, </w:t>
      </w:r>
      <w:r>
        <w:rPr>
          <w:rStyle w:val="Emphasis"/>
        </w:rPr>
        <w:t>Smart Contracts</w:t>
      </w:r>
      <w:r>
        <w:rPr/>
        <w:t>, soluções adequadas de conflitos e a nova cultura que todo profissional do direito deve buscar, ou seja, as soluções adequadas de conflitos como ferramenta de eficiência econômica. 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Estudo de caso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3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Caro estudante, tendo conhecido todo o conteúdo abordado até o momento, chegou o momento de colocarmos esse estudo em prática. Vamos lá?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Nestes estudos, vamos analisar o caso debatido no </w:t>
      </w:r>
      <w:hyperlink r:id="rId4" w:tgtFrame="_blank">
        <w:r>
          <w:rPr>
            <w:rStyle w:val="Hyperlink"/>
            <w:shd w:fill="auto" w:val="clear"/>
          </w:rPr>
          <w:t>Recurso Especial nº 1.495.920</w:t>
        </w:r>
      </w:hyperlink>
      <w:r>
        <w:rPr/>
        <w:t> do Superior Tribunal de Justiça.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Pelo texto do acordão, a matéria de fundo sob exame é possível de ser resumida como: um contrato eletrônico assinado digitalmente pelas partes é válido, eficaz e representa um título executivo extrajudicial?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O julgamento ocorreu em agosto de 2018, tendo o STJ decidido por maioria de votos que o contrato eletrônico é um título executivo extrajudicial, mesmo que não esteja assinado por duas testemunhas. Destacou-se que o contrato eletrônico assinado com certificado digital é imutável e de confiança, portanto, é um título líquido, certo e exigível.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Concordamos com a solução dada ao caso, mas discordamos dos fundamentos apontados, especialmente pela dispensa de duas testemunhas, já que o nosso sistema legal exige a cartularidade e os elementos típicos aos título, não cabendo, com todo o respeito, ao Poder Judiciário mudar a lei, esta, uma competência do legislativo.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_______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>
          <w:rStyle w:val="Strong"/>
        </w:rPr>
        <w:t>Reflita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Você deve identificar quais são os fundamentos legais que justificam o contrato eletrônico ser um título executivo extrajudicial, mesmo o contrato não tendo duas testemunhas, e sem alterar a lei vigente.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Para a solução do caso apresentado, você deve: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 w:end="0"/>
        <w:jc w:val="start"/>
        <w:rPr/>
      </w:pPr>
      <w:r>
        <w:rPr/>
        <w:t>Compreender os conceitos de um contrato eletrônico;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 w:end="0"/>
        <w:jc w:val="start"/>
        <w:rPr/>
      </w:pPr>
      <w:r>
        <w:rPr/>
        <w:t>Conhecer e analisar os requisitos de validade e eficácia da contratação eletrônica;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 w:end="0"/>
        <w:jc w:val="start"/>
        <w:rPr/>
      </w:pPr>
      <w:r>
        <w:rPr/>
        <w:t>Conhecer as principais normas de incidência sobre a relação jurídica eletrônica, especialmente a Teoria Geral dos Contratos e a Medida Provisória nº 2.200-2; e,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 w:end="0"/>
        <w:jc w:val="start"/>
        <w:rPr/>
      </w:pPr>
      <w:r>
        <w:rPr/>
        <w:t>Conhecer as regras processuais para a caracterização dos títulos executivos que podem instruir um processo de execução de título extrajudicial. 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spacing w:before="0" w:after="0"/>
        <w:ind w:hanging="0" w:start="0" w:end="0"/>
        <w:jc w:val="start"/>
        <w:rPr/>
      </w:pPr>
      <w:r>
        <w:rPr/>
        <w:t>Videoaula: Resolução do estudo de caso</w:t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</w:pPr>
    </w:p>
    <w:p>
      <w:pPr>
        <w:pStyle w:val="BodyText"/>
        <w:bidi w:val="0"/>
        <w:ind w:hanging="0" w:start="0" w:end="0"/>
        <w:jc w:val="start"/>
        <w:rPr/>
      </w:pPr>
      <w:r>
        <w:rPr/>
        <w:drawing>
          <wp:inline distT="0" distB="0" distL="0" distR="0">
            <wp:extent cx="6781800" cy="571500"/>
            <wp:effectExtent l="0" t="0" r="0" b="0"/>
            <wp:docPr id="4" name="Objeto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to2" descr="" title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</w:sectPr>
      </w:pP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Caro estudante, encontrou os fundamentos legais para a confirmação de que é possível a caracterização de um título executivo extrajudicial em um contrato eletrônico sem alterar o sistema processual do Código de Processo Civil de 2015?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Antes de analisarmos a resolução do caso, faça uma lista das principais dificuldades que encontrou – pode ser vocabulário, conceitos jurídicos prévios que você ainda não fixou, além de conceitos e da aplicação do que vimos.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Faça um mapa mental com os pontos de dúvida e levante o que você precisa pesquisar para chegar à resposta adequada. Você também deve elaborar um mapa mental dos conceitos e aplicações que você já domina e conhece.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Assim você fixará o conteúdo que já foi absorvido e identificará o que você deve estudar e revisar na unidade, além de outros conhecimentos prévios que eram necessários.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Passemos à resolução.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No caso em análise (REsp 1.495.920), o STJ, por maioria de votos, optou por decidir que um contrato eletrônico assinado com certificado digital representa um título executivo extrajudicial, mesmo sendo um instrumento particular e sem a assinatura de duas testemunhas. Decidiu desta forma por acreditar que o título seria imutável e com segurança e confiabilidade sobre as pessoas que firmaram o contrato, entendendo que seria possível desprezar a exigência de duas testemunhas previstas no inciso III do artigo 784, do Código de Processo Civil.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No entanto, a decisão acabou por desconsiderar a própria previsão do artigo 10 e seu parágrafo segundo da Medida Provisória nº 2.200-21. Vejamos: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Art. 10 Consideram-se documentos públicos ou particulares, para todos os fins legais, os documentos eletrônicos de que trata esta Medida Provisória.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1º </w:t>
      </w:r>
      <w:r>
        <w:rPr>
          <w:rStyle w:val="Emphasis"/>
        </w:rPr>
        <w:t>omissis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2º O disposto nesta Medida Provisória não obsta a utilização de outro meio de comprovação da autoria e integridade de documentos em forma eletrônica, inclusive os que utilizem certificados não emitidos pela ICP-Brasil, desde que admitido pelas partes como válido ou aceito pela pessoa a quem for oposto o documento.</w:t>
      </w:r>
    </w:p>
    <w:p>
      <w:pPr>
        <w:pStyle w:val="Blocodecitao"/>
        <w:bidi w:val="0"/>
        <w:spacing w:before="360" w:after="0"/>
        <w:ind w:hanging="0" w:start="567" w:end="567"/>
        <w:jc w:val="start"/>
        <w:rPr/>
      </w:pPr>
      <w:r>
        <w:rPr/>
        <w:t>O parágrafo segundo do artigo 10 da MP 2.200-2 expressa que ao permitir que as partes possam eleger qualquer outro meio de assinatura eletrônica a um contrato eletrônico, este terá a mesma força prevista no </w:t>
      </w:r>
      <w:r>
        <w:rPr>
          <w:rStyle w:val="Emphasis"/>
        </w:rPr>
        <w:t>caput</w:t>
      </w:r>
      <w:r>
        <w:rPr/>
        <w:t> do artigo 10.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Já o artigo 10 da MP 2.200-2 prevê que os documentos assinados com certificado digital terão a mesma força e eficácia, sejam eles públicos ou particulares, que passam a se equivaler para os devidos efeitos legais.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Assim, um contrato eletrônico com assinatura digital ou com certificado digital terá a mesma força de um contrato por instrumento público.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Já a previsão do inciso II do artigo 784 do Código de Processo Civil estabelece que o documento público assinado pelo devedor é um título executivo extrajudicial capaz de instruir um processo de execução. Nesta hipótese não há a exigência legal de inclusão de duas testemunhas, de forma que o título será executado sem a necessidade de adequação ou de desprezar a lei.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_______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1 Brasil. </w:t>
      </w:r>
      <w:hyperlink r:id="rId5" w:tgtFrame="_blank">
        <w:r>
          <w:rPr>
            <w:rStyle w:val="Hyperlink"/>
            <w:shd w:fill="auto" w:val="clear"/>
          </w:rPr>
          <w:t>Medida Provisória nº 2.200-2 de 24 de agosto de 2001</w:t>
        </w:r>
      </w:hyperlink>
      <w:r>
        <w:rPr/>
        <w:t>. Dispõe sobre Institui a Infra-Estrutura de Chaves Públicas Brasileira - ICP-Brasil, transforma o Instituto Nacional de Tecnologia da Informação em autarquia, e dá outras providências.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Resumo visual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5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Heading1"/>
        <w:bidi w:val="0"/>
        <w:jc w:val="start"/>
        <w:rPr/>
      </w:pPr>
      <w:r>
        <w:rPr/>
        <w:t>Referências</w:t>
      </w:r>
    </w:p>
    <w:p>
      <w:pPr>
        <w:pStyle w:val="BodyText"/>
        <w:bidi w:val="0"/>
        <w:spacing w:before="0" w:after="0"/>
        <w:ind w:hanging="0" w:start="0" w:end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0"/>
            <wp:effectExtent l="0" t="0" r="0" b="0"/>
            <wp:wrapSquare wrapText="largest"/>
            <wp:docPr id="9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Brasil. Medida Provisória nº 2.200-2 de 24 de agosto de 2001. Dispõe sobre Institui a Infra-Estrutura de Chaves Públicas Brasileira - ICP-Brasil, transforma o Instituto Nacional de Tecnologia da Informação em autarquia, e dá outras providências. Disponível em: </w:t>
      </w:r>
      <w:hyperlink r:id="rId11" w:tgtFrame="_blank">
        <w:r>
          <w:rPr>
            <w:rStyle w:val="Hyperlink"/>
            <w:shd w:fill="auto" w:val="clear"/>
          </w:rPr>
          <w:t>https://www.planalto.gov.br/ccivil_03/mpv/antigas_2001/2200-2.htm</w:t>
        </w:r>
      </w:hyperlink>
      <w:r>
        <w:rPr/>
        <w:t>. Acesso em 09.dez.2022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REBOUÇAS, R. F. </w:t>
      </w:r>
      <w:r>
        <w:rPr>
          <w:rStyle w:val="Strong"/>
        </w:rPr>
        <w:t>Contratos Eletrônicos:</w:t>
      </w:r>
      <w:r>
        <w:rPr/>
        <w:t> formação e validade. 2. ed. São Paulo: Almedina, 2018.</w:t>
      </w:r>
    </w:p>
    <w:p>
      <w:pPr>
        <w:pStyle w:val="BodyText"/>
        <w:bidi w:val="0"/>
        <w:spacing w:before="360" w:after="0"/>
        <w:ind w:hanging="0" w:start="0" w:end="0"/>
        <w:jc w:val="start"/>
        <w:rPr/>
      </w:pPr>
      <w:r>
        <w:rPr/>
        <w:t>REBOUÇAS, R. F. Contratos Eletrônicos e sua Força Executiva. </w:t>
      </w:r>
      <w:r>
        <w:rPr>
          <w:rStyle w:val="Strong"/>
        </w:rPr>
        <w:t>Revista Científica Virtual da Escola Superior da Advocacia</w:t>
      </w:r>
      <w:r>
        <w:rPr/>
        <w:t>, nº 35, 2020 (Direito, Inovação e Tecnologia: desafios da economia 4.0). Disponível em: </w:t>
      </w:r>
      <w:hyperlink r:id="rId12" w:tgtFrame="_blank">
        <w:r>
          <w:rPr>
            <w:rStyle w:val="Hyperlink"/>
            <w:shd w:fill="auto" w:val="clear"/>
          </w:rPr>
          <w:t>https://issuu.com/esa_oabsp/docs/revista_completa</w:t>
        </w:r>
      </w:hyperlink>
      <w:r>
        <w:rPr/>
        <w:t>. Acesso em: 23 nov. 2022. </w:t>
      </w:r>
    </w:p>
    <w:p>
      <w:pPr>
        <w:pStyle w:val="Normal"/>
        <w:bidi w:val="0"/>
        <w:jc w:val="start"/>
        <w:rPr/>
      </w:pPr>
      <w:r>
        <w:rPr/>
      </w:r>
    </w:p>
    <w:sectPr>
      <w:type w:val="continuous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/>
    <w:family w:val="swiss"/>
    <w:pitch w:val="default"/>
  </w:font>
  <w:font w:name="OpenSymbol">
    <w:altName w:val="Arial Unicode MS"/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Noto Serif CJK SC" w:cs="Noto Sans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Arial" w:hAnsi="Arial" w:eastAsia="Noto Serif CJK SC" w:cs="Noto Sans Devanagari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Ttulo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Arial" w:hAnsi="Arial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Arial" w:hAnsi="Arial"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Arial" w:hAnsi="Arial" w:cs="Noto Sans Devanagari"/>
    </w:rPr>
  </w:style>
  <w:style w:type="paragraph" w:styleId="Blocodecitao">
    <w:name w:val="Bloco de citação"/>
    <w:basedOn w:val="Normal"/>
    <w:qFormat/>
    <w:pPr>
      <w:spacing w:before="0" w:after="283"/>
      <w:ind w:hanging="0" w:start="567" w:end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processo.stj.jus.br/processo/revista/documento/mediado/?componente=ITA&amp;sequencial=1698344&amp;num_registro=201402953009&amp;data=20180607&amp;formato=PDF" TargetMode="External"/><Relationship Id="rId5" Type="http://schemas.openxmlformats.org/officeDocument/2006/relationships/hyperlink" Target="https://www.planalto.gov.br/ccivil_03/mpv/antigas_2001/2200-2.htm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www.planalto.gov.br/ccivil_03/mpv/antigas_2001/2200-2.htm" TargetMode="External"/><Relationship Id="rId12" Type="http://schemas.openxmlformats.org/officeDocument/2006/relationships/hyperlink" Target="https://issuu.com/esa_oabsp/docs/revista_completa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LibreOffice/24.2.2.2$Linux_X86_64 LibreOffice_project/420$Build-2</Application>
  <AppVersion>15.0000</AppVersion>
  <Pages>8</Pages>
  <Words>1476</Words>
  <Characters>8169</Characters>
  <CharactersWithSpaces>9600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2024-05-06T21:31:57Z</dcterms:created>
  <dc:creator/>
  <dc:description/>
  <dc:language>pt-BR</dc:language>
  <cp:lastModifiedBy/>
  <dcterms:modified xsi:type="dcterms:W3CDTF">2024-05-06T21:33:57Z</dcterms:modified>
  <cp:revision>1</cp:revision>
  <dc:subject/>
  <dc:title/>
</cp:coreProperties>
</file>