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Override PartName="/word/footnotes.xml" ContentType="application/vnd.openxmlformats-officedocument.wordprocessingml.footnot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ageBreakBefore w:val="0"/>
        <w:spacing w:before="800"/>
        <w:jc w:val="center"/>
      </w:pPr>
      <w:r>
        <w:rPr>
          <w:rFonts w:ascii="Arial" w:hAnsi="Arial" w:eastAsia="Noto Sans CJK KR"/>
          <w:b w:val="0"/>
          <w:sz w:val="24"/>
        </w:rPr>
        <w:t>국제통상 학술연구보고서</w:t>
      </w:r>
    </w:p>
    <w:p>
      <w:pPr>
        <w:pageBreakBefore w:val="0"/>
        <w:spacing w:before="360" w:line="540" w:lineRule="exact"/>
        <w:jc w:val="center"/>
      </w:pPr>
      <w:r>
        <w:rPr>
          <w:rFonts w:ascii="Arial" w:hAnsi="Arial" w:eastAsia="Noto Sans CJK KR"/>
          <w:b/>
          <w:sz w:val="34"/>
        </w:rPr>
        <w:t>크라우드펀딩을 활용한 유통 구조 형성 및 마케팅 전략 연구</w:t>
      </w:r>
    </w:p>
    <w:p>
      <w:pPr>
        <w:pageBreakBefore w:val="0"/>
        <w:spacing w:before="240"/>
        <w:jc w:val="center"/>
      </w:pPr>
      <w:r>
        <w:rPr>
          <w:rFonts w:ascii="Arial" w:hAnsi="Arial" w:eastAsia="Noto Sans CJK KR"/>
          <w:b w:val="0"/>
          <w:sz w:val="18"/>
        </w:rPr>
        <w:t>대만 Bone Collection 제품의 수입 추진과 구매 전환 제약을 중심으로</w:t>
      </w:r>
    </w:p>
    <w:p>
      <w:pPr>
        <w:spacing w:before="700" w:line="240" w:lineRule="auto"/>
        <w:jc w:val="center"/>
      </w:pPr>
      <w:r>
        <w:drawing>
          <wp:inline xmlns:a="http://schemas.openxmlformats.org/drawingml/2006/main" xmlns:pic="http://schemas.openxmlformats.org/drawingml/2006/picture">
            <wp:extent cx="3240000" cy="3249730"/>
            <wp:docPr id="1" name="Picture 1"/>
            <wp:cNvGraphicFramePr>
              <a:graphicFrameLocks noChangeAspect="1"/>
            </wp:cNvGraphicFramePr>
            <a:graphic>
              <a:graphicData uri="http://schemas.openxmlformats.org/drawingml/2006/picture">
                <pic:pic>
                  <pic:nvPicPr>
                    <pic:cNvPr id="0" name="M01_01.png"/>
                    <pic:cNvPicPr/>
                  </pic:nvPicPr>
                  <pic:blipFill>
                    <a:blip r:embed="rId10"/>
                    <a:stretch>
                      <a:fillRect/>
                    </a:stretch>
                  </pic:blipFill>
                  <pic:spPr>
                    <a:xfrm>
                      <a:off x="0" y="0"/>
                      <a:ext cx="3240000" cy="3249730"/>
                    </a:xfrm>
                    <a:prstGeom prst="rect"/>
                  </pic:spPr>
                </pic:pic>
              </a:graphicData>
            </a:graphic>
          </wp:inline>
        </w:drawing>
      </w:r>
    </w:p>
    <w:p>
      <w:pPr>
        <w:pageBreakBefore w:val="0"/>
        <w:spacing w:before="500"/>
        <w:jc w:val="center"/>
      </w:pPr>
      <w:r>
        <w:rPr>
          <w:rFonts w:ascii="Arial" w:hAnsi="Arial" w:eastAsia="Noto Sans CJK KR"/>
          <w:b w:val="0"/>
          <w:sz w:val="28"/>
        </w:rPr>
        <w:t>아주대학교 국제통상 연구회</w:t>
      </w:r>
    </w:p>
    <w:p>
      <w:pPr>
        <w:pageBreakBefore w:val="0"/>
        <w:spacing w:before="300"/>
        <w:jc w:val="center"/>
      </w:pPr>
      <w:r>
        <w:rPr>
          <w:rFonts w:ascii="Arial" w:hAnsi="Arial" w:eastAsia="Noto Sans CJK KR"/>
          <w:b w:val="0"/>
          <w:sz w:val="22"/>
        </w:rPr>
        <w:t>2026</w:t>
      </w:r>
    </w:p>
    <w:p>
      <w:pPr>
        <w:pStyle w:val="Heading1"/>
        <w:pageBreakBefore/>
        <w:spacing w:before="0"/>
      </w:pPr>
      <w:r>
        <w:rPr>
          <w:rFonts w:ascii="Arial" w:hAnsi="Arial" w:eastAsia="Noto Sans CJK KR"/>
          <w:b/>
          <w:sz w:val="24"/>
        </w:rPr>
        <w:t>목차</w:t>
      </w:r>
    </w:p>
    <w:p>
      <w:pPr>
        <w:pageBreakBefore w:val="0"/>
        <w:spacing w:before="120"/>
        <w:ind w:left="0"/>
      </w:pPr>
      <w:r>
        <w:rPr>
          <w:rFonts w:ascii="Arial" w:hAnsi="Arial" w:eastAsia="Noto Sans CJK KR"/>
          <w:b/>
          <w:sz w:val="20"/>
        </w:rPr>
        <w:t>Ⅰ. 요약</w:t>
      </w:r>
    </w:p>
    <w:p>
      <w:pPr>
        <w:pageBreakBefore w:val="0"/>
        <w:spacing w:before="120"/>
        <w:ind w:left="0"/>
      </w:pPr>
      <w:r>
        <w:rPr>
          <w:rFonts w:ascii="Arial" w:hAnsi="Arial" w:eastAsia="Noto Sans CJK KR"/>
          <w:b/>
          <w:sz w:val="20"/>
        </w:rPr>
        <w:t>Ⅱ. 서론</w:t>
      </w:r>
    </w:p>
    <w:p>
      <w:pPr>
        <w:pageBreakBefore w:val="0"/>
        <w:spacing w:before="60"/>
        <w:ind w:left="198"/>
      </w:pPr>
      <w:r>
        <w:rPr>
          <w:rFonts w:ascii="Arial" w:hAnsi="Arial" w:eastAsia="Noto Sans CJK KR"/>
          <w:b w:val="0"/>
          <w:sz w:val="20"/>
        </w:rPr>
        <w:t>2-1. 연구 배경 및 필요성</w:t>
      </w:r>
    </w:p>
    <w:p>
      <w:pPr>
        <w:pageBreakBefore w:val="0"/>
        <w:spacing w:before="60"/>
        <w:ind w:left="198"/>
      </w:pPr>
      <w:r>
        <w:rPr>
          <w:rFonts w:ascii="Arial" w:hAnsi="Arial" w:eastAsia="Noto Sans CJK KR"/>
          <w:b w:val="0"/>
          <w:sz w:val="20"/>
        </w:rPr>
        <w:t>2-2. 연구 목적</w:t>
      </w:r>
    </w:p>
    <w:p>
      <w:pPr>
        <w:pageBreakBefore w:val="0"/>
        <w:spacing w:before="120"/>
        <w:ind w:left="0"/>
      </w:pPr>
      <w:r>
        <w:rPr>
          <w:rFonts w:ascii="Arial" w:hAnsi="Arial" w:eastAsia="Noto Sans CJK KR"/>
          <w:b/>
          <w:sz w:val="20"/>
        </w:rPr>
        <w:t>Ⅲ. 이론적 배경</w:t>
      </w:r>
    </w:p>
    <w:p>
      <w:pPr>
        <w:pageBreakBefore w:val="0"/>
        <w:spacing w:before="60"/>
        <w:ind w:left="198"/>
      </w:pPr>
      <w:r>
        <w:rPr>
          <w:rFonts w:ascii="Arial" w:hAnsi="Arial" w:eastAsia="Noto Sans CJK KR"/>
          <w:b w:val="0"/>
          <w:sz w:val="20"/>
        </w:rPr>
        <w:t>3-1. 한국 크라우드펀딩 시장 현황</w:t>
      </w:r>
    </w:p>
    <w:p>
      <w:pPr>
        <w:pageBreakBefore w:val="0"/>
        <w:spacing w:before="60"/>
        <w:ind w:left="198"/>
      </w:pPr>
      <w:r>
        <w:rPr>
          <w:rFonts w:ascii="Arial" w:hAnsi="Arial" w:eastAsia="Noto Sans CJK KR"/>
          <w:b w:val="0"/>
          <w:sz w:val="20"/>
        </w:rPr>
        <w:t>3-2. 한국 친환경 소비 트렌드</w:t>
      </w:r>
    </w:p>
    <w:p>
      <w:pPr>
        <w:pageBreakBefore w:val="0"/>
        <w:spacing w:before="60"/>
        <w:ind w:left="198"/>
      </w:pPr>
      <w:r>
        <w:rPr>
          <w:rFonts w:ascii="Arial" w:hAnsi="Arial" w:eastAsia="Noto Sans CJK KR"/>
          <w:b w:val="0"/>
          <w:sz w:val="20"/>
        </w:rPr>
        <w:t>3-3. 국내 유사 제품의 와디즈 사례 분석</w:t>
      </w:r>
    </w:p>
    <w:p>
      <w:pPr>
        <w:pageBreakBefore w:val="0"/>
        <w:spacing w:before="60"/>
        <w:ind w:left="198"/>
      </w:pPr>
      <w:r>
        <w:rPr>
          <w:rFonts w:ascii="Arial" w:hAnsi="Arial" w:eastAsia="Noto Sans CJK KR"/>
          <w:b w:val="0"/>
          <w:sz w:val="20"/>
        </w:rPr>
        <w:t>3-4. 선행연구와 연구의 분석 관점</w:t>
      </w:r>
    </w:p>
    <w:p>
      <w:pPr>
        <w:pageBreakBefore w:val="0"/>
        <w:spacing w:before="120"/>
        <w:ind w:left="0"/>
      </w:pPr>
      <w:r>
        <w:rPr>
          <w:rFonts w:ascii="Arial" w:hAnsi="Arial" w:eastAsia="Noto Sans CJK KR"/>
          <w:b/>
          <w:sz w:val="20"/>
        </w:rPr>
        <w:t>Ⅳ. 사전 준비(국내)</w:t>
      </w:r>
    </w:p>
    <w:p>
      <w:pPr>
        <w:pageBreakBefore w:val="0"/>
        <w:spacing w:before="60"/>
        <w:ind w:left="198"/>
      </w:pPr>
      <w:r>
        <w:rPr>
          <w:rFonts w:ascii="Arial" w:hAnsi="Arial" w:eastAsia="Noto Sans CJK KR"/>
          <w:b w:val="0"/>
          <w:sz w:val="20"/>
        </w:rPr>
        <w:t>4-1. Bone Collection 브랜드·제품 분석 및 기업 컨택</w:t>
      </w:r>
    </w:p>
    <w:p>
      <w:pPr>
        <w:pageBreakBefore w:val="0"/>
        <w:spacing w:before="60"/>
        <w:ind w:left="198"/>
      </w:pPr>
      <w:r>
        <w:rPr>
          <w:rFonts w:ascii="Arial" w:hAnsi="Arial" w:eastAsia="Noto Sans CJK KR"/>
          <w:b w:val="0"/>
          <w:sz w:val="20"/>
        </w:rPr>
        <w:t>4-2. 국내 경쟁 제품 분석 및 차별성</w:t>
      </w:r>
    </w:p>
    <w:p>
      <w:pPr>
        <w:pageBreakBefore w:val="0"/>
        <w:spacing w:before="60"/>
        <w:ind w:left="198"/>
      </w:pPr>
      <w:r>
        <w:rPr>
          <w:rFonts w:ascii="Arial" w:hAnsi="Arial" w:eastAsia="Noto Sans CJK KR"/>
          <w:b w:val="0"/>
          <w:sz w:val="20"/>
        </w:rPr>
        <w:t>4-3. 타겟 소비자 설정 및 페르소나</w:t>
      </w:r>
    </w:p>
    <w:p>
      <w:pPr>
        <w:pageBreakBefore w:val="0"/>
        <w:spacing w:before="60"/>
        <w:ind w:left="198"/>
      </w:pPr>
      <w:r>
        <w:rPr>
          <w:rFonts w:ascii="Arial" w:hAnsi="Arial" w:eastAsia="Noto Sans CJK KR"/>
          <w:b w:val="0"/>
          <w:sz w:val="20"/>
        </w:rPr>
        <w:t>4-4. 가격·유통·마케팅 전략</w:t>
      </w:r>
    </w:p>
    <w:p>
      <w:pPr>
        <w:pageBreakBefore w:val="0"/>
        <w:spacing w:before="120"/>
        <w:ind w:left="0"/>
      </w:pPr>
      <w:r>
        <w:rPr>
          <w:rFonts w:ascii="Arial" w:hAnsi="Arial" w:eastAsia="Noto Sans CJK KR"/>
          <w:b/>
          <w:sz w:val="20"/>
        </w:rPr>
        <w:t>Ⅴ. 와디즈 펀딩 실행</w:t>
      </w:r>
    </w:p>
    <w:p>
      <w:pPr>
        <w:pageBreakBefore w:val="0"/>
        <w:spacing w:before="60"/>
        <w:ind w:left="198"/>
      </w:pPr>
      <w:r>
        <w:rPr>
          <w:rFonts w:ascii="Arial" w:hAnsi="Arial" w:eastAsia="Noto Sans CJK KR"/>
          <w:b w:val="0"/>
          <w:sz w:val="20"/>
        </w:rPr>
        <w:t>5-1. 펀딩 상세페이지 구성</w:t>
      </w:r>
    </w:p>
    <w:p>
      <w:pPr>
        <w:pageBreakBefore w:val="0"/>
        <w:spacing w:before="60"/>
        <w:ind w:left="198"/>
      </w:pPr>
      <w:r>
        <w:rPr>
          <w:rFonts w:ascii="Arial" w:hAnsi="Arial" w:eastAsia="Noto Sans CJK KR"/>
          <w:b w:val="0"/>
          <w:sz w:val="20"/>
        </w:rPr>
        <w:t>5-2. SNS 마케팅 및 펀딩 운영</w:t>
      </w:r>
    </w:p>
    <w:p>
      <w:pPr>
        <w:pageBreakBefore w:val="0"/>
        <w:spacing w:before="60"/>
        <w:ind w:left="198"/>
      </w:pPr>
      <w:r>
        <w:rPr>
          <w:rFonts w:ascii="Arial" w:hAnsi="Arial" w:eastAsia="Noto Sans CJK KR"/>
          <w:b w:val="0"/>
          <w:sz w:val="20"/>
        </w:rPr>
        <w:t>5-3. 펀딩 결과 분석</w:t>
      </w:r>
    </w:p>
    <w:p>
      <w:pPr>
        <w:pageBreakBefore w:val="0"/>
        <w:spacing w:before="60"/>
        <w:ind w:left="198"/>
      </w:pPr>
      <w:r>
        <w:rPr>
          <w:rFonts w:ascii="Arial" w:hAnsi="Arial" w:eastAsia="Noto Sans CJK KR"/>
          <w:b w:val="0"/>
          <w:sz w:val="20"/>
        </w:rPr>
        <w:t>5-4. 공급조건과 비용 구조를 반영한 수입 실행 가능성</w:t>
      </w:r>
    </w:p>
    <w:p>
      <w:pPr>
        <w:pageBreakBefore w:val="0"/>
        <w:spacing w:before="120"/>
        <w:ind w:left="0"/>
      </w:pPr>
      <w:r>
        <w:rPr>
          <w:rFonts w:ascii="Arial" w:hAnsi="Arial" w:eastAsia="Noto Sans CJK KR"/>
          <w:b/>
          <w:sz w:val="20"/>
        </w:rPr>
        <w:t>Ⅵ. 대만 현지 조사</w:t>
      </w:r>
    </w:p>
    <w:p>
      <w:pPr>
        <w:pageBreakBefore w:val="0"/>
        <w:spacing w:before="60"/>
        <w:ind w:left="198"/>
      </w:pPr>
      <w:r>
        <w:rPr>
          <w:rFonts w:ascii="Arial" w:hAnsi="Arial" w:eastAsia="Noto Sans CJK KR"/>
          <w:b w:val="0"/>
          <w:sz w:val="20"/>
        </w:rPr>
        <w:t>6-1. 현지 매장 조사</w:t>
      </w:r>
    </w:p>
    <w:p>
      <w:pPr>
        <w:pageBreakBefore w:val="0"/>
        <w:spacing w:before="60"/>
        <w:ind w:left="198"/>
      </w:pPr>
      <w:r>
        <w:rPr>
          <w:rFonts w:ascii="Arial" w:hAnsi="Arial" w:eastAsia="Noto Sans CJK KR"/>
          <w:b w:val="0"/>
          <w:sz w:val="20"/>
        </w:rPr>
        <w:t>6-2. 기업 본사 미팅</w:t>
      </w:r>
    </w:p>
    <w:p>
      <w:pPr>
        <w:pageBreakBefore w:val="0"/>
        <w:spacing w:before="60"/>
        <w:ind w:left="198"/>
      </w:pPr>
      <w:r>
        <w:rPr>
          <w:rFonts w:ascii="Arial" w:hAnsi="Arial" w:eastAsia="Noto Sans CJK KR"/>
          <w:b w:val="0"/>
          <w:sz w:val="20"/>
        </w:rPr>
        <w:t>6-3. 현지 인터뷰 및 한국 시장과 비교</w:t>
      </w:r>
    </w:p>
    <w:p>
      <w:pPr>
        <w:pageBreakBefore w:val="0"/>
        <w:spacing w:before="120"/>
        <w:ind w:left="0"/>
      </w:pPr>
      <w:r>
        <w:rPr>
          <w:rFonts w:ascii="Arial" w:hAnsi="Arial" w:eastAsia="Noto Sans CJK KR"/>
          <w:b/>
          <w:sz w:val="20"/>
        </w:rPr>
        <w:t>Ⅶ. 종합 분석 및 전략적 제언</w:t>
      </w:r>
    </w:p>
    <w:p>
      <w:pPr>
        <w:pageBreakBefore w:val="0"/>
        <w:spacing w:before="120"/>
        <w:ind w:left="0"/>
      </w:pPr>
      <w:r>
        <w:rPr>
          <w:rFonts w:ascii="Arial" w:hAnsi="Arial" w:eastAsia="Noto Sans CJK KR"/>
          <w:b/>
          <w:sz w:val="20"/>
        </w:rPr>
        <w:t>Ⅷ. 참고문헌</w:t>
      </w:r>
    </w:p>
    <w:p>
      <w:pPr>
        <w:pStyle w:val="Heading1"/>
        <w:pageBreakBefore/>
        <w:spacing w:before="0"/>
      </w:pPr>
      <w:r>
        <w:rPr>
          <w:rFonts w:ascii="Arial" w:hAnsi="Arial" w:eastAsia="Noto Sans CJK KR"/>
          <w:b/>
          <w:sz w:val="24"/>
        </w:rPr>
        <w:t>Ⅰ. 요약</w:t>
      </w:r>
    </w:p>
    <w:p>
      <w:pPr>
        <w:pageBreakBefore w:val="0"/>
        <w:widowControl/>
        <w:spacing w:before="248"/>
      </w:pPr>
      <w:r>
        <w:rPr>
          <w:rFonts w:ascii="Arial" w:hAnsi="Arial" w:eastAsia="Noto Sans CJK KR"/>
          <w:b w:val="0"/>
          <w:sz w:val="20"/>
        </w:rPr>
        <w:t>본 연구는 대만 로컬 브랜드 제품의 한국 시장 진입 가능성을 확인하고, 크라우드펀딩을 활용한 새로운 유통 구조 형성 가능성을 분석하는 것을 목적으로 진행되었다. 최근 한국 소비자 사이에서 대만 여행, 음식, 캐릭터 상품, 라이프스타일 소품 등에 대한 관심이 확대되고 있으며, 대만 브랜드 특유의 아기자기한 디자인과 실용적 감성은 국내 소비자에게 새로운 선택지로 주목받고 있다. 그러나 대만의 다양한 로컬 제품은 복잡한 수입 절차, 물류 비용, 현지 유통망 확보의 어려움 등으로 인해 한국 시장에 충분히 소개되지 못하고 있다. 이에 본 연구팀은 대만 현지 브랜드 제품을 직접 발굴하고, 이를 한국 시장에 소개하는 실질적 유통 과정을 수행하고자 하였다.</w:t>
      </w:r>
    </w:p>
    <w:p>
      <w:pPr>
        <w:pageBreakBefore w:val="0"/>
        <w:widowControl/>
        <w:spacing w:before="241"/>
      </w:pPr>
      <w:r>
        <w:rPr>
          <w:rFonts w:ascii="Arial" w:hAnsi="Arial" w:eastAsia="Noto Sans CJK KR"/>
          <w:b w:val="0"/>
          <w:sz w:val="20"/>
        </w:rPr>
        <w:t>본 연구의 대상은 대만 디자인 브랜드 Bone Collection의 Cup Tie 2이다. Cup Tie 2는 테이크아웃 음료컵이나 텀블러에 끼워 사용하는 실리콘 컵 스트랩으로, 음료를 손에 들지 않고 가볍게 휴대할 수 있도록 돕는 생활소품이다. 본 연구팀은 해당 제품이 대만의 발달된 테이크아웃 음료 문화와 실용적 디자인 감성을 반영하고 있으며, 한국 소비자의 감성 소비, 친환경 소비, 라이프스타일 소품 소비 경향과도 연결될 수 있다고 판단하였다. 이에 따라 Bone Collection 본사와 직접 연락하여 제품 가격, 최소 주문 수량, 배송 조건, 샘플 제공 여부, 리드타임 등 실제 수입과 판매에 필요한 조건을 확인하였다.</w:t>
      </w:r>
    </w:p>
    <w:p>
      <w:pPr>
        <w:pageBreakBefore w:val="0"/>
        <w:widowControl/>
        <w:spacing w:before="241"/>
      </w:pPr>
      <w:r>
        <w:rPr>
          <w:rFonts w:ascii="Arial" w:hAnsi="Arial" w:eastAsia="Noto Sans CJK KR"/>
          <w:b w:val="0"/>
          <w:sz w:val="20"/>
        </w:rPr>
        <w:t>국내 시장 진입 방식으로는 와디즈 크라우드펀딩을 활용하였다. 크라우드펀딩은 초기 재고 부담을 줄이면서 소비자의 사전 반응을 확인할 수 있다는 장점이 있으며, 해외 로컬 브랜드 제품의 시장성을 검증하는 데 적합한 유통 방식이다. 연구팀은 Cup Tie 2의 제품 특성과 한국 소비자 특성을 고려하여 상세페이지를 제작하고, 제품의 기능성, 휴대성, 캐릭터 디자인, 사용 장면, 호환 가능 컵, Q&amp;A 등을 시각 중심으로 구성하였다. 또한 ‘버블타이’, ‘냥타이’, ‘꿱타이’ 등 한국 소비자가 직관적으로 이해하고 기억할 수 있는 현지화 네이밍을 적용하여 제품의 친숙도를 높이고자 하였다.</w:t>
      </w:r>
    </w:p>
    <w:p>
      <w:pPr>
        <w:pageBreakBefore w:val="0"/>
        <w:widowControl/>
        <w:spacing w:before="241"/>
      </w:pPr>
      <w:r>
        <w:rPr>
          <w:rFonts w:ascii="Arial" w:hAnsi="Arial" w:eastAsia="Noto Sans CJK KR"/>
          <w:b w:val="0"/>
          <w:sz w:val="20"/>
        </w:rPr>
        <w:t>와디즈 펀딩 결과, 본 프로젝트는 2026년 6월 27일 기준 누적 예약결제액 437,900원, 목표 달성률 8%, 누적 예약결제 수 7건, 평균 객단가 62,557원을 기록하였다. 목표 금액 달성에는 실패하였으나, 전체 유입자 수 547명과 알림신청자 157명을 확보하여 한국 소비자의 초기 관심을 확인할 수 있었다. 유입 구조에서는 와디즈 내부 탐색 비중이 68.7%, 외부 유입 비중이 31.3%로 나타났으며, 성별 기준으로는 여성 58.4%, 남성 41.6%의 관심 비중을 보였다. 또한 연령대별로는 35~44세와 45~54세 구간에서 비교적 높은 관심이 확인되었다.</w:t>
      </w:r>
    </w:p>
    <w:p>
      <w:pPr>
        <w:pageBreakBefore w:val="0"/>
        <w:widowControl/>
        <w:spacing w:before="241"/>
      </w:pPr>
      <w:r>
        <w:rPr>
          <w:rFonts w:ascii="Arial" w:hAnsi="Arial" w:eastAsia="Noto Sans CJK KR"/>
          <w:b w:val="0"/>
          <w:sz w:val="20"/>
        </w:rPr>
        <w:t>이번 펀딩 결과는 Cup Tie 2에 대한 관심이 실제 구매로 이어지는 과정에서 한계가 존재했음을 보여준다. 전체 유입자 대비 예약결제 전환율은 약 1.3% 수준으로 낮게 나타났으며, 응원·의견·체험리뷰와 새소식 댓글 등 소비자 상호작용 지표도 활발하게 형성되지 못하였다. 이는 제품 자체에 대한 초기 호기심은 존재했으나, 생소한 해외 브랜드에 대한 낮은 인지도, 제한적인 외부 유입, 구매 필요성 전달의 한계 등이 복합적으로 작용했기 때문으로 해석할 수 있다. 따라서 본 펀딩은 판매 성과보다는 한국 시장에서의 초기 반응과 전환 과정의 한계를 확인한 파일럿 테스트로서 의미가 있다.</w:t>
      </w:r>
    </w:p>
    <w:p>
      <w:pPr>
        <w:pageBreakBefore w:val="0"/>
        <w:widowControl/>
        <w:spacing w:before="241"/>
      </w:pPr>
      <w:r>
        <w:rPr>
          <w:rFonts w:ascii="Arial" w:hAnsi="Arial" w:eastAsia="Noto Sans CJK KR"/>
          <w:b w:val="0"/>
          <w:sz w:val="20"/>
        </w:rPr>
        <w:t>대만 현지 조사에서는 Cup Tie 2와 유사한 컵캐리어 문화가 대만의 테이크아웃 음료 소비와 밀접하게 연결되어 있음을 확인하고자 하였다. 대만은 버블티와 수제 음료 문화가 일상화된 지역으로, 음료를 휴대하는 방식 또한 하나의 생활문화로 자리 잡고 있다. 연구팀은 현지 매장 조사, 소비자 관찰, Bone Collection 본사 미팅을 통해 제품이 탄생한 문화적 배경과 현지 소비자 사용 맥락을 확인하고, 이를 한국 시장의 소비 환경과 비교하였다. 이를 통해 동일한 제품이라도 시장별 음료 소비문화, 브랜드 인지도, 디자인 선호, 유통 채널에 따라 소비자 반응이 달라질 수 있음을 확인하였다.</w:t>
      </w:r>
    </w:p>
    <w:p>
      <w:pPr>
        <w:pageBreakBefore w:val="0"/>
        <w:widowControl/>
        <w:spacing w:before="241"/>
      </w:pPr>
      <w:r>
        <w:rPr>
          <w:rFonts w:ascii="Arial" w:hAnsi="Arial" w:eastAsia="Noto Sans CJK KR"/>
          <w:b w:val="0"/>
          <w:sz w:val="20"/>
        </w:rPr>
        <w:t>종합적으로 본 연구는 대만 로컬 브랜드 제품을 한국 시장 진입을 위한 준비와 펀딩을 직접 추진했다는 점에서 의의를 가진다. 연구팀은 제품 발굴, 기업 컨택, 가격 및 물류 조건 검토, 크라우드펀딩 상세페이지 제작, SNS 마케팅, 펀딩 운영, 결과 분석, 현지 조사까지 이어지는 실무적 과정을 경험하였다. 비록 와디즈 펀딩은 목표 달성에 실패하였지만, 한국 소비자의 초기 관심과 구매 전환의 한계를 수치로 확인할 수 있었으며, 향후 대만 로컬 브랜드가 한국 시장에 진입하기 위해서는 브랜드 신뢰 형성, 외부 유입 확대, 제품 현지화, 타겟 소비자 재설정, 캐릭터 및 선물용 요소 강화가 필요하다는 시사점을 도출할 수 있었다.</w:t>
      </w:r>
    </w:p>
    <w:p>
      <w:pPr>
        <w:pStyle w:val="Heading1"/>
        <w:pageBreakBefore/>
        <w:spacing w:before="0"/>
      </w:pPr>
      <w:r>
        <w:rPr>
          <w:rFonts w:ascii="Arial" w:hAnsi="Arial" w:eastAsia="Noto Sans CJK KR"/>
          <w:b/>
          <w:sz w:val="24"/>
        </w:rPr>
        <w:t>Ⅱ. 서론</w:t>
      </w:r>
    </w:p>
    <w:p>
      <w:pPr>
        <w:pStyle w:val="Heading2"/>
        <w:pageBreakBefore w:val="0"/>
        <w:spacing w:before="212"/>
      </w:pPr>
      <w:r>
        <w:rPr>
          <w:rFonts w:ascii="Arial" w:hAnsi="Arial" w:eastAsia="Noto Sans CJK KR"/>
          <w:b/>
          <w:sz w:val="22"/>
        </w:rPr>
        <w:t>2-1. 연구 배경 및 필요성</w:t>
      </w:r>
    </w:p>
    <w:p>
      <w:pPr>
        <w:pageBreakBefore w:val="0"/>
        <w:widowControl/>
        <w:spacing w:before="236"/>
      </w:pPr>
      <w:r>
        <w:rPr>
          <w:rFonts w:ascii="Arial" w:hAnsi="Arial" w:eastAsia="Noto Sans CJK KR"/>
          <w:b w:val="0"/>
          <w:sz w:val="20"/>
        </w:rPr>
        <w:t>최근 한국 소비시장에서 대만에 대한 관심이 넓어지고 있다. 관심 분야는 여행, 음식, 캐릭터 상품, 생활 소품으로 확장된다. 한국 소비자는 대만을 일본·중국과 다른 감성과 생활문화를 지닌 지역으로 본다. 특히 아기자기한 디자인, 실용적인 생활용품, 감성적인 로컬 브랜드가 20~30대 소비자에게 새 선택지가 되고 있다. 대만 로컬 브랜드의 독창성과 친근한 디자인은 한국 소비자에게 매력 요소가 될 수 있다. 대형 브랜드 중심 소비에서 벗어나 개성 있는 제품을 찾는 흐름과도 맞닿아 있다.</w:t>
      </w:r>
    </w:p>
    <w:p>
      <w:pPr>
        <w:pageBreakBefore w:val="0"/>
        <w:widowControl/>
        <w:spacing w:before="241"/>
      </w:pPr>
      <w:r>
        <w:rPr>
          <w:rFonts w:ascii="Arial" w:hAnsi="Arial" w:eastAsia="Noto Sans CJK KR"/>
          <w:b w:val="0"/>
          <w:sz w:val="20"/>
        </w:rPr>
        <w:t>그러나 한국 시장은 대만 로컬 제품을 폭넓게 소개하지 못한다. 일부 대만 제품은 국내에서 팔린다. 하지만 대형 유통사나 제한된 수입 채널에 의존하는 경우가 많다. 이 과정에서 브랜드 이야기와 현지 문화의 맥락이 소비자에게 충분히 닿지 못한다. 중소 규모 대만 브랜드도 여러 제약을 겪는다. 현지 유통망 확보, 수입 절차, 물류비, 마케팅 현지화, 소비자 반응 예측이 대표적이다. 그래서 경쟁력 있는 제품을 보유해도 한국 소비자와 직접 만날 기회를 얻기 어렵다.</w:t>
      </w:r>
    </w:p>
    <w:p>
      <w:pPr>
        <w:pageBreakBefore w:val="0"/>
        <w:widowControl/>
        <w:spacing w:before="241"/>
      </w:pPr>
      <w:r>
        <w:rPr>
          <w:rFonts w:ascii="Arial" w:hAnsi="Arial" w:eastAsia="Noto Sans CJK KR"/>
          <w:b w:val="0"/>
          <w:sz w:val="20"/>
        </w:rPr>
        <w:t>이 상황에서 크라우드펀딩은 해외 로컬 브랜드의 한국 시장 진입에 유용한 유통 방식이 될 수 있다. 기존 유통 방식은 대량 수입과 재고 확보를 먼저 요구한다. 그래서 초기 비용 부담이 크다. 반면 크라우드펀딩은 소비자의 사전 반응을 확인한 뒤 판매와 발주를 진행할 수 있다. 와디즈 같은 플랫폼은 제품 판매 공간에 그치지 않는다. 브랜드 이야기 전달, 시장 반응 검증, 초기 고객 확보, 소비자 피드백 수집을 함께 수행한다. 따라서 크라우드펀딩은 해외 제품의 국내 가능성을 확인하고 유통 구조를 실험하기에 적합하다.</w:t>
      </w:r>
    </w:p>
    <w:p>
      <w:pPr>
        <w:pageBreakBefore w:val="0"/>
        <w:widowControl/>
        <w:spacing w:before="241"/>
      </w:pPr>
      <w:r>
        <w:rPr>
          <w:rFonts w:ascii="Arial" w:hAnsi="Arial" w:eastAsia="Noto Sans CJK KR"/>
          <w:b w:val="0"/>
          <w:sz w:val="20"/>
        </w:rPr>
        <w:t>본 연구팀은 이러한 문제의식에서 출발했다. 연구팀은 대만 현지의 경쟁력 있는 로컬 브랜드 제품을 발굴하고, 한국 시장에 소개하는 전 과정을 수행하고자 했다. 연구 대상 제품으로는 대만 디자인 브랜드 Bone Collection의 Cup Tie 2를 선정했다. Cup Tie 2는 실리콘 컵 스트랩이다. 사용자는 테이크아웃 음료와 텀블러를 손에 들지 않고 가볍게 휴대할 수 있다. 이 제품은 대만의 음료 문화와 실용적 생활 소품 문화를 결합했다. 또한 귀여운 캐릭터 디자인, 반복 사용 가능한 소재, 휴대 편의성을 갖췄다. 연구팀은 Cup Tie 2가 한국 소비자의 감성 소비와 친환경 소비 흐름에 맞을 가능성이 있다고 판단했다.</w:t>
      </w:r>
    </w:p>
    <w:p>
      <w:pPr>
        <w:pageBreakBefore w:val="0"/>
        <w:widowControl/>
        <w:spacing w:before="241"/>
      </w:pPr>
      <w:r>
        <w:rPr>
          <w:rFonts w:ascii="Arial" w:hAnsi="Arial" w:eastAsia="Noto Sans CJK KR"/>
          <w:b w:val="0"/>
          <w:sz w:val="20"/>
        </w:rPr>
        <w:t>따라서 본 연구는 해외 제품의 시장 가능성을 이론적으로 분석하는 데 그치지 않는다. 연구팀은 공급업체 접촉, 제품 선정, 가격·물류 조건 검토, 와디즈 펀딩 페이지 제작, SNS 마케팅, 펀딩 운영, 대만 현지 조사, 본사 미팅까지 진행했다. 이 과정은 수업에서 배운 무역과 유통 개념을 실제 사례에 적용한 시도다. 또한 해외 로컬 브랜드 제품이 한국 시장에 진입할 때 필요한 유통 구조와 마케팅 전략을 경험적으로 검토한다는 점에서 의미가 있다.</w:t>
      </w:r>
    </w:p>
    <w:p>
      <w:pPr>
        <w:pStyle w:val="Heading2"/>
        <w:pageBreakBefore w:val="0"/>
        <w:spacing w:before="187"/>
      </w:pPr>
      <w:r>
        <w:rPr>
          <w:rFonts w:ascii="Arial" w:hAnsi="Arial" w:eastAsia="Noto Sans CJK KR"/>
          <w:b/>
          <w:sz w:val="22"/>
        </w:rPr>
        <w:t>2-2. 연구 목적</w:t>
      </w:r>
    </w:p>
    <w:p>
      <w:pPr>
        <w:pageBreakBefore w:val="0"/>
        <w:widowControl/>
        <w:spacing w:before="232"/>
      </w:pPr>
      <w:r>
        <w:rPr>
          <w:rFonts w:ascii="Arial" w:hAnsi="Arial" w:eastAsia="Noto Sans CJK KR"/>
          <w:b w:val="0"/>
          <w:sz w:val="20"/>
        </w:rPr>
        <w:t>본 연구의 목적은 크라우드펀딩을 활용한 해외 제품 유통 구조의 가능성과 한계를 분석하는 데 있다. 이를 위해 연구팀은 대만 로컬 브랜드 제품의 국내 도입을 위한 준비와 펀딩을 직접 추진했다. 구체적으로 Bone Collection의 Cup Tie 2를 연구 대상으로 삼았다. 연구팀은 세 가지 질문을 검토했다. Cup Tie 2를 한국 소비자에게 어떤 방식으로 소개할 수 있는가. 와디즈 펀딩으로 실제 시장 반응을 어느 정도 확인할 수 있는가. 향후 한국 시장 진입을 위해 어떤 전략 보완이 필요한가.</w:t>
      </w:r>
    </w:p>
    <w:p>
      <w:pPr>
        <w:pageBreakBefore w:val="0"/>
        <w:widowControl/>
        <w:spacing w:before="241"/>
      </w:pPr>
      <w:r>
        <w:rPr>
          <w:rFonts w:ascii="Arial" w:hAnsi="Arial" w:eastAsia="Noto Sans CJK KR"/>
          <w:b w:val="0"/>
          <w:sz w:val="20"/>
        </w:rPr>
        <w:t>첫째, 본 연구는 대만 현지 브랜드와 직접 소통해 제품 소싱과 협력 가능성을 확인한다. 연구팀은 Bone Collection 본사와 이메일 및 화상 미팅을 진행했다. 제품 가격, 최소 주문 수량, 배송 조건, 샘플 제공 여부, 리드타임 등 실제 수입과 판매에 필요한 조건도 파악했다. 이 과정은 단지 시장조사가 아니다. 해외 공급원을 발굴하고 거래 조건을 확인하는 무역 실무에 가깝다.</w:t>
      </w:r>
    </w:p>
    <w:p>
      <w:pPr>
        <w:pageBreakBefore w:val="0"/>
        <w:widowControl/>
        <w:spacing w:before="241"/>
      </w:pPr>
      <w:r>
        <w:rPr>
          <w:rFonts w:ascii="Arial" w:hAnsi="Arial" w:eastAsia="Noto Sans CJK KR"/>
          <w:b w:val="0"/>
          <w:sz w:val="20"/>
        </w:rPr>
        <w:t>둘째, 본 연구는 Cup Tie 2의 국내 시장 적합성을 검토한다. 연구팀은 한국 크라우드펀딩 시장, 친환경 소비 흐름, 국내 유사 제품 현황, 소비자 표적, 가격 구조, 유통 전략을 분석했다. 특히 Cup Tie 2가 기존 텀블러 시장과 일회용 컵캐리어 시장에서 어떤 차별성을 가질 수 있는지 살폈다. 또한 실용성과 감성적 매력을 한국 소비자에게 함께 전달할 수 있는지도 확인했다.</w:t>
      </w:r>
    </w:p>
    <w:p>
      <w:pPr>
        <w:pageBreakBefore w:val="0"/>
        <w:widowControl/>
        <w:spacing w:before="0"/>
      </w:pPr>
      <w:r>
        <w:rPr>
          <w:rFonts w:ascii="Arial" w:hAnsi="Arial" w:eastAsia="Noto Sans CJK KR"/>
          <w:b w:val="0"/>
          <w:sz w:val="20"/>
        </w:rPr>
        <w:t>셋째, 본 연구는 와디즈 펀딩으로 실제 소비자 반응을 검증한다. 연구팀은 제품 상세 페이지를 직접 기획했다. 기능, 사용 상황, 브랜드 이야기, 캐릭터 디자인, 가격, 리워드 구성도 소비자에게 전달했다. SNS 마케팅과 펀딩 운영을 함께 진행하며 관심 유입과 구매 전환 과정을 확인했다. 펀딩 결과는 성공 여부만 판단하는 자료가 아니다. 방문자 수, 알림 신청자 수, 예약결제 건수, 유입 경로, 성별·연령대별 반응을 분석하는 자료다. 연구팀은 이 데이터를 한국 소비자의 초기 시장 반응 분석에 활용했다.</w:t>
      </w:r>
    </w:p>
    <w:p>
      <w:pPr>
        <w:pageBreakBefore w:val="0"/>
        <w:widowControl/>
        <w:spacing w:before="241"/>
      </w:pPr>
      <w:r>
        <w:rPr>
          <w:rFonts w:ascii="Arial" w:hAnsi="Arial" w:eastAsia="Noto Sans CJK KR"/>
          <w:b w:val="0"/>
          <w:sz w:val="20"/>
        </w:rPr>
        <w:t>넷째, 본 연구는 대만 현지 조사를 바탕으로 제품의 문화적·시장적 배경을 확인한다. 대만은 테이크아웃 음료 문화가 발달한 지역이다. 컵캐리어 같은 생활 소품도 일상에서 자연스럽게 쓰인다. 연구팀은 대만 현지 매장 조사, 소비자 관찰, Bone Collection 본사 미팅을 진행했다. 이를 바탕으로 Cup Tie 2와 유사 제품이 현지에서 어떤 맥락에 놓이는지 확인했다. 이어 한국 시장과 대만 시장을 비교했다.</w:t>
      </w:r>
    </w:p>
    <w:p>
      <w:pPr>
        <w:pageBreakBefore w:val="0"/>
        <w:widowControl/>
        <w:spacing w:before="241"/>
      </w:pPr>
      <w:r>
        <w:rPr>
          <w:rFonts w:ascii="Arial" w:hAnsi="Arial" w:eastAsia="Noto Sans CJK KR"/>
          <w:b w:val="0"/>
          <w:sz w:val="20"/>
        </w:rPr>
        <w:t>종합하면 본 연구는 대만 로컬 브랜드 제품의 한국 시장 진입 가능성을 검토한다. 동시에 크라우드펀딩이 해외 제품의 초기 유통 채널이자 시장 검증 도구로 기능할 수 있는지 분석한다. 이 연구는 해외현장연구 수업에서 배운 무역, 유통, 마케팅, 현지조사 개념을 실제 프로젝트에 적용한다. 나아가 대만 로컬 브랜드의 한국 시장 진입 전략에 관한 시사점을 도출하고자 한다.</w:t>
      </w:r>
    </w:p>
    <w:p>
      <w:pPr>
        <w:pStyle w:val="Heading1"/>
        <w:pageBreakBefore/>
        <w:spacing w:before="360"/>
      </w:pPr>
      <w:r>
        <w:rPr>
          <w:rFonts w:ascii="Arial" w:hAnsi="Arial" w:eastAsia="Noto Sans CJK KR"/>
          <w:b/>
          <w:sz w:val="24"/>
        </w:rPr>
        <w:t>Ⅲ. 이론적 배경</w:t>
      </w:r>
    </w:p>
    <w:p>
      <w:pPr>
        <w:pStyle w:val="Heading2"/>
        <w:pageBreakBefore w:val="0"/>
        <w:spacing w:before="249"/>
      </w:pPr>
      <w:r>
        <w:rPr>
          <w:rFonts w:ascii="Arial" w:hAnsi="Arial" w:eastAsia="Noto Sans CJK KR"/>
          <w:b/>
          <w:sz w:val="22"/>
        </w:rPr>
        <w:t>3-1. 한국 크라우드펀딩 시장 현황</w:t>
      </w:r>
    </w:p>
    <w:p>
      <w:pPr>
        <w:pageBreakBefore w:val="0"/>
        <w:widowControl/>
        <w:spacing w:before="244"/>
      </w:pPr>
      <w:r>
        <w:rPr>
          <w:rFonts w:ascii="Arial" w:hAnsi="Arial" w:eastAsia="Noto Sans CJK KR"/>
          <w:b w:val="0"/>
          <w:sz w:val="20"/>
        </w:rPr>
        <w:t>한국 크라우드펀딩 시장은 단순한 자금 조달 수단을 넘어 새로운 유통 구조와 소비 방식을 형성하는 플랫폼으로 발전하고 있다. 특히 대표 플랫폼인 와디즈(Wadiz)는 2012년 설립 이후 스타트업과 중소 브랜드를 중심으로 성장해왔으며, 현재는 ‘라이프 디자인 펀딩 플랫폼’이라는 개념을 기반으로 제품 기획, 시장 검증, 브랜딩, 판매 기능을 통합적으로 수행하는 구조를 구축하였다. 누적 중개금액은 약 1.3조 원 규모에 이르며, 프로젝트 수 또한 8만 건을 상회하는 등 국내 크라우드펀딩 시장에서 핵심적인 역할을 담당하고 있다.</w:t>
      </w:r>
    </w:p>
    <w:p>
      <w:pPr>
        <w:pageBreakBefore w:val="0"/>
        <w:widowControl/>
        <w:spacing w:before="161"/>
      </w:pPr>
      <w:r>
        <w:rPr>
          <w:rFonts w:ascii="Arial" w:hAnsi="Arial" w:eastAsia="Noto Sans CJK KR"/>
          <w:b w:val="0"/>
          <w:sz w:val="20"/>
        </w:rPr>
        <w:t>이러한 성장은 단순한 거래 규모 확대를 넘어 유통 구조의 변화와 밀접하게 연결되어 있다. 기존 유통 시장은 제조–도매–소매–소비자로 이어지는 다단계 구조를 기반으로 운영되어 왔으나, 크라우드펀딩 플랫폼은 제조자와 소비자를 직접 연결하는 구조를 형성함으로써 유통 단계를 단축시키고 있다. 이를 통해 제품 가격 경쟁력을 확보하는 동시에 브랜드가 소비자에게 직접 가치와 스토리를 전달할 수 있는 환경이 조성된다. 결과적으로 크라우드펀딩은 단순 판매 채널이 아니라 ‘시장 검증 기반 유통 모델’로 기능하며, 제품 출시 이전 단계에서 수요를 확인할 수 있다는 점에서 기존 커머스와 차별화된다.</w:t>
      </w:r>
    </w:p>
    <w:p>
      <w:pPr>
        <w:pageBreakBefore w:val="0"/>
        <w:widowControl/>
        <w:spacing w:before="161"/>
      </w:pPr>
      <w:r>
        <w:rPr>
          <w:rFonts w:ascii="Arial" w:hAnsi="Arial" w:eastAsia="Noto Sans CJK KR"/>
          <w:b w:val="0"/>
          <w:sz w:val="20"/>
        </w:rPr>
        <w:t>또한 크라우드펀딩 시장의 특징 중 하나는 소비자의 역할 변화이다. 전통적인 소비자가 완성된 제품을 구매하는 수동적 역할에 머물렀다면, 크라우드펀딩 환경에서는 소비자가 프로젝트 단계부터 참여하여 의견을 제시하고 제품 개선 과정에 영향을 미치는 능동적 참여자로 기능한다. 와디즈의 경우 수백만 명 규모의 이용자를 기반으로 프로젝트 피드백, 커뮤니티 형성, 자발적 홍보 등이 이루어지며, 이는 제품의 성공 가능성을 높이는 요인으로 작용한다. 이러한 구조는 소비자를 단순 구매자가 아닌 ‘공동 생산자(co-creator)’로 전환시키는 특징을 가진다.</w:t>
      </w:r>
    </w:p>
    <w:p>
      <w:pPr>
        <w:pageBreakBefore w:val="0"/>
        <w:widowControl/>
        <w:spacing w:before="161"/>
      </w:pPr>
      <w:r>
        <w:rPr>
          <w:rFonts w:ascii="Arial" w:hAnsi="Arial" w:eastAsia="Noto Sans CJK KR"/>
          <w:b w:val="0"/>
          <w:sz w:val="20"/>
        </w:rPr>
        <w:t>더불어 크라우드펀딩은 글로벌 브랜드의 시장 진입 전략에서도 중요한 역할을 수행하고 있다. 해외 브랜드의 경우 기존에는 직구나 수입 유통망을 통해 국내 시장에 진입하는 방식이 일반적이었으나, 크라우드펀딩 플랫폼을 활용할 경우 초기 재고 부담 없이 시장 반응을 사전에 확인할 수 있다는 장점이 존재한다. 특히 플랫폼 내 축적된 프로젝트 데이터와 소비자 반응 정보는 제품 카테고리별 수요 분석, 가격 전략 수립, 타겟 고객 설정 등에 활용될 수 있으며, 이는 기업의 시장 진입 리스크를 크게 낮추는 요소로 작용한다.</w:t>
      </w:r>
    </w:p>
    <w:p>
      <w:pPr>
        <w:pageBreakBefore w:val="0"/>
        <w:widowControl/>
        <w:spacing w:before="161"/>
      </w:pPr>
      <w:r>
        <w:rPr>
          <w:rFonts w:ascii="Arial" w:hAnsi="Arial" w:eastAsia="Noto Sans CJK KR"/>
          <w:b w:val="0"/>
          <w:sz w:val="20"/>
        </w:rPr>
        <w:t>종합하면 한국 크라우드펀딩 시장은 단순한 금융 서비스가 아니라 유통 구조 혁신, 소비자 참여 확대, 시장 검증 기능이 결합된 새로운 리테일 패러다임으로 이해할 수 있다. 이는 향후 브랜드가 제품을 기획하고 시장에 진입하는 방식 자체를 변화시키는 핵심 메커니즘으로 작용하고 있으며, 특히 초기 단계 브랜드와 해외 신규 브랜드에게 효과적인 시장 진입 채널로 기능하고 있다.</w:t>
      </w:r>
    </w:p>
    <w:p>
      <w:pPr>
        <w:pStyle w:val="Heading2"/>
        <w:pageBreakBefore w:val="0"/>
        <w:spacing w:before="0"/>
      </w:pPr>
      <w:r>
        <w:rPr>
          <w:rFonts w:ascii="Arial" w:hAnsi="Arial" w:eastAsia="Noto Sans CJK KR"/>
          <w:b/>
          <w:sz w:val="22"/>
        </w:rPr>
        <w:t>3-2. 한국 친환경 소비 트렌드</w:t>
      </w:r>
    </w:p>
    <w:p>
      <w:pPr>
        <w:pageBreakBefore w:val="0"/>
        <w:widowControl/>
        <w:spacing w:before="165"/>
      </w:pPr>
      <w:r>
        <w:rPr>
          <w:rFonts w:ascii="Arial" w:hAnsi="Arial" w:eastAsia="Noto Sans CJK KR"/>
          <w:b w:val="0"/>
          <w:sz w:val="20"/>
        </w:rPr>
        <w:t>한국 소비자의 친환경 소비는 단순한 인식 수준을 넘어 실제 소비 행동에 영향을 미치는 중요한 트렌드로 자리 잡고 있다. KB금융지주 경영연구소의 「소비자가 본 ESG와 친환경 소비 행동」 보고서에 따르면, 국내 소비자는 환경 문제를 매우 심각하게 인식하고 있으며, 특히 대기오염(38.3%)과 기후변화 및 지구온난화(37.8%)를 주요 문제로 인식하는 비중이 높게 나타난다. 이는 환경 문제가 개인의 일상과 직접적으로 연결된 현실적 문제로 인식되고 있음을 의미하며, 이러한 인식은 소비 결정 과정에도 반영되고 있다.</w:t>
      </w:r>
    </w:p>
    <w:p>
      <w:pPr>
        <w:pageBreakBefore w:val="0"/>
        <w:widowControl/>
        <w:spacing w:before="161"/>
      </w:pPr>
      <w:r>
        <w:rPr>
          <w:rFonts w:ascii="Arial" w:hAnsi="Arial" w:eastAsia="Noto Sans CJK KR"/>
          <w:b w:val="0"/>
          <w:sz w:val="20"/>
        </w:rPr>
        <w:t>이와 함께 소비자의 구매 기준 역시 변화하고 있다. 과거에는 가격과 기능 중심의 소비가 일반적이었다면, 최근에는 제품이 환경과 사회에 미치는 영향을 고려하는 ‘가치 중심 소비’가 확대되고 있다. 특히 ‘미닝아웃(Meaning-out)’ 소비는 개인이 자신의 가치관과 신념을 소비를 통해 표현하는 행동으로, 친환경 소비가 단순한 선택을 넘어 정체성 표현의 수단으로 기능하고 있음을 보여준다. 실제로 소비자의 상당수는 기업의 ESG 활동이 제품 구매에 영향을 미친다고 응답하고 있으며, 이는 기업의 환경적 책임이 소비자 선택에 중요한 변수로 작용하고 있음을 시사한다.</w:t>
      </w:r>
    </w:p>
    <w:p>
      <w:pPr>
        <w:pageBreakBefore w:val="0"/>
        <w:widowControl/>
        <w:spacing w:before="161"/>
      </w:pPr>
      <w:r>
        <w:rPr>
          <w:rFonts w:ascii="Arial" w:hAnsi="Arial" w:eastAsia="Noto Sans CJK KR"/>
          <w:b w:val="0"/>
          <w:sz w:val="20"/>
        </w:rPr>
        <w:t>그러나 높은 인식 수준에도 불구하고 친환경 소비는 실제 행동으로 이어지는 과정에서 일정한 한계를 보인다. 조사 결과에 따르면 소비자는 장바구니 사용(63.7%), 절전을 위한 노력(54.4%), 개인컵 사용(49.6%) 등 일상에서 비교적 쉽게 실천 가능한 행동에는 적극적으로 참여하고 있으나, 친환경 제품 구매(13.6%)와 같이 비용이 수반되거나 선택 과정이 복잡한 행동에는 상대적으로 낮은 참여율을 보인다. 이는 친환경 소비가 단순한 태도의 문제가 아니라 편의성, 가격, 접근성 등 다양한 현실적 요인에 의해 영향을 받는다는 점을 보여준다.</w:t>
      </w:r>
    </w:p>
    <w:p>
      <w:pPr>
        <w:pageBreakBefore w:val="0"/>
        <w:widowControl/>
        <w:spacing w:before="161"/>
      </w:pPr>
      <w:r>
        <w:rPr>
          <w:rFonts w:ascii="Arial" w:hAnsi="Arial" w:eastAsia="Noto Sans CJK KR"/>
          <w:b w:val="0"/>
          <w:sz w:val="20"/>
        </w:rPr>
        <w:t>이러한 괴리는 친환경 소비를 가로막는 주요 요인을 통해 보다 명확히 확인된다. 보고서에 따르면 소비자가 친환경 행동을 실천하는 데 있어 가장 큰 장애 요인은 ‘습관화되지 않음’(25.0%), ‘불편을 감수해야 함’(20.0%), ‘제품 및 서비스의 높은 가격’(17.7%) 등으로 나타났다. 이는 소비자가 친환경 소비의 필요성에는 공감하고 있으나, 실제 행동으로 전환하기 위해서는 구조적 제약이 존재함을 의미한다. 따라서 친환경 소비 시장의 확산은 단순한 인식 제고가 아니라 실천 장벽을 낮추는 방향으로 이루어질 필요가 있다.</w:t>
      </w:r>
    </w:p>
    <w:p>
      <w:pPr>
        <w:spacing w:line="240" w:lineRule="auto" w:after="0"/>
        <w:ind w:left="30"/>
      </w:pPr>
      <w:r>
        <w:drawing>
          <wp:inline xmlns:a="http://schemas.openxmlformats.org/drawingml/2006/main" xmlns:pic="http://schemas.openxmlformats.org/drawingml/2006/picture">
            <wp:extent cx="5029200" cy="2707208"/>
            <wp:docPr id="2" name="Picture 2"/>
            <wp:cNvGraphicFramePr>
              <a:graphicFrameLocks noChangeAspect="1"/>
            </wp:cNvGraphicFramePr>
            <a:graphic>
              <a:graphicData uri="http://schemas.openxmlformats.org/drawingml/2006/picture">
                <pic:pic>
                  <pic:nvPicPr>
                    <pic:cNvPr id="0" name="M06_01_source_396.jpg"/>
                    <pic:cNvPicPr/>
                  </pic:nvPicPr>
                  <pic:blipFill>
                    <a:blip r:embed="rId11"/>
                    <a:stretch>
                      <a:fillRect/>
                    </a:stretch>
                  </pic:blipFill>
                  <pic:spPr>
                    <a:xfrm>
                      <a:off x="0" y="0"/>
                      <a:ext cx="5029200" cy="2707208"/>
                    </a:xfrm>
                    <a:prstGeom prst="rect"/>
                  </pic:spPr>
                </pic:pic>
              </a:graphicData>
            </a:graphic>
          </wp:inline>
        </w:drawing>
      </w:r>
    </w:p>
    <w:p>
      <w:pPr>
        <w:pageBreakBefore w:val="0"/>
        <w:widowControl/>
        <w:spacing w:before="203"/>
      </w:pPr>
      <w:r>
        <w:rPr>
          <w:rFonts w:ascii="Arial" w:hAnsi="Arial" w:eastAsia="Noto Sans CJK KR"/>
          <w:b w:val="0"/>
          <w:sz w:val="20"/>
        </w:rPr>
        <w:t>한편 최근 친환경 소비 트렌드는 단순 재활용을 넘어 보다 확장된 형태로 진화하고 있다. 소비자는 업사이클링(29.7%), 제로웨이스트(22.6%), 친환경 배송(18.3%) 등 다양한 친환경 소비 개념에 관심을 보이고 있으며, 이는 소비 단계뿐 아니라 제품의 생산, 유통, 폐기 전 과정에서 환경 영향을 고려하려는 경향으로 이어지고 있다. 특히 제로웨이스트는 구매 이전 단계에서부터 폐기물을 최소화하려는 소비 방식으로, 기존의 사후적 재활용 중심 접근보다 한 단계 진화된 형태의 친환경 소비로 평가된다.</w:t>
      </w:r>
    </w:p>
    <w:p>
      <w:pPr>
        <w:spacing w:line="240" w:lineRule="auto" w:after="0"/>
        <w:ind w:left="30"/>
      </w:pPr>
      <w:r>
        <w:drawing>
          <wp:inline xmlns:a="http://schemas.openxmlformats.org/drawingml/2006/main" xmlns:pic="http://schemas.openxmlformats.org/drawingml/2006/picture">
            <wp:extent cx="4895850" cy="2968760"/>
            <wp:docPr id="3" name="Picture 3"/>
            <wp:cNvGraphicFramePr>
              <a:graphicFrameLocks noChangeAspect="1"/>
            </wp:cNvGraphicFramePr>
            <a:graphic>
              <a:graphicData uri="http://schemas.openxmlformats.org/drawingml/2006/picture">
                <pic:pic>
                  <pic:nvPicPr>
                    <pic:cNvPr id="0" name="M07_01_source_385.jpg"/>
                    <pic:cNvPicPr/>
                  </pic:nvPicPr>
                  <pic:blipFill>
                    <a:blip r:embed="rId12"/>
                    <a:stretch>
                      <a:fillRect/>
                    </a:stretch>
                  </pic:blipFill>
                  <pic:spPr>
                    <a:xfrm>
                      <a:off x="0" y="0"/>
                      <a:ext cx="4895850" cy="2968760"/>
                    </a:xfrm>
                    <a:prstGeom prst="rect"/>
                  </pic:spPr>
                </pic:pic>
              </a:graphicData>
            </a:graphic>
          </wp:inline>
        </w:drawing>
      </w:r>
    </w:p>
    <w:p>
      <w:pPr>
        <w:pageBreakBefore w:val="0"/>
        <w:widowControl/>
        <w:spacing w:before="203"/>
      </w:pPr>
      <w:r>
        <w:rPr>
          <w:rFonts w:ascii="Arial" w:hAnsi="Arial" w:eastAsia="Noto Sans CJK KR"/>
          <w:b w:val="0"/>
          <w:sz w:val="20"/>
        </w:rPr>
        <w:t>또한 친환경 소비가 확산됨에 따라 기업에 대한 신뢰 문제 역시 중요한 요소로 부각되고 있다. 소비자는 기업의 친환경 활동을 긍정적으로 평가하는 동시에, 실제 환경 개선보다는 이미지 제고를 목적으로 하는 ‘그린워싱(Greenwashing)’에 대해서는 높은 경계심을 보이고 있다. 이에 따라 소비자는 단순한 친환경 마케팅보다 제품의 소재, 생산 과정, 인증 여부 등 객관적으로 검증 가능한 정보를 중요하게 고려하는 경향을 보인다. 이는 향후 친환경 소비 시장에서 기업이 지속적인 신뢰를 확보하기 위해서는 실질적인 환경 성과와 투명한 정보 제공이 필수적임을 시사한다.</w:t>
      </w:r>
    </w:p>
    <w:p>
      <w:pPr>
        <w:pageBreakBefore w:val="0"/>
        <w:widowControl/>
        <w:spacing w:before="161"/>
      </w:pPr>
      <w:r>
        <w:rPr>
          <w:rFonts w:ascii="Arial" w:hAnsi="Arial" w:eastAsia="Noto Sans CJK KR"/>
          <w:b w:val="0"/>
          <w:sz w:val="20"/>
        </w:rPr>
        <w:t>종합적으로 볼 때, 한국 친환경 소비 트렌드는 높은 환경 인식을 기반으로 가치 중심 소비로 전환되고 있으나, 실제 행동으로의 확산 과정에서는 편의성, 가격, 신뢰 등의 요인이 중요한 제약 조건으로 작용하고 있다. 이러한 구조적 특징은 향후 친환경 소비 시장의 성장 방향이 단순한 인식 확대가 아니라 소비자의 행동 전환을 촉진하는 환경 조성에 달려 있음을 보여준다.</w:t>
      </w:r>
    </w:p>
    <w:p>
      <w:pPr>
        <w:pStyle w:val="Heading2"/>
        <w:pageBreakBefore/>
        <w:spacing w:before="0"/>
      </w:pPr>
      <w:r>
        <w:rPr>
          <w:rFonts w:ascii="Arial" w:hAnsi="Arial" w:eastAsia="Noto Sans CJK KR"/>
          <w:b/>
          <w:sz w:val="22"/>
        </w:rPr>
        <w:t>3-3. 국내 유사 제품의 와디즈 사례 분석</w:t>
      </w:r>
    </w:p>
    <w:p>
      <w:pPr>
        <w:pStyle w:val="Heading2"/>
        <w:pageBreakBefore w:val="0"/>
        <w:spacing w:before="0"/>
      </w:pPr>
      <w:r>
        <w:rPr>
          <w:rFonts w:ascii="Arial" w:hAnsi="Arial" w:eastAsia="Noto Sans CJK KR"/>
          <w:b/>
          <w:sz w:val="22"/>
        </w:rPr>
        <w:t>1. 국내 유사 제품 와디즈 사례 선정</w:t>
      </w:r>
    </w:p>
    <w:p>
      <w:pPr>
        <w:pageBreakBefore w:val="0"/>
        <w:spacing w:before="180"/>
      </w:pPr>
      <w:r>
        <w:rPr>
          <w:rFonts w:ascii="Arial" w:hAnsi="Arial" w:eastAsia="Noto Sans CJK KR"/>
          <w:b w:val="0"/>
          <w:sz w:val="20"/>
        </w:rPr>
        <w:t>Cup Tie 2와 기능적으로 유사한 국내 크라우드펀딩 사례를 선정하여 가격, 제품 가치 제안, 상세페이지 구성, 리워드 설계, 배송 및 판매 방식을 비교하였다. 국내 컵캐리어 시장을 온라인 저가 제품, 개인 쇼핑몰, 수제 제품 등으로 폭넓게 검토한 데 더하여, 와디즈에서 소비자의 참여를 이끌어낸 텀블러백·드링크백 사례를 살펴보았다. 이를 통해 제품의 기능적 차별성뿐 아니라 소비자가 가격을 납득하고 구매에 참여하도록 설명하는 방식을 비교하고자 한다.</w:t>
      </w:r>
    </w:p>
    <w:p>
      <w:pPr>
        <w:pageBreakBefore w:val="0"/>
        <w:widowControl/>
        <w:spacing w:before="360"/>
      </w:pPr>
      <w:r>
        <w:rPr>
          <w:rFonts w:ascii="Arial" w:hAnsi="Arial" w:eastAsia="Noto Sans CJK KR"/>
          <w:b w:val="0"/>
          <w:sz w:val="20"/>
        </w:rPr>
        <w:t>본 연구에서는 Cup Tie 2와 직접적으로 유사한 제품군인 텀블러 스트랩 및 드링크백의 국내 크라우드펀딩 사례를 분석 대상으로 선정하였다. 분석 대상은 SOLEMAMAN, 주식회사 코제스, CORCO(주식회사 엘앤제이)이며, 세 업체 모두 와디즈를 통해 컵·텀블러의 휴대 편의성을 개선하는 제품을 선보였다는 공통점을 가진다.</w:t>
      </w:r>
    </w:p>
    <w:p>
      <w:pPr>
        <w:pageBreakBefore w:val="0"/>
        <w:widowControl/>
        <w:spacing w:before="80"/>
      </w:pPr>
      <w:r>
        <w:rPr>
          <w:rFonts w:ascii="Arial" w:hAnsi="Arial" w:eastAsia="Noto Sans CJK KR"/>
          <w:b w:val="0"/>
          <w:sz w:val="20"/>
        </w:rPr>
        <w:t>특히 단일 프로젝트만을 비교하기보다 동일 업체가 후속 펀딩이나 앵콜 펀딩을 진행한 과정까지 살펴본다는 점이 중요하다. 이를 통해 제품 가격뿐 아니라 기존 소비자의 의견 반영, 제품 개선, 메시지 변화, 반복 판매 전략 등을 확인할 수 있기 때문이다.</w:t>
      </w:r>
    </w:p>
    <w:tbl>
      <w:tblPr>
        <w:tblStyle w:val="TableGrid"/>
        <w:tblW w:type="auto" w:w="0"/>
        <w:tblLayout w:type="fixed"/>
        <w:tblLook w:firstColumn="1" w:firstRow="1" w:lastColumn="0" w:lastRow="0" w:noHBand="0" w:noVBand="1" w:val="04A0"/>
      </w:tblPr>
      <w:tblGrid>
        <w:gridCol w:w="2255"/>
        <w:gridCol w:w="2255"/>
        <w:gridCol w:w="2255"/>
        <w:gridCol w:w="2255"/>
      </w:tblGrid>
      <w:tr>
        <w:trPr>
          <w:cantSplit/>
          <w:tblHeader/>
        </w:trPr>
        <w:tc>
          <w:tcPr>
            <w:tcW w:type="dxa" w:w="2255"/>
            <w:shd w:fill="222222"/>
          </w:tcPr>
          <w:p>
            <w:pPr>
              <w:keepNext/>
              <w:spacing w:line="230" w:lineRule="exact" w:before="60" w:after="60"/>
            </w:pPr>
            <w:r>
              <w:rPr>
                <w:rFonts w:ascii="Arial" w:hAnsi="Arial" w:eastAsia="Noto Sans CJK KR"/>
                <w:b/>
                <w:color w:val="FFFFFF"/>
                <w:sz w:val="18"/>
              </w:rPr>
              <w:t>구분</w:t>
            </w:r>
          </w:p>
        </w:tc>
        <w:tc>
          <w:tcPr>
            <w:tcW w:type="dxa" w:w="2255"/>
            <w:shd w:fill="222222"/>
          </w:tcPr>
          <w:p>
            <w:pPr>
              <w:keepNext/>
              <w:spacing w:line="230" w:lineRule="exact" w:before="60" w:after="60"/>
            </w:pPr>
            <w:r>
              <w:rPr>
                <w:rFonts w:ascii="Arial" w:hAnsi="Arial" w:eastAsia="Noto Sans CJK KR"/>
                <w:b/>
                <w:color w:val="FFFFFF"/>
                <w:sz w:val="18"/>
              </w:rPr>
              <w:t>SOLEMAMAN</w:t>
            </w:r>
          </w:p>
        </w:tc>
        <w:tc>
          <w:tcPr>
            <w:tcW w:type="dxa" w:w="2255"/>
            <w:shd w:fill="222222"/>
          </w:tcPr>
          <w:p>
            <w:pPr>
              <w:keepNext/>
              <w:spacing w:line="230" w:lineRule="exact" w:before="60" w:after="60"/>
            </w:pPr>
            <w:r>
              <w:rPr>
                <w:rFonts w:ascii="Arial" w:hAnsi="Arial" w:eastAsia="Noto Sans CJK KR"/>
                <w:b/>
                <w:color w:val="FFFFFF"/>
                <w:sz w:val="18"/>
              </w:rPr>
              <w:t>(주)코제스</w:t>
            </w:r>
          </w:p>
        </w:tc>
        <w:tc>
          <w:tcPr>
            <w:tcW w:type="dxa" w:w="2255"/>
            <w:shd w:fill="222222"/>
          </w:tcPr>
          <w:p>
            <w:pPr>
              <w:keepNext/>
              <w:spacing w:line="230" w:lineRule="exact" w:before="60" w:after="60"/>
            </w:pPr>
            <w:r>
              <w:rPr>
                <w:rFonts w:ascii="Arial" w:hAnsi="Arial" w:eastAsia="Noto Sans CJK KR"/>
                <w:b/>
                <w:color w:val="FFFFFF"/>
                <w:sz w:val="18"/>
              </w:rPr>
              <w:t>CORCO</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제품</w:t>
            </w:r>
          </w:p>
        </w:tc>
        <w:tc>
          <w:tcPr>
            <w:tcW w:type="dxa" w:w="2255"/>
            <w:shd w:fill="FFFFFF"/>
          </w:tcPr>
          <w:p>
            <w:pPr>
              <w:keepNext/>
              <w:spacing w:line="230" w:lineRule="exact" w:before="60" w:after="60"/>
            </w:pPr>
            <w:r>
              <w:rPr>
                <w:rFonts w:ascii="Arial" w:hAnsi="Arial" w:eastAsia="Noto Sans CJK KR"/>
                <w:b w:val="0"/>
                <w:color w:val="000000"/>
                <w:sz w:val="18"/>
              </w:rPr>
              <w:t>텀블러 메이트</w:t>
            </w:r>
          </w:p>
        </w:tc>
        <w:tc>
          <w:tcPr>
            <w:tcW w:type="dxa" w:w="2255"/>
            <w:shd w:fill="FFFFFF"/>
          </w:tcPr>
          <w:p>
            <w:pPr>
              <w:keepNext/>
              <w:spacing w:line="230" w:lineRule="exact" w:before="60" w:after="60"/>
            </w:pPr>
            <w:r>
              <w:rPr>
                <w:rFonts w:ascii="Arial" w:hAnsi="Arial" w:eastAsia="Noto Sans CJK KR"/>
                <w:b w:val="0"/>
                <w:color w:val="000000"/>
                <w:sz w:val="18"/>
              </w:rPr>
              <w:t>#2GO 드링크백</w:t>
            </w:r>
          </w:p>
        </w:tc>
        <w:tc>
          <w:tcPr>
            <w:tcW w:type="dxa" w:w="2255"/>
            <w:shd w:fill="FFFFFF"/>
          </w:tcPr>
          <w:p>
            <w:pPr>
              <w:keepNext/>
              <w:spacing w:line="230" w:lineRule="exact" w:before="60" w:after="60"/>
            </w:pPr>
            <w:r>
              <w:rPr>
                <w:rFonts w:ascii="Arial" w:hAnsi="Arial" w:eastAsia="Noto Sans CJK KR"/>
                <w:b w:val="0"/>
                <w:color w:val="000000"/>
                <w:sz w:val="18"/>
              </w:rPr>
              <w:t>코르크 드링크백</w:t>
            </w:r>
          </w:p>
        </w:tc>
      </w:tr>
      <w:tr>
        <w:trPr>
          <w:cantSplit/>
        </w:trPr>
        <w:tc>
          <w:tcPr>
            <w:tcW w:type="dxa" w:w="2255"/>
            <w:shd w:fill="F4F4F4"/>
          </w:tcPr>
          <w:p>
            <w:pPr>
              <w:keepNext/>
              <w:spacing w:line="230" w:lineRule="exact" w:before="60" w:after="60"/>
            </w:pPr>
            <w:r>
              <w:rPr>
                <w:rFonts w:ascii="Arial" w:hAnsi="Arial" w:eastAsia="Noto Sans CJK KR"/>
                <w:b w:val="0"/>
                <w:color w:val="000000"/>
                <w:sz w:val="18"/>
              </w:rPr>
              <w:t>핵심 성격</w:t>
            </w:r>
          </w:p>
        </w:tc>
        <w:tc>
          <w:tcPr>
            <w:tcW w:type="dxa" w:w="2255"/>
            <w:shd w:fill="F4F4F4"/>
          </w:tcPr>
          <w:p>
            <w:pPr>
              <w:keepNext/>
              <w:spacing w:line="230" w:lineRule="exact" w:before="60" w:after="60"/>
            </w:pPr>
            <w:r>
              <w:rPr>
                <w:rFonts w:ascii="Arial" w:hAnsi="Arial" w:eastAsia="Noto Sans CJK KR"/>
                <w:b w:val="0"/>
                <w:color w:val="000000"/>
                <w:sz w:val="18"/>
              </w:rPr>
              <w:t>패션형 텀블러백</w:t>
            </w:r>
          </w:p>
        </w:tc>
        <w:tc>
          <w:tcPr>
            <w:tcW w:type="dxa" w:w="2255"/>
            <w:shd w:fill="F4F4F4"/>
          </w:tcPr>
          <w:p>
            <w:pPr>
              <w:keepNext/>
              <w:spacing w:line="230" w:lineRule="exact" w:before="60" w:after="60"/>
            </w:pPr>
            <w:r>
              <w:rPr>
                <w:rFonts w:ascii="Arial" w:hAnsi="Arial" w:eastAsia="Noto Sans CJK KR"/>
                <w:b w:val="0"/>
                <w:color w:val="000000"/>
                <w:sz w:val="18"/>
              </w:rPr>
              <w:t>기능형 드링크백</w:t>
            </w:r>
          </w:p>
        </w:tc>
        <w:tc>
          <w:tcPr>
            <w:tcW w:type="dxa" w:w="2255"/>
            <w:shd w:fill="F4F4F4"/>
          </w:tcPr>
          <w:p>
            <w:pPr>
              <w:keepNext/>
              <w:spacing w:line="230" w:lineRule="exact" w:before="60" w:after="60"/>
            </w:pPr>
            <w:r>
              <w:rPr>
                <w:rFonts w:ascii="Arial" w:hAnsi="Arial" w:eastAsia="Noto Sans CJK KR"/>
                <w:b w:val="0"/>
                <w:color w:val="000000"/>
                <w:sz w:val="18"/>
              </w:rPr>
              <w:t>친환경· 가치소비형 드링크백</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주요 소재</w:t>
            </w:r>
          </w:p>
        </w:tc>
        <w:tc>
          <w:tcPr>
            <w:tcW w:type="dxa" w:w="2255"/>
            <w:shd w:fill="FFFFFF"/>
          </w:tcPr>
          <w:p>
            <w:pPr>
              <w:keepNext/>
              <w:spacing w:line="230" w:lineRule="exact" w:before="60" w:after="60"/>
            </w:pPr>
            <w:r>
              <w:rPr>
                <w:rFonts w:ascii="Arial" w:hAnsi="Arial" w:eastAsia="Noto Sans CJK KR"/>
                <w:b w:val="0"/>
                <w:color w:val="000000"/>
                <w:sz w:val="18"/>
              </w:rPr>
              <w:t>가죽</w:t>
            </w:r>
          </w:p>
        </w:tc>
        <w:tc>
          <w:tcPr>
            <w:tcW w:type="dxa" w:w="2255"/>
            <w:shd w:fill="FFFFFF"/>
          </w:tcPr>
          <w:p>
            <w:pPr>
              <w:keepNext/>
              <w:spacing w:line="230" w:lineRule="exact" w:before="60" w:after="60"/>
            </w:pPr>
            <w:r>
              <w:rPr>
                <w:rFonts w:ascii="Arial" w:hAnsi="Arial" w:eastAsia="Noto Sans CJK KR"/>
                <w:b w:val="0"/>
                <w:color w:val="000000"/>
                <w:sz w:val="18"/>
              </w:rPr>
              <w:t>패브릭형 드링크백</w:t>
            </w:r>
          </w:p>
        </w:tc>
        <w:tc>
          <w:tcPr>
            <w:tcW w:type="dxa" w:w="2255"/>
            <w:shd w:fill="FFFFFF"/>
          </w:tcPr>
          <w:p>
            <w:pPr>
              <w:keepNext/>
              <w:spacing w:line="230" w:lineRule="exact" w:before="60" w:after="60"/>
            </w:pPr>
            <w:r>
              <w:rPr>
                <w:rFonts w:ascii="Arial" w:hAnsi="Arial" w:eastAsia="Noto Sans CJK KR"/>
                <w:b w:val="0"/>
                <w:color w:val="000000"/>
                <w:sz w:val="18"/>
              </w:rPr>
              <w:t>코르크 가죽</w:t>
            </w:r>
          </w:p>
        </w:tc>
      </w:tr>
      <w:tr>
        <w:trPr>
          <w:cantSplit/>
        </w:trPr>
        <w:tc>
          <w:tcPr>
            <w:tcW w:type="dxa" w:w="2255"/>
            <w:shd w:fill="F4F4F4"/>
          </w:tcPr>
          <w:p>
            <w:pPr>
              <w:keepNext/>
              <w:spacing w:line="230" w:lineRule="exact" w:before="60" w:after="60"/>
            </w:pPr>
            <w:r>
              <w:rPr>
                <w:rFonts w:ascii="Arial" w:hAnsi="Arial" w:eastAsia="Noto Sans CJK KR"/>
                <w:b w:val="0"/>
                <w:color w:val="000000"/>
                <w:sz w:val="18"/>
              </w:rPr>
              <w:t>핵심 사용 대상</w:t>
            </w:r>
          </w:p>
        </w:tc>
        <w:tc>
          <w:tcPr>
            <w:tcW w:type="dxa" w:w="2255"/>
            <w:shd w:fill="F4F4F4"/>
          </w:tcPr>
          <w:p>
            <w:pPr>
              <w:keepNext/>
              <w:spacing w:line="230" w:lineRule="exact" w:before="60" w:after="60"/>
            </w:pPr>
            <w:r>
              <w:rPr>
                <w:rFonts w:ascii="Arial" w:hAnsi="Arial" w:eastAsia="Noto Sans CJK KR"/>
                <w:b w:val="0"/>
                <w:color w:val="000000"/>
                <w:sz w:val="18"/>
              </w:rPr>
              <w:t>텀블러</w:t>
            </w:r>
          </w:p>
        </w:tc>
        <w:tc>
          <w:tcPr>
            <w:tcW w:type="dxa" w:w="2255"/>
            <w:shd w:fill="F4F4F4"/>
          </w:tcPr>
          <w:p>
            <w:pPr>
              <w:keepNext/>
              <w:spacing w:line="230" w:lineRule="exact" w:before="60" w:after="60"/>
            </w:pPr>
            <w:r>
              <w:rPr>
                <w:rFonts w:ascii="Arial" w:hAnsi="Arial" w:eastAsia="Noto Sans CJK KR"/>
                <w:b w:val="0"/>
                <w:color w:val="000000"/>
                <w:sz w:val="18"/>
              </w:rPr>
              <w:t>텀블러· 테이크아웃 컵·PET병</w:t>
            </w:r>
          </w:p>
        </w:tc>
        <w:tc>
          <w:tcPr>
            <w:tcW w:type="dxa" w:w="2255"/>
            <w:shd w:fill="F4F4F4"/>
          </w:tcPr>
          <w:p>
            <w:pPr>
              <w:keepNext/>
              <w:spacing w:line="230" w:lineRule="exact" w:before="60" w:after="60"/>
            </w:pPr>
            <w:r>
              <w:rPr>
                <w:rFonts w:ascii="Arial" w:hAnsi="Arial" w:eastAsia="Noto Sans CJK KR"/>
                <w:b w:val="0"/>
                <w:color w:val="000000"/>
                <w:sz w:val="18"/>
              </w:rPr>
              <w:t>텀블러</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핵심 가치</w:t>
            </w:r>
          </w:p>
        </w:tc>
        <w:tc>
          <w:tcPr>
            <w:tcW w:type="dxa" w:w="2255"/>
            <w:shd w:fill="FFFFFF"/>
          </w:tcPr>
          <w:p>
            <w:pPr>
              <w:keepNext/>
              <w:spacing w:line="230" w:lineRule="exact" w:before="60" w:after="60"/>
            </w:pPr>
            <w:r>
              <w:rPr>
                <w:rFonts w:ascii="Arial" w:hAnsi="Arial" w:eastAsia="Noto Sans CJK KR"/>
                <w:b w:val="0"/>
                <w:color w:val="000000"/>
                <w:sz w:val="18"/>
              </w:rPr>
              <w:t>휴대성+스타일</w:t>
            </w:r>
          </w:p>
        </w:tc>
        <w:tc>
          <w:tcPr>
            <w:tcW w:type="dxa" w:w="2255"/>
            <w:shd w:fill="FFFFFF"/>
          </w:tcPr>
          <w:p>
            <w:pPr>
              <w:keepNext/>
              <w:spacing w:line="230" w:lineRule="exact" w:before="60" w:after="60"/>
            </w:pPr>
            <w:r>
              <w:rPr>
                <w:rFonts w:ascii="Arial" w:hAnsi="Arial" w:eastAsia="Noto Sans CJK KR"/>
                <w:b w:val="0"/>
                <w:color w:val="000000"/>
                <w:sz w:val="18"/>
              </w:rPr>
              <w:t>양손 자유+쏟음 방지 +다목적</w:t>
            </w:r>
          </w:p>
        </w:tc>
        <w:tc>
          <w:tcPr>
            <w:tcW w:type="dxa" w:w="2255"/>
            <w:shd w:fill="FFFFFF"/>
          </w:tcPr>
          <w:p>
            <w:pPr>
              <w:keepNext/>
              <w:spacing w:line="230" w:lineRule="exact" w:before="60" w:after="60"/>
            </w:pPr>
            <w:r>
              <w:rPr>
                <w:rFonts w:ascii="Arial" w:hAnsi="Arial" w:eastAsia="Noto Sans CJK KR"/>
                <w:b w:val="0"/>
                <w:color w:val="000000"/>
                <w:sz w:val="18"/>
              </w:rPr>
              <w:t>친환경+휴대성+윤리 적 소비</w:t>
            </w:r>
          </w:p>
        </w:tc>
      </w:tr>
      <w:tr>
        <w:trPr>
          <w:cantSplit/>
        </w:trPr>
        <w:tc>
          <w:tcPr>
            <w:tcW w:type="dxa" w:w="2255"/>
            <w:shd w:fill="F4F4F4"/>
          </w:tcPr>
          <w:p>
            <w:pPr>
              <w:keepNext/>
              <w:spacing w:line="230" w:lineRule="exact" w:before="60" w:after="60"/>
            </w:pPr>
            <w:r>
              <w:rPr>
                <w:rFonts w:ascii="Arial" w:hAnsi="Arial" w:eastAsia="Noto Sans CJK KR"/>
                <w:b w:val="0"/>
                <w:color w:val="000000"/>
                <w:sz w:val="18"/>
              </w:rPr>
              <w:t>대표 가격</w:t>
            </w:r>
          </w:p>
        </w:tc>
        <w:tc>
          <w:tcPr>
            <w:tcW w:type="dxa" w:w="2255"/>
            <w:shd w:fill="F4F4F4"/>
          </w:tcPr>
          <w:p>
            <w:pPr>
              <w:keepNext/>
              <w:spacing w:line="230" w:lineRule="exact" w:before="60" w:after="60"/>
            </w:pPr>
            <w:r>
              <w:rPr>
                <w:rFonts w:ascii="Arial" w:hAnsi="Arial" w:eastAsia="Noto Sans CJK KR"/>
                <w:b w:val="0"/>
                <w:color w:val="000000"/>
                <w:sz w:val="18"/>
              </w:rPr>
              <w:t>39,000원</w:t>
            </w:r>
          </w:p>
        </w:tc>
        <w:tc>
          <w:tcPr>
            <w:tcW w:type="dxa" w:w="2255"/>
            <w:shd w:fill="F4F4F4"/>
          </w:tcPr>
          <w:p>
            <w:pPr>
              <w:keepNext/>
              <w:spacing w:line="230" w:lineRule="exact" w:before="60" w:after="60"/>
            </w:pPr>
            <w:r>
              <w:rPr>
                <w:rFonts w:ascii="Arial" w:hAnsi="Arial" w:eastAsia="Noto Sans CJK KR"/>
                <w:b w:val="0"/>
                <w:color w:val="000000"/>
                <w:sz w:val="18"/>
              </w:rPr>
              <w:t>29,900원</w:t>
            </w:r>
          </w:p>
        </w:tc>
        <w:tc>
          <w:tcPr>
            <w:tcW w:type="dxa" w:w="2255"/>
            <w:shd w:fill="F4F4F4"/>
          </w:tcPr>
          <w:p>
            <w:pPr>
              <w:keepNext/>
              <w:spacing w:line="230" w:lineRule="exact" w:before="60" w:after="60"/>
            </w:pPr>
            <w:r>
              <w:rPr>
                <w:rFonts w:ascii="Arial" w:hAnsi="Arial" w:eastAsia="Noto Sans CJK KR"/>
                <w:b w:val="0"/>
                <w:color w:val="000000"/>
                <w:sz w:val="18"/>
              </w:rPr>
              <w:t>29,000~39,000원</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프로젝트 수</w:t>
            </w:r>
          </w:p>
        </w:tc>
        <w:tc>
          <w:tcPr>
            <w:tcW w:type="dxa" w:w="2255"/>
            <w:shd w:fill="FFFFFF"/>
          </w:tcPr>
          <w:p>
            <w:pPr>
              <w:keepNext/>
              <w:spacing w:line="230" w:lineRule="exact" w:before="60" w:after="60"/>
            </w:pPr>
            <w:r>
              <w:rPr>
                <w:rFonts w:ascii="Arial" w:hAnsi="Arial" w:eastAsia="Noto Sans CJK KR"/>
                <w:b w:val="0"/>
                <w:color w:val="000000"/>
                <w:sz w:val="18"/>
              </w:rPr>
              <w:t>2회</w:t>
            </w:r>
          </w:p>
        </w:tc>
        <w:tc>
          <w:tcPr>
            <w:tcW w:type="dxa" w:w="2255"/>
            <w:shd w:fill="FFFFFF"/>
          </w:tcPr>
          <w:p>
            <w:pPr>
              <w:keepNext/>
              <w:spacing w:line="230" w:lineRule="exact" w:before="60" w:after="60"/>
            </w:pPr>
            <w:r>
              <w:rPr>
                <w:rFonts w:ascii="Arial" w:hAnsi="Arial" w:eastAsia="Noto Sans CJK KR"/>
                <w:b w:val="0"/>
                <w:color w:val="000000"/>
                <w:sz w:val="18"/>
              </w:rPr>
              <w:t>7회</w:t>
            </w:r>
          </w:p>
        </w:tc>
        <w:tc>
          <w:tcPr>
            <w:tcW w:type="dxa" w:w="2255"/>
            <w:shd w:fill="FFFFFF"/>
          </w:tcPr>
          <w:p>
            <w:pPr>
              <w:keepNext/>
              <w:spacing w:line="230" w:lineRule="exact" w:before="60" w:after="60"/>
            </w:pPr>
            <w:r>
              <w:rPr>
                <w:rFonts w:ascii="Arial" w:hAnsi="Arial" w:eastAsia="Noto Sans CJK KR"/>
                <w:b w:val="0"/>
                <w:color w:val="000000"/>
                <w:sz w:val="18"/>
              </w:rPr>
              <w:t>2회</w:t>
            </w:r>
          </w:p>
        </w:tc>
      </w:tr>
      <w:tr>
        <w:trPr>
          <w:cantSplit/>
        </w:trPr>
        <w:tc>
          <w:tcPr>
            <w:tcW w:type="dxa" w:w="2255"/>
            <w:shd w:fill="F4F4F4"/>
          </w:tcPr>
          <w:p>
            <w:pPr>
              <w:keepNext w:val="0"/>
              <w:spacing w:line="230" w:lineRule="exact" w:before="60" w:after="60"/>
            </w:pPr>
            <w:r>
              <w:rPr>
                <w:rFonts w:ascii="Arial" w:hAnsi="Arial" w:eastAsia="Noto Sans CJK KR"/>
                <w:b w:val="0"/>
                <w:color w:val="000000"/>
                <w:sz w:val="18"/>
              </w:rPr>
              <w:t>확인되는 운영 흐름</w:t>
            </w:r>
          </w:p>
        </w:tc>
        <w:tc>
          <w:tcPr>
            <w:tcW w:type="dxa" w:w="2255"/>
            <w:shd w:fill="F4F4F4"/>
          </w:tcPr>
          <w:p>
            <w:pPr>
              <w:keepNext w:val="0"/>
              <w:spacing w:line="230" w:lineRule="exact" w:before="60" w:after="60"/>
            </w:pPr>
            <w:r>
              <w:rPr>
                <w:rFonts w:ascii="Arial" w:hAnsi="Arial" w:eastAsia="Noto Sans CJK KR"/>
                <w:b w:val="0"/>
                <w:color w:val="000000"/>
                <w:sz w:val="18"/>
              </w:rPr>
              <w:t>최초 펀딩 → 후속 펀딩 → 와디즈 스토 어 판매</w:t>
            </w:r>
          </w:p>
        </w:tc>
        <w:tc>
          <w:tcPr>
            <w:tcW w:type="dxa" w:w="2255"/>
            <w:shd w:fill="F4F4F4"/>
          </w:tcPr>
          <w:p>
            <w:pPr>
              <w:keepNext w:val="0"/>
              <w:spacing w:line="230" w:lineRule="exact" w:before="60" w:after="60"/>
            </w:pPr>
            <w:r>
              <w:rPr>
                <w:rFonts w:ascii="Arial" w:hAnsi="Arial" w:eastAsia="Noto Sans CJK KR"/>
                <w:b w:val="0"/>
                <w:color w:val="000000"/>
                <w:sz w:val="18"/>
              </w:rPr>
              <w:t>최초 → 반복 앵콜 → 기능 개선 → 프 리오더 반복</w:t>
            </w:r>
          </w:p>
        </w:tc>
        <w:tc>
          <w:tcPr>
            <w:tcW w:type="dxa" w:w="2255"/>
            <w:shd w:fill="F4F4F4"/>
          </w:tcPr>
          <w:p>
            <w:pPr>
              <w:keepNext w:val="0"/>
              <w:spacing w:line="230" w:lineRule="exact" w:before="60" w:after="60"/>
            </w:pPr>
            <w:r>
              <w:rPr>
                <w:rFonts w:ascii="Arial" w:hAnsi="Arial" w:eastAsia="Noto Sans CJK KR"/>
                <w:b w:val="0"/>
                <w:color w:val="000000"/>
                <w:sz w:val="18"/>
              </w:rPr>
              <w:t>시즌1 → 소비자 설 문 → 시즌2 개선</w:t>
            </w:r>
          </w:p>
        </w:tc>
      </w:tr>
    </w:tbl>
    <w:p>
      <w:pPr>
        <w:pStyle w:val="Heading2"/>
        <w:pageBreakBefore w:val="0"/>
        <w:spacing w:before="0"/>
      </w:pPr>
      <w:r>
        <w:rPr>
          <w:rFonts w:ascii="Arial" w:hAnsi="Arial" w:eastAsia="Noto Sans CJK KR"/>
          <w:b/>
          <w:sz w:val="22"/>
        </w:rPr>
        <w:t>2. 국내 판매·펀딩 성공한 유사 제품 사례 소개</w:t>
      </w:r>
    </w:p>
    <w:p>
      <w:pPr>
        <w:pStyle w:val="Heading3"/>
        <w:pageBreakBefore w:val="0"/>
        <w:spacing w:before="360"/>
      </w:pPr>
      <w:r>
        <w:rPr>
          <w:rFonts w:ascii="Arial" w:hAnsi="Arial" w:eastAsia="Noto Sans CJK KR"/>
          <w:b/>
          <w:sz w:val="20"/>
        </w:rPr>
        <w:t>1) SOLEMAMAN: 기능성 제품을 ‘패션 액세서리’로 전환</w:t>
      </w:r>
    </w:p>
    <w:p>
      <w:pPr>
        <w:pageBreakBefore w:val="0"/>
        <w:widowControl/>
        <w:spacing w:before="82"/>
      </w:pPr>
      <w:r>
        <w:rPr>
          <w:rFonts w:ascii="Arial" w:hAnsi="Arial" w:eastAsia="Noto Sans CJK KR"/>
          <w:b w:val="0"/>
          <w:sz w:val="20"/>
        </w:rPr>
        <w:t>https://www.wadiz.io/web/campaign/detail/183766</w:t>
      </w:r>
    </w:p>
    <w:p>
      <w:pPr>
        <w:spacing w:line="240" w:lineRule="auto" w:after="0"/>
        <w:ind w:left="261"/>
      </w:pPr>
      <w:r>
        <w:drawing>
          <wp:inline xmlns:a="http://schemas.openxmlformats.org/drawingml/2006/main" xmlns:pic="http://schemas.openxmlformats.org/drawingml/2006/picture">
            <wp:extent cx="4772126" cy="2201438"/>
            <wp:docPr id="4" name="Picture 4"/>
            <wp:cNvGraphicFramePr>
              <a:graphicFrameLocks noChangeAspect="1"/>
            </wp:cNvGraphicFramePr>
            <a:graphic>
              <a:graphicData uri="http://schemas.openxmlformats.org/drawingml/2006/picture">
                <pic:pic>
                  <pic:nvPicPr>
                    <pic:cNvPr id="0" name="S02_01_source_375.jpg"/>
                    <pic:cNvPicPr/>
                  </pic:nvPicPr>
                  <pic:blipFill>
                    <a:blip r:embed="rId13"/>
                    <a:stretch>
                      <a:fillRect/>
                    </a:stretch>
                  </pic:blipFill>
                  <pic:spPr>
                    <a:xfrm>
                      <a:off x="0" y="0"/>
                      <a:ext cx="4772126" cy="2201438"/>
                    </a:xfrm>
                    <a:prstGeom prst="rect"/>
                  </pic:spPr>
                </pic:pic>
              </a:graphicData>
            </a:graphic>
          </wp:inline>
        </w:drawing>
      </w:r>
    </w:p>
    <w:p>
      <w:pPr>
        <w:pStyle w:val="Heading3"/>
        <w:pageBreakBefore w:val="0"/>
        <w:spacing w:before="83"/>
      </w:pPr>
      <w:r>
        <w:rPr>
          <w:rFonts w:ascii="Arial" w:hAnsi="Arial" w:eastAsia="Noto Sans CJK KR"/>
          <w:b/>
          <w:sz w:val="20"/>
        </w:rPr>
        <w:t>① 제품 및 프로젝트 개요</w:t>
      </w:r>
    </w:p>
    <w:p>
      <w:pPr>
        <w:pageBreakBefore w:val="0"/>
        <w:widowControl/>
        <w:spacing w:before="82"/>
      </w:pPr>
      <w:r>
        <w:rPr>
          <w:rFonts w:ascii="Arial" w:hAnsi="Arial" w:eastAsia="Noto Sans CJK KR"/>
          <w:b w:val="0"/>
          <w:sz w:val="20"/>
        </w:rPr>
        <w:t>SOLEMAMAN은 텀블러를 보다 편리하게 휴대할 수 있도록 설계한 가죽 소재의 텀블러백인 ‘텀블러 메이트’를 와디즈를 통해 선보였다. 확인되는 첫 번째 프로젝트는 2023년 1월 30일부터 2월 16일까지 진행되었으며, 이후 약 한 달 뒤인 2023년 3월 9일부터 3월 23일까지 후속 프로젝트가 진행되었다. 두 프로젝트 모두 제품을 단순한 텀블러 운반용품이 아니라 환경보호와 패션성을 동시에 충족하는 생활소품으로 제시했다. 와디즈 페이지상 대표 판매가격은 두 프로젝트 모두 39,000원으로 확인된다.</w:t>
      </w:r>
    </w:p>
    <w:p>
      <w:pPr>
        <w:pageBreakBefore w:val="0"/>
        <w:widowControl/>
        <w:spacing w:before="360"/>
      </w:pPr>
      <w:r>
        <w:rPr>
          <w:rFonts w:ascii="Arial" w:hAnsi="Arial" w:eastAsia="Noto Sans CJK KR"/>
          <w:b w:val="0"/>
          <w:sz w:val="20"/>
        </w:rPr>
        <w:t>현재 해당 제품은 편딩 종료 후에도 와디즈 스토어에서 39,000원에 지속 판매되고 있다. 스토어 페이지에는 이전 펀딩 성과로 누적 1,012만 원 이상, 119명 펀딩 참여가 표시되며, 현재 스토어 판매에서도 별도로 166명의 참여가 확인된다. 이는 펀딩을 통해 시장성을 검증한 이후 제품을 상시 판매로 연결했다는 점에서 의미가 있다.</w:t>
      </w:r>
    </w:p>
    <w:p>
      <w:pPr>
        <w:pStyle w:val="Heading3"/>
        <w:pageBreakBefore w:val="0"/>
        <w:spacing w:before="360"/>
      </w:pPr>
      <w:r>
        <w:rPr>
          <w:rFonts w:ascii="Arial" w:hAnsi="Arial" w:eastAsia="Noto Sans CJK KR"/>
          <w:b/>
          <w:sz w:val="20"/>
        </w:rPr>
        <w:t>② 가격 전략</w:t>
      </w:r>
    </w:p>
    <w:p>
      <w:pPr>
        <w:pageBreakBefore w:val="0"/>
        <w:widowControl/>
        <w:spacing w:before="80"/>
      </w:pPr>
      <w:r>
        <w:rPr>
          <w:rFonts w:ascii="Arial" w:hAnsi="Arial" w:eastAsia="Noto Sans CJK KR"/>
          <w:b w:val="0"/>
          <w:sz w:val="20"/>
        </w:rPr>
        <w:t>SOLEMAMAN의 대표 판매가격은 39,000원으로, 단순 컵홀더나 스트랩 제품과 비교하면 상대적으로 높은 가격대에 속한다. 그럼에도 제품을 단순한 기능성 소품이 아니라 고급 가죽 소재를 사용한 패션 액세서리로 포지셔닝함으로써 가격에 대한 소비자 저항을 낮추려 한 것으로 볼 수 있다. 와디즈 프로젝트 제목에서도 ‘스타일 OK’, ‘맞춤조절 OK’, ‘고급 디자인 텀블러백’이라는 표현을 사용하여 가격보다는 디자인과 기능적 가치를 먼저 강조하고 있다.</w:t>
      </w:r>
    </w:p>
    <w:p>
      <w:pPr>
        <w:pageBreakBefore w:val="0"/>
        <w:widowControl/>
        <w:spacing w:before="360"/>
      </w:pPr>
      <w:r>
        <w:rPr>
          <w:rFonts w:ascii="Arial" w:hAnsi="Arial" w:eastAsia="Noto Sans CJK KR"/>
          <w:b w:val="0"/>
          <w:sz w:val="20"/>
        </w:rPr>
        <w:t>특히 SOLEMAMAN 사례는 저가 경쟁보다는 제품의 인지된 가치 자체를 높이는 전략을 취했다는 점에서 Cup Tie 2와 비교할 가치가 있다. Cup Tie 2의 일반 펀딩가는 14,900원으로 SOLEMAMAN보다 훨씬 낮았지만, SOLEMAMAN은 39,000원이라는 높은 가격에도 불구하고 실제 펀딩과 후속 판매로 연결되었다. 따라서 생활소품의 경우 절대적인 가격 수준보다 소비자가 해당 가격을 납득할 수 있도록 소재, 디자인, 패션성, 사용 편의성을 충분히 전달하는 것이 중요할 가능성을 보여준다.</w:t>
      </w:r>
    </w:p>
    <w:p>
      <w:pPr>
        <w:pStyle w:val="Heading3"/>
        <w:pageBreakBefore w:val="0"/>
        <w:spacing w:before="0"/>
      </w:pPr>
      <w:r>
        <w:rPr>
          <w:rFonts w:ascii="Arial" w:hAnsi="Arial" w:eastAsia="Noto Sans CJK KR"/>
          <w:b/>
          <w:sz w:val="20"/>
        </w:rPr>
        <w:t>③ 제품 설명 및 상세페이지 구성</w:t>
      </w:r>
    </w:p>
    <w:p>
      <w:pPr>
        <w:pageBreakBefore w:val="0"/>
        <w:widowControl/>
        <w:spacing w:before="82"/>
      </w:pPr>
      <w:r>
        <w:rPr>
          <w:rFonts w:ascii="Arial" w:hAnsi="Arial" w:eastAsia="Noto Sans CJK KR"/>
          <w:b w:val="0"/>
          <w:sz w:val="20"/>
        </w:rPr>
        <w:t>SOLEMAMAN의 상세페이지는 먼저 텀블러 사용의 필요성을 제시한 뒤 제품의 필요성을 설명하는 구조를 취하고 있다. 프로젝트는 일회용 종이컵과 플라스틱 빨대 사용 문제를 언급하면서, 텀블러 사용 자체를 환경보호 실천으로 연결한다. 이후 텀블러를 실제로 들고 다닐 때 발생하는 문제, 즉 가방 안에서 부피를 많이 차지하고 내용물이 흐를 수 있다는 걱정을 제시한다.</w:t>
      </w:r>
    </w:p>
    <w:p>
      <w:pPr>
        <w:pageBreakBefore w:val="0"/>
        <w:widowControl/>
        <w:spacing w:before="360"/>
      </w:pPr>
      <w:r>
        <w:rPr>
          <w:rFonts w:ascii="Arial" w:hAnsi="Arial" w:eastAsia="Noto Sans CJK KR"/>
          <w:b w:val="0"/>
          <w:sz w:val="20"/>
        </w:rPr>
        <w:t>이후 이러한 불편을 해결하는 방식으로 텀블러백을 소개하는데, 단순히 ‘텀블러를 넣는 가방’으로 설명하지 않고 “텀블러백도 하나의 패션 아이템이 될 수 있다”는 방향으로 제품을 재해석한다. 즉 상세페이지의 논리는 다음과 같이 정리할 수 있다.</w:t>
      </w:r>
    </w:p>
    <w:p>
      <w:pPr>
        <w:pStyle w:val="Heading3"/>
        <w:pageBreakBefore w:val="0"/>
        <w:spacing w:before="360"/>
      </w:pPr>
      <w:r>
        <w:rPr>
          <w:rFonts w:ascii="Arial" w:hAnsi="Arial" w:eastAsia="Noto Sans CJK KR"/>
          <w:b/>
          <w:sz w:val="20"/>
        </w:rPr>
        <w:t>환경문제 인식 → 텀블러 사용 필요 → 텀블러 휴대 불편 → 패션성을 갖춘 텀블러백 제안</w:t>
      </w:r>
    </w:p>
    <w:p>
      <w:pPr>
        <w:pageBreakBefore w:val="0"/>
        <w:widowControl/>
        <w:spacing w:before="80"/>
      </w:pPr>
      <w:r>
        <w:rPr>
          <w:rFonts w:ascii="Arial" w:hAnsi="Arial" w:eastAsia="Noto Sans CJK KR"/>
          <w:b w:val="0"/>
          <w:sz w:val="20"/>
        </w:rPr>
        <w:t>이러한 구성은 기능 설명부터 시작하는 일반적인 제품 상세페이지와 달리, 소비자가 먼저 자신의 생활 속 문제를 떠올리도록 한 뒤 제품을 해결책으로 제시한다는 특징이 있다. 또한 ‘환경과 스타일을 동시에 지킨다’는 메시지를 통해 기능적 가치와 감성적 가치를 동시에 전달한다.</w:t>
      </w:r>
    </w:p>
    <w:p>
      <w:pPr>
        <w:pStyle w:val="Heading3"/>
        <w:pageBreakBefore w:val="0"/>
        <w:spacing w:before="360"/>
      </w:pPr>
      <w:r>
        <w:rPr>
          <w:rFonts w:ascii="Arial" w:hAnsi="Arial" w:eastAsia="Noto Sans CJK KR"/>
          <w:b/>
          <w:sz w:val="20"/>
        </w:rPr>
        <w:t>④ 판매·배송 방식</w:t>
      </w:r>
    </w:p>
    <w:p>
      <w:pPr>
        <w:pageBreakBefore w:val="0"/>
        <w:widowControl/>
        <w:spacing w:before="80"/>
      </w:pPr>
      <w:r>
        <w:rPr>
          <w:rFonts w:ascii="Arial" w:hAnsi="Arial" w:eastAsia="Noto Sans CJK KR"/>
          <w:b w:val="0"/>
          <w:sz w:val="20"/>
        </w:rPr>
        <w:t>SOLEMAMAN은 와디즈에서 1차 펀딩 이후 후속 프로젝트를 진행하고, 이후 동일 제품을 와디즈 스토어에서 상시 판매하는 방식으로 유통을 이어갔다. 즉 크라우드펀딩을 통해 초기 시장 반응을 확인한 뒤 일반 판매로 전환한 구조라고 볼 수 있다. 현재 와디즈 스토어에서도 제품은 39,000원에 판매되고 있으며, 기존 펀딩 실적과 구매자 반응이 함께 노출되어 신규 소비자의 신뢰 형성에 활용되고 있다.</w:t>
      </w:r>
    </w:p>
    <w:p>
      <w:pPr>
        <w:pageBreakBefore w:val="0"/>
        <w:widowControl/>
        <w:spacing w:before="360"/>
      </w:pPr>
      <w:r>
        <w:rPr>
          <w:rFonts w:ascii="Arial" w:hAnsi="Arial" w:eastAsia="Noto Sans CJK KR"/>
          <w:b w:val="0"/>
          <w:sz w:val="20"/>
        </w:rPr>
        <w:t>배송은 국내 재고를 기반으로 구매 후 1일 이내 발송하며 기본 배송비는 3,500원이다. 이러한 방식은 해외 발주가 필요한 Cup Tie 2와 비교했을 때 배송 기간이 짧고 과정이 단순하다는 장점이 있다. 반면 Cup Tie 2는 대만 본사 주문 후 약 2~4주의 출고 리드타임과 국제운송 과정을 거쳐야 하므로 배송 측면에서 소비자의 대기 부담과 운영상의 불확실성이 상대적으로 큰 것을 알 수 있었다.</w:t>
      </w:r>
    </w:p>
    <w:p>
      <w:pPr>
        <w:pStyle w:val="Heading3"/>
        <w:pageBreakBefore w:val="0"/>
        <w:spacing w:before="360"/>
      </w:pPr>
      <w:r>
        <w:rPr>
          <w:rFonts w:ascii="Arial" w:hAnsi="Arial" w:eastAsia="Noto Sans CJK KR"/>
          <w:b/>
          <w:sz w:val="20"/>
        </w:rPr>
        <w:t>⑤ Cup Tie 2와의 비교 및 시사점</w:t>
      </w:r>
    </w:p>
    <w:p>
      <w:pPr>
        <w:pageBreakBefore w:val="0"/>
        <w:widowControl/>
        <w:spacing w:before="82"/>
      </w:pPr>
      <w:r>
        <w:rPr>
          <w:rFonts w:ascii="Arial" w:hAnsi="Arial" w:eastAsia="Noto Sans CJK KR"/>
          <w:b w:val="0"/>
          <w:sz w:val="20"/>
        </w:rPr>
        <w:t>SOLEMAMAN과 Cup Tie 2는 모두 텀블러 또는 음료를 손에 직접 들지 않고 휴대할 수 있도록 한다는 공통점을 가진다. 그러나 두 제품이 소비자에게 제시하는 핵심 가치는 다르다. SOLEMAMAN은 ‘텀블러 휴대 편의성’을 ‘패션 액세서리’라는 가치로 확장했다. 반면 Cup Tie 2는 휴대성, 캐릭터 디자인, 친환경성, 대만 음료문화 등 여러 요소를 동시에 강조하였다. 이로 인해 Cup Tie 2는 제품 자체의 특성은 다양했지만, 소비자가 제품의 핵심 구매 이유를 한 가지로 명확하게 인식하기 어려웠을 가능성이 있다.</w:t>
      </w:r>
    </w:p>
    <w:p>
      <w:pPr>
        <w:pageBreakBefore w:val="0"/>
        <w:widowControl/>
        <w:spacing w:before="360"/>
      </w:pPr>
      <w:r>
        <w:rPr>
          <w:rFonts w:ascii="Arial" w:hAnsi="Arial" w:eastAsia="Noto Sans CJK KR"/>
          <w:b w:val="0"/>
          <w:sz w:val="20"/>
        </w:rPr>
        <w:t>또한 SOLEMAMAN의 사례는 높은 가격이 반드시 판매 저해요인으로 작용하는 것은 아니라는 점을 보여준다. SOLEMAMAN의 대표가격은 39,000원으로 Cup Tie 2의 13,900~14,900원</w:t>
      </w:r>
    </w:p>
    <w:p>
      <w:pPr>
        <w:pageBreakBefore w:val="0"/>
        <w:widowControl/>
        <w:spacing w:before="0"/>
      </w:pPr>
      <w:r>
        <w:rPr>
          <w:rFonts w:ascii="Arial" w:hAnsi="Arial" w:eastAsia="Noto Sans CJK KR"/>
          <w:b w:val="0"/>
          <w:sz w:val="20"/>
        </w:rPr>
        <w:t>보다 상당히 높았지만, 제품을 고급 가죽 패션소품으로 포지셔닝함으로써 가격을 뒷받침하는 가치를 제시하였다. 따라서 Cup Tie 2의 후속 전략에서는 단순한 가격 인하보다 “왜 이 제품을 사야 하는가”를 소비자가 즉각적으로 이해할 수 있도록 하나의 중심 가치를 강화하는 전략이 필요하다.</w:t>
      </w:r>
    </w:p>
    <w:p>
      <w:pPr>
        <w:pageBreakBefore w:val="0"/>
        <w:widowControl/>
        <w:spacing w:before="360"/>
      </w:pPr>
      <w:r>
        <w:rPr>
          <w:rFonts w:ascii="Arial" w:hAnsi="Arial" w:eastAsia="Noto Sans CJK KR"/>
          <w:b w:val="0"/>
          <w:sz w:val="20"/>
        </w:rPr>
        <w:t>또한 펀딩 이후 후속 판매가 이어졌다는 점에서도 차이가 있다. SOLEMAMAN은 펀딩 이후에도 와디즈 스토어를 통해 판매를 지속하면서 기존 구매 실적과 후기를 다시 신규 고객 확보에 활용하고 있다. 이에 따라 Cup Tie 2 역시 1차 펀딩 결과를 단순한 실패로 보기보다는, 당시 확보된 관심 소비자와 구매자의 반응을 활용해 제품 메시지와 사용성을 보완한 뒤 후속 펀딩 또는 일반 온라인 판매로 연결하는 전략을 검토할 필요가 있다.</w:t>
      </w:r>
    </w:p>
    <w:p>
      <w:pPr>
        <w:pStyle w:val="Heading3"/>
        <w:pageBreakBefore w:val="0"/>
        <w:spacing w:before="360"/>
      </w:pPr>
      <w:r>
        <w:rPr>
          <w:rFonts w:ascii="Arial" w:hAnsi="Arial" w:eastAsia="Noto Sans CJK KR"/>
          <w:b/>
          <w:sz w:val="20"/>
        </w:rPr>
        <w:t>2) ㈜코제스: 기능을 중시하는 드링크 백 겸 패션 파우치</w:t>
      </w:r>
    </w:p>
    <w:p>
      <w:pPr>
        <w:pageBreakBefore w:val="0"/>
        <w:widowControl/>
        <w:spacing w:before="82"/>
      </w:pPr>
      <w:r>
        <w:rPr>
          <w:rFonts w:ascii="Arial" w:hAnsi="Arial" w:eastAsia="Noto Sans CJK KR"/>
          <w:b w:val="0"/>
          <w:sz w:val="20"/>
        </w:rPr>
        <w:t>https://www.wadiz.io/web/campaign/detail/159825</w:t>
      </w:r>
    </w:p>
    <w:p>
      <w:pPr>
        <w:spacing w:line="240" w:lineRule="auto" w:after="0"/>
        <w:ind w:left="261"/>
      </w:pPr>
      <w:r>
        <w:drawing>
          <wp:inline xmlns:a="http://schemas.openxmlformats.org/drawingml/2006/main" xmlns:pic="http://schemas.openxmlformats.org/drawingml/2006/picture">
            <wp:extent cx="4758410" cy="2152363"/>
            <wp:docPr id="5" name="Picture 5"/>
            <wp:cNvGraphicFramePr>
              <a:graphicFrameLocks noChangeAspect="1"/>
            </wp:cNvGraphicFramePr>
            <a:graphic>
              <a:graphicData uri="http://schemas.openxmlformats.org/drawingml/2006/picture">
                <pic:pic>
                  <pic:nvPicPr>
                    <pic:cNvPr id="0" name="S04_01_source_374.jpg"/>
                    <pic:cNvPicPr/>
                  </pic:nvPicPr>
                  <pic:blipFill>
                    <a:blip r:embed="rId14"/>
                    <a:stretch>
                      <a:fillRect/>
                    </a:stretch>
                  </pic:blipFill>
                  <pic:spPr>
                    <a:xfrm>
                      <a:off x="0" y="0"/>
                      <a:ext cx="4758410" cy="2152363"/>
                    </a:xfrm>
                    <a:prstGeom prst="rect"/>
                  </pic:spPr>
                </pic:pic>
              </a:graphicData>
            </a:graphic>
          </wp:inline>
        </w:drawing>
      </w:r>
    </w:p>
    <w:p>
      <w:pPr>
        <w:pStyle w:val="Heading3"/>
        <w:pageBreakBefore w:val="0"/>
        <w:spacing w:before="360"/>
      </w:pPr>
      <w:r>
        <w:rPr>
          <w:rFonts w:ascii="Arial" w:hAnsi="Arial" w:eastAsia="Noto Sans CJK KR"/>
          <w:b/>
          <w:sz w:val="20"/>
        </w:rPr>
        <w:t>① 제품 및 프로젝트 개요</w:t>
      </w:r>
    </w:p>
    <w:p>
      <w:pPr>
        <w:pageBreakBefore w:val="0"/>
        <w:widowControl/>
        <w:spacing w:before="82"/>
      </w:pPr>
      <w:r>
        <w:rPr>
          <w:rFonts w:ascii="Arial" w:hAnsi="Arial" w:eastAsia="Noto Sans CJK KR"/>
          <w:b w:val="0"/>
          <w:sz w:val="20"/>
        </w:rPr>
        <w:t>주식회사 코제스는 #2GO라는 드링크백 겸 패션 파우치를 와디즈에서 반복적으로 선보였다. 제품은 백팩, 캐리어, 숄더백 등의 스트랩이나 폴에 부착하여 테이크아웃 커피, 텀블러, 페트병 등을 휴대할 수 있도록 설계되었으며, 음료가 필요하지 않을 때에는 소지품을 넣는 파우치로도 사용할 수 있다. 코제스는 제품을 단순한 컵홀더가 아니라 “나의 3번째 손”으로 표현하며, 양손이 짐과 음료로 차 있는 상황에서 발생하는 불편을 해결하는 제품으로 포지셔닝하였다. 제공된 7개 프로젝트를 보면 2022년부터 2025년까지 동일 제품군을 지속적으로 펀딩·프리오더하면서 제품 개선과 판매를 반복했다는 점이 특징이다.</w:t>
      </w:r>
    </w:p>
    <w:p>
      <w:pPr>
        <w:pStyle w:val="Heading3"/>
        <w:pageBreakBefore w:val="0"/>
        <w:spacing w:before="360"/>
      </w:pPr>
      <w:r>
        <w:rPr>
          <w:rFonts w:ascii="Arial" w:hAnsi="Arial" w:eastAsia="Noto Sans CJK KR"/>
          <w:b/>
          <w:sz w:val="20"/>
        </w:rPr>
        <w:t>② 가격 전략</w:t>
      </w:r>
    </w:p>
    <w:p>
      <w:pPr>
        <w:pageBreakBefore w:val="0"/>
        <w:widowControl/>
        <w:spacing w:before="82"/>
      </w:pPr>
      <w:r>
        <w:rPr>
          <w:rFonts w:ascii="Arial" w:hAnsi="Arial" w:eastAsia="Noto Sans CJK KR"/>
          <w:b w:val="0"/>
          <w:sz w:val="20"/>
        </w:rPr>
        <w:t>코제스의 프로젝트별 와디즈 페이지 대표 표시가격을 보면 초기 26,600원에서 시작해 이후 28,300원, 29,900원, 33,300원 등으로 점차 상승했다. 2024년과 2025년 프로젝트에는 66,600원이 대표가격으로 표시되는데, 이는 세트 구성 등이 포함된 페이지 대표가격이므로 단품가격과 동일하게 해석하기보다는 프로젝트 표시가격으로 보는 것이 적절하다.</w:t>
      </w:r>
    </w:p>
    <w:p>
      <w:pPr>
        <w:pageBreakBefore w:val="0"/>
        <w:widowControl/>
        <w:spacing w:before="0"/>
      </w:pPr>
      <w:r>
        <w:rPr>
          <w:rFonts w:ascii="Arial" w:hAnsi="Arial" w:eastAsia="Noto Sans CJK KR"/>
          <w:b w:val="0"/>
          <w:sz w:val="20"/>
        </w:rPr>
        <w:t>흥미로운 점은 반복 펀딩 과정에서 가격을 지속적으로 낮추기보다는 제품 기능과 구성의 확대에 맞춰 가격을 유지하거나 높였다는 점이다. 이는 저가 전략보다 제품의 기능적 가치를 강화하면서 소비자의 지불의사를 확보한 사례로 볼 수 있다.</w:t>
      </w:r>
    </w:p>
    <w:p>
      <w:pPr>
        <w:pStyle w:val="Heading3"/>
        <w:pageBreakBefore w:val="0"/>
        <w:spacing w:before="360"/>
      </w:pPr>
      <w:r>
        <w:rPr>
          <w:rFonts w:ascii="Arial" w:hAnsi="Arial" w:eastAsia="Noto Sans CJK KR"/>
          <w:b/>
          <w:sz w:val="20"/>
        </w:rPr>
        <w:t>③ 제품 설명 및 상세페이지 구성</w:t>
      </w:r>
    </w:p>
    <w:p>
      <w:pPr>
        <w:pageBreakBefore w:val="0"/>
        <w:widowControl/>
        <w:spacing w:before="82"/>
      </w:pPr>
      <w:r>
        <w:rPr>
          <w:rFonts w:ascii="Arial" w:hAnsi="Arial" w:eastAsia="Noto Sans CJK KR"/>
          <w:b w:val="0"/>
          <w:sz w:val="20"/>
        </w:rPr>
        <w:t>코제스의 상세페이지는 전반적으로 일상 속 불편 제시 → 제품 사용 장면 → 기능 검증 → 다양한 활용법 순서로 구성된다. 예를 들어 한 손에는 음료, 다른 한 손에는 짐을 들고 있는 상황에서 휴대전화가 울리는 장면을 제시한 뒤, “양손의 자유”와 “3번째 손”이라는 메시지로 제품의 필요성을 설명한다.</w:t>
      </w:r>
    </w:p>
    <w:p>
      <w:pPr>
        <w:pageBreakBefore w:val="0"/>
        <w:widowControl/>
        <w:spacing w:before="360"/>
      </w:pPr>
      <w:r>
        <w:rPr>
          <w:rFonts w:ascii="Arial" w:hAnsi="Arial" w:eastAsia="Noto Sans CJK KR"/>
          <w:b w:val="0"/>
          <w:sz w:val="20"/>
        </w:rPr>
        <w:t>제품의 기능도 구체적인 실험을 통해 보여준다. 일반 드링크홀더와 달리 #2GO는 양쪽 두 개의 축이 움직이면서 음료의 수평을 유지하도록 설계됐다고 설명하며, 회전대에 제품을 부착한 비교 실험과 실제 보행·자전거·캐리어 사용 장면을 제시한다.</w:t>
      </w:r>
    </w:p>
    <w:p>
      <w:pPr>
        <w:pageBreakBefore w:val="0"/>
        <w:widowControl/>
        <w:spacing w:before="360"/>
      </w:pPr>
      <w:r>
        <w:rPr>
          <w:rFonts w:ascii="Arial" w:hAnsi="Arial" w:eastAsia="Noto Sans CJK KR"/>
          <w:b w:val="0"/>
          <w:sz w:val="20"/>
        </w:rPr>
        <w:t>또한 단순한 음료 휴대 기능에서 끝나지 않고 드링크백 + 패션 파우치의 2in1 기능을 강조한다. 최신 프로젝트에서도 백팩, 캐리어, 유모차 등 여러 곳에 부착할 수 있고, 음료와 휴대폰 등 소지품을 함께 보관할 수 있다는 점을 주요 장점으로 제시하였다.</w:t>
      </w:r>
    </w:p>
    <w:p>
      <w:pPr>
        <w:pStyle w:val="Heading3"/>
        <w:pageBreakBefore w:val="0"/>
        <w:spacing w:before="360"/>
      </w:pPr>
      <w:r>
        <w:rPr>
          <w:rFonts w:ascii="Arial" w:hAnsi="Arial" w:eastAsia="Noto Sans CJK KR"/>
          <w:b/>
          <w:sz w:val="20"/>
        </w:rPr>
        <w:t>④ 판매·배송 방식</w:t>
      </w:r>
    </w:p>
    <w:p>
      <w:pPr>
        <w:pageBreakBefore w:val="0"/>
        <w:widowControl/>
        <w:spacing w:before="80"/>
      </w:pPr>
      <w:r>
        <w:rPr>
          <w:rFonts w:ascii="Arial" w:hAnsi="Arial" w:eastAsia="Noto Sans CJK KR"/>
          <w:b w:val="0"/>
          <w:sz w:val="20"/>
        </w:rPr>
        <w:t>코제스는 동일한 #2GO 제품을 와디즈에서 펀딩과 프리오더 방식으로 반복 판매하였다. 또한 한국 정식 총판 및 국내 독점 판매권을 강조하고, 해외 직구보다 국내 판매를 통한 A/S와 품질보증이 유리하다는 점을 구매 근거로 제시하였다.</w:t>
      </w:r>
    </w:p>
    <w:p>
      <w:pPr>
        <w:pageBreakBefore w:val="0"/>
        <w:widowControl/>
        <w:spacing w:before="360"/>
      </w:pPr>
      <w:r>
        <w:rPr>
          <w:rFonts w:ascii="Arial" w:hAnsi="Arial" w:eastAsia="Noto Sans CJK KR"/>
          <w:b w:val="0"/>
          <w:sz w:val="20"/>
        </w:rPr>
        <w:t>배송은 로젠택배, 기본 배송비 3,000원, 이중 박스 포장 방식으로 운영되었으며 제주·도서산간 지역에는 3,000원의 추가 배송비가 부과됐다. 제품 하자에 대해서는 수령 후 7일 이내 환불 신청과 1개월의 제품 보증기간을 안내하였다. 이러한 국내 배송·A/S 체계는 해외 수입과 국제운송이 필요한 Cup Tie 2보다 구매 이후의 불확실성을 낮추는 요소라고 볼 수 있다.</w:t>
      </w:r>
    </w:p>
    <w:p>
      <w:pPr>
        <w:pStyle w:val="Heading3"/>
        <w:pageBreakBefore w:val="0"/>
        <w:spacing w:before="360"/>
      </w:pPr>
      <w:r>
        <w:rPr>
          <w:rFonts w:ascii="Arial" w:hAnsi="Arial" w:eastAsia="Noto Sans CJK KR"/>
          <w:b/>
          <w:sz w:val="20"/>
        </w:rPr>
        <w:t>⑤ Cup Tie 2와의 비교 및 시사점</w:t>
      </w:r>
    </w:p>
    <w:p>
      <w:pPr>
        <w:pageBreakBefore w:val="0"/>
        <w:widowControl/>
        <w:spacing w:before="82"/>
      </w:pPr>
      <w:r>
        <w:rPr>
          <w:rFonts w:ascii="Arial" w:hAnsi="Arial" w:eastAsia="Noto Sans CJK KR"/>
          <w:b w:val="0"/>
          <w:sz w:val="20"/>
        </w:rPr>
        <w:t>코제스의 #2GO와 Cup Tie 2는 모두 음료를 직접 손에 들지 않고 휴대하도록 하는 제품이라는 점에서 매우 유사하다. 그러나 제품 가치를 설명하는 방식에서는 차이가 있다. Cup Tie 2는 휴대성, 캐릭터 디자인, 친환경성, 대만 브랜드라는 다양한 요소를 함께 강조한 반면, 코제스는 여러 차례의 펀딩에서도 “3번째 손이 되어 양손을 자유롭게 해준다”는 하나의 핵심 편익을 지속적으로 반복하였다.</w:t>
      </w:r>
    </w:p>
    <w:p>
      <w:pPr>
        <w:pageBreakBefore w:val="0"/>
        <w:widowControl/>
        <w:spacing w:before="360"/>
      </w:pPr>
      <w:r>
        <w:rPr>
          <w:rFonts w:ascii="Arial" w:hAnsi="Arial" w:eastAsia="Noto Sans CJK KR"/>
          <w:b w:val="0"/>
          <w:sz w:val="20"/>
        </w:rPr>
        <w:t>또한 #2GO는 컵·텀블러뿐 아니라 소지품 파우치로 사용할 수 있어 사용 빈도를 높였고, 기존 구매자의 의견을 실제 제품 개선으로 연결했다. 반면 Cup Tie 2는 사용 목적이 컵 휴대에 보다 집중되어 있고, 첫 펀딩 이후 소비자 의견을 반영한 후속 제품이나 앵콜 프로젝트로 이어지지 않았다.</w:t>
      </w:r>
    </w:p>
    <w:p>
      <w:pPr>
        <w:pageBreakBefore w:val="0"/>
        <w:widowControl/>
        <w:spacing w:before="360"/>
      </w:pPr>
      <w:r>
        <w:rPr>
          <w:rFonts w:ascii="Arial" w:hAnsi="Arial" w:eastAsia="Noto Sans CJK KR"/>
          <w:b w:val="0"/>
          <w:sz w:val="20"/>
        </w:rPr>
        <w:t>따 라서 Cup Tie 2의 후속 시장진입에서는 새로운 기능을 무조건 추가하기보다, 먼저 핵심</w:t>
      </w:r>
    </w:p>
    <w:p>
      <w:pPr>
        <w:pageBreakBefore w:val="0"/>
        <w:widowControl/>
        <w:spacing w:before="0"/>
      </w:pPr>
      <w:r>
        <w:rPr>
          <w:rFonts w:ascii="Arial" w:hAnsi="Arial" w:eastAsia="Noto Sans CJK KR"/>
          <w:b w:val="0"/>
          <w:sz w:val="20"/>
        </w:rPr>
        <w:t>구매 이유를 하나로 명확하게 설정하고, 첫 펀딩에서 확보된 관심자와 구매자를 대상으로 사용 후기와 불편사항을 수집하여 이를 후속 제품 및 상세페이지 개선에 반영하는 방식이 필요하다.</w:t>
      </w:r>
    </w:p>
    <w:p>
      <w:pPr>
        <w:pStyle w:val="Heading3"/>
        <w:pageBreakBefore w:val="0"/>
        <w:spacing w:before="360"/>
      </w:pPr>
      <w:r>
        <w:rPr>
          <w:rFonts w:ascii="Arial" w:hAnsi="Arial" w:eastAsia="Noto Sans CJK KR"/>
          <w:b/>
          <w:sz w:val="20"/>
        </w:rPr>
        <w:t>3) CORCO(주식회사 엘앤제이): 친환경성과 브랜드 스토리를 강하게 결합한 사례</w:t>
      </w:r>
    </w:p>
    <w:p>
      <w:pPr>
        <w:pageBreakBefore w:val="0"/>
        <w:widowControl/>
        <w:spacing w:before="80"/>
      </w:pPr>
      <w:r>
        <w:rPr>
          <w:rFonts w:ascii="Arial" w:hAnsi="Arial" w:eastAsia="Noto Sans CJK KR"/>
          <w:b w:val="0"/>
          <w:sz w:val="20"/>
        </w:rPr>
        <w:t>https://www.wadiz.io/web/campaign/detail/26014</w:t>
      </w:r>
    </w:p>
    <w:p>
      <w:pPr>
        <w:spacing w:line="240" w:lineRule="auto" w:after="0"/>
        <w:ind w:left="261"/>
      </w:pPr>
      <w:r>
        <w:drawing>
          <wp:inline xmlns:a="http://schemas.openxmlformats.org/drawingml/2006/main" xmlns:pic="http://schemas.openxmlformats.org/drawingml/2006/picture">
            <wp:extent cx="4750803" cy="2159136"/>
            <wp:docPr id="6" name="Picture 6"/>
            <wp:cNvGraphicFramePr>
              <a:graphicFrameLocks noChangeAspect="1"/>
            </wp:cNvGraphicFramePr>
            <a:graphic>
              <a:graphicData uri="http://schemas.openxmlformats.org/drawingml/2006/picture">
                <pic:pic>
                  <pic:nvPicPr>
                    <pic:cNvPr id="0" name="S06_01_source_374.jpg"/>
                    <pic:cNvPicPr/>
                  </pic:nvPicPr>
                  <pic:blipFill>
                    <a:blip r:embed="rId15"/>
                    <a:stretch>
                      <a:fillRect/>
                    </a:stretch>
                  </pic:blipFill>
                  <pic:spPr>
                    <a:xfrm>
                      <a:off x="0" y="0"/>
                      <a:ext cx="4750803" cy="2159136"/>
                    </a:xfrm>
                    <a:prstGeom prst="rect"/>
                  </pic:spPr>
                </pic:pic>
              </a:graphicData>
            </a:graphic>
          </wp:inline>
        </w:drawing>
      </w:r>
    </w:p>
    <w:p>
      <w:pPr>
        <w:pStyle w:val="Heading3"/>
        <w:pageBreakBefore w:val="0"/>
        <w:spacing w:before="360"/>
      </w:pPr>
      <w:r>
        <w:rPr>
          <w:rFonts w:ascii="Arial" w:hAnsi="Arial" w:eastAsia="Noto Sans CJK KR"/>
          <w:b/>
          <w:sz w:val="20"/>
        </w:rPr>
        <w:t>① 제품 및 프로젝트 개요</w:t>
      </w:r>
    </w:p>
    <w:p>
      <w:pPr>
        <w:pageBreakBefore w:val="0"/>
        <w:widowControl/>
        <w:spacing w:before="80"/>
      </w:pPr>
      <w:r>
        <w:rPr>
          <w:rFonts w:ascii="Arial" w:hAnsi="Arial" w:eastAsia="Noto Sans CJK KR"/>
          <w:b w:val="0"/>
          <w:sz w:val="20"/>
        </w:rPr>
        <w:t>CORCO는 코르크 가죽을 활용한 드링크백 및 드링크홀더를 와디즈에서 판매하였다. 1차 프로젝트는 2018년 11월부터 12월까지 진행되었으며, 코르크 드링크백과 스테인리스 텀블러·스트로우를 하나의 친환경 세트로 구성하였다. 이후 2019년 5~6월에는 기존 제품의 소비자 의견을 반영한 시즌2 앵콜 프로젝트를 진행하였다.</w:t>
      </w:r>
    </w:p>
    <w:p>
      <w:pPr>
        <w:pageBreakBefore w:val="0"/>
        <w:widowControl/>
        <w:spacing w:before="360"/>
      </w:pPr>
      <w:r>
        <w:rPr>
          <w:rFonts w:ascii="Arial" w:hAnsi="Arial" w:eastAsia="Noto Sans CJK KR"/>
          <w:b w:val="0"/>
          <w:sz w:val="20"/>
        </w:rPr>
        <w:t>CORCO의 가장 큰 특징은 단순한 음료 휴대용품이 아니라 친환경·윤리적 소비를 실천하는 제품으로 포지셔닝했다는 점이다. 프로젝트 제목에서도 “플라스틱 대신 스테인리스를, 동물가죽 대신 착한 코르크가죽을”이라는 메시지를 전면에 제시하였다.</w:t>
      </w:r>
    </w:p>
    <w:p>
      <w:pPr>
        <w:pStyle w:val="Heading3"/>
        <w:pageBreakBefore w:val="0"/>
        <w:spacing w:before="360"/>
      </w:pPr>
      <w:r>
        <w:rPr>
          <w:rFonts w:ascii="Arial" w:hAnsi="Arial" w:eastAsia="Noto Sans CJK KR"/>
          <w:b/>
          <w:sz w:val="20"/>
        </w:rPr>
        <w:t>② 가격 전략</w:t>
      </w:r>
    </w:p>
    <w:p>
      <w:pPr>
        <w:pageBreakBefore w:val="0"/>
        <w:widowControl/>
        <w:spacing w:before="80"/>
      </w:pPr>
      <w:r>
        <w:rPr>
          <w:rFonts w:ascii="Arial" w:hAnsi="Arial" w:eastAsia="Noto Sans CJK KR"/>
          <w:b w:val="0"/>
          <w:sz w:val="20"/>
        </w:rPr>
        <w:t>1차 프로젝트는 드링크백뿐 아니라 텀블러와 스테인리스 빨대를 함께 구성한 세트형 리워드를 중심으로 운영하였다. 단품 자체의 가격 경쟁보다는 여러 친환경 제품을 하나의 세트로 묶어 전체적인 가치소비 경험을 제공하는 방식을 사용한 것이 특징이다.</w:t>
      </w:r>
    </w:p>
    <w:p>
      <w:pPr>
        <w:pageBreakBefore w:val="0"/>
        <w:widowControl/>
        <w:spacing w:before="360"/>
      </w:pPr>
      <w:r>
        <w:rPr>
          <w:rFonts w:ascii="Arial" w:hAnsi="Arial" w:eastAsia="Noto Sans CJK KR"/>
          <w:b w:val="0"/>
          <w:sz w:val="20"/>
        </w:rPr>
        <w:t>시즌2 프로젝트의 페이지 대표가격은 33,000원으로 확인된다. 시즌2에서는 드링크백, 드링크홀더, 스트로우 등을 각각 선택할 수 있도록 리워드 구성을 세분화하여 소비자 선택 폭을 확대하였다.</w:t>
      </w:r>
    </w:p>
    <w:p>
      <w:pPr>
        <w:pageBreakBefore w:val="0"/>
        <w:widowControl/>
        <w:spacing w:before="360"/>
      </w:pPr>
      <w:r>
        <w:rPr>
          <w:rFonts w:ascii="Arial" w:hAnsi="Arial" w:eastAsia="Noto Sans CJK KR"/>
          <w:b w:val="0"/>
          <w:sz w:val="20"/>
        </w:rPr>
        <w:t>따라서 CORCO는 저가 중심의 가격 전략보다는 코르크 소재의 희소성, 친환경성, 디자인 가치를 가격에 반영하는 방식을 취했다고 볼 수 있다.</w:t>
      </w:r>
    </w:p>
    <w:p>
      <w:pPr>
        <w:pStyle w:val="Heading3"/>
        <w:pageBreakBefore w:val="0"/>
        <w:spacing w:before="0"/>
      </w:pPr>
      <w:r>
        <w:rPr>
          <w:rFonts w:ascii="Arial" w:hAnsi="Arial" w:eastAsia="Noto Sans CJK KR"/>
          <w:b/>
          <w:sz w:val="20"/>
        </w:rPr>
        <w:t>③ 제품 설명 및 상세페이지 구성</w:t>
      </w:r>
    </w:p>
    <w:p>
      <w:pPr>
        <w:pageBreakBefore w:val="0"/>
        <w:widowControl/>
        <w:spacing w:before="82"/>
      </w:pPr>
      <w:r>
        <w:rPr>
          <w:rFonts w:ascii="Arial" w:hAnsi="Arial" w:eastAsia="Noto Sans CJK KR"/>
          <w:b w:val="0"/>
          <w:sz w:val="20"/>
        </w:rPr>
        <w:t>CORCO의 상세페이지는 다른 사례보다 브랜드 스토리와 환경적 가치를 강하게 강조한다. 1차 프로젝트에서는 플라스틱 쓰레기 문제를 먼저 제시하고, 이후 동물가죽을 사용하지 않는 코르크 가죽의 생산 방식과 특성을 설명한 뒤 제품을 소개한다. 특히 코르크나무를 벌목하지 않고 껍질만 채취한다는 점과 코르크 가죽의 발수성·내구성을 자세히 설명하여 친환경 소재에 대한 소비자의 의문을 해소하려 했다.</w:t>
      </w:r>
    </w:p>
    <w:p>
      <w:pPr>
        <w:pageBreakBefore w:val="0"/>
        <w:widowControl/>
        <w:spacing w:before="360"/>
      </w:pPr>
      <w:r>
        <w:rPr>
          <w:rFonts w:ascii="Arial" w:hAnsi="Arial" w:eastAsia="Noto Sans CJK KR"/>
          <w:b w:val="0"/>
          <w:sz w:val="20"/>
        </w:rPr>
        <w:t>상세페이지 구조는 다음과 같이 정리할 수 있다. 환경문제 제시 → 코르크 소재 소개 → 브</w:t>
      </w:r>
    </w:p>
    <w:p>
      <w:pPr>
        <w:pStyle w:val="Heading3"/>
        <w:pageBreakBefore w:val="0"/>
        <w:spacing w:before="80"/>
      </w:pPr>
      <w:r>
        <w:rPr>
          <w:rFonts w:ascii="Arial" w:hAnsi="Arial" w:eastAsia="Noto Sans CJK KR"/>
          <w:b/>
          <w:sz w:val="20"/>
        </w:rPr>
        <w:t>랜드 철학 → 제품 기능 → 구매를 통한 가치소비</w:t>
      </w:r>
    </w:p>
    <w:p>
      <w:pPr>
        <w:pageBreakBefore w:val="0"/>
        <w:widowControl/>
        <w:spacing w:before="80"/>
      </w:pPr>
      <w:r>
        <w:rPr>
          <w:rFonts w:ascii="Arial" w:hAnsi="Arial" w:eastAsia="Noto Sans CJK KR"/>
          <w:b w:val="0"/>
          <w:sz w:val="20"/>
        </w:rPr>
        <w:t>또한 CORCO는 순수익의 5%를 동물권행동 카라에 기부하고, 기부 결과도 이후 공개하겠다고 명시하였다. 즉 제품 구매를 단순 소비가 아니라 환경·동물보호 활동에 참여하는 행위로 연결하였다.</w:t>
      </w:r>
    </w:p>
    <w:p>
      <w:pPr>
        <w:pageBreakBefore w:val="0"/>
        <w:widowControl/>
        <w:spacing w:before="360"/>
      </w:pPr>
      <w:r>
        <w:rPr>
          <w:rFonts w:ascii="Arial" w:hAnsi="Arial" w:eastAsia="Noto Sans CJK KR"/>
          <w:b w:val="0"/>
          <w:sz w:val="20"/>
        </w:rPr>
        <w:t>CORCO에서 가장 주목할 부분은 시즌2 제품의 개발 방식이다. 시즌1 종료 후 소비자를 대상으로 설문조사를 진행했고, 총 161명이 참여하였다. CORCO는 이 의견을 바탕으로 시즌2 제품을 실제로 개선하였다.</w:t>
      </w:r>
    </w:p>
    <w:p>
      <w:pPr>
        <w:pStyle w:val="Heading3"/>
        <w:pageBreakBefore w:val="0"/>
        <w:spacing w:before="360"/>
      </w:pPr>
      <w:r>
        <w:rPr>
          <w:rFonts w:ascii="Arial" w:hAnsi="Arial" w:eastAsia="Noto Sans CJK KR"/>
          <w:b/>
          <w:sz w:val="20"/>
        </w:rPr>
        <w:t>④ 판매·배송 방식</w:t>
      </w:r>
    </w:p>
    <w:p>
      <w:pPr>
        <w:pageBreakBefore w:val="0"/>
        <w:widowControl/>
        <w:spacing w:before="80"/>
      </w:pPr>
      <w:r>
        <w:rPr>
          <w:rFonts w:ascii="Arial" w:hAnsi="Arial" w:eastAsia="Noto Sans CJK KR"/>
          <w:b w:val="0"/>
          <w:sz w:val="20"/>
        </w:rPr>
        <w:t>CORCO는 1차 펀딩 이후 소비자 피드백을 반영하여 시즌2 앵콜 프로젝트를 진행하는 방식으로 판매를 이어갔다. 특히 시즌2에서는 리워드 종류를 다양화해 드링크백뿐 아니라 홀더와 스트로우 등을 선택할 수 있도록 하였다.</w:t>
      </w:r>
    </w:p>
    <w:p>
      <w:pPr>
        <w:pageBreakBefore w:val="0"/>
        <w:widowControl/>
        <w:spacing w:before="360"/>
      </w:pPr>
      <w:r>
        <w:rPr>
          <w:rFonts w:ascii="Arial" w:hAnsi="Arial" w:eastAsia="Noto Sans CJK KR"/>
          <w:b w:val="0"/>
          <w:sz w:val="20"/>
        </w:rPr>
        <w:t>배송은 롯데택배를 이용했으며, 1차 프로젝트는 하루 약 300개, 시즌2는 하루 약 200개씩 펀딩 순으로 순차 발송한다고 구체적으로 안내하였다. 시즌2에서는 브랜드의 친환경 철학과 일관되게 비닐 사용을 최소화하고 종이 중심의 최소포장을 적용한다고 명시하였다.</w:t>
      </w:r>
    </w:p>
    <w:p>
      <w:pPr>
        <w:pStyle w:val="Heading3"/>
        <w:pageBreakBefore w:val="0"/>
        <w:spacing w:before="360"/>
      </w:pPr>
      <w:r>
        <w:rPr>
          <w:rFonts w:ascii="Arial" w:hAnsi="Arial" w:eastAsia="Noto Sans CJK KR"/>
          <w:b/>
          <w:sz w:val="20"/>
        </w:rPr>
        <w:t>⑤ Cup Tie 2와의 비교 및 시사점</w:t>
      </w:r>
    </w:p>
    <w:p>
      <w:pPr>
        <w:pageBreakBefore w:val="0"/>
        <w:widowControl/>
        <w:spacing w:before="360"/>
      </w:pPr>
      <w:r>
        <w:rPr>
          <w:rFonts w:ascii="Arial" w:hAnsi="Arial" w:eastAsia="Noto Sans CJK KR"/>
          <w:b w:val="0"/>
          <w:sz w:val="20"/>
        </w:rPr>
        <w:t>CORCO와 Cup Tie 2는 모두 반복 사용할 수 있는 음료 휴대용 액세서리라는 공통점을 가진다. 그러나 CORCO는 ‘코르크 소재와 윤리적 소비’라는 하나의 중심적인 브랜드 가치를 매우 강하게 구축했다는 차이가 있다.</w:t>
      </w:r>
    </w:p>
    <w:p>
      <w:pPr>
        <w:pageBreakBefore w:val="0"/>
        <w:widowControl/>
        <w:spacing w:before="82"/>
      </w:pPr>
      <w:r>
        <w:rPr>
          <w:rFonts w:ascii="Arial" w:hAnsi="Arial" w:eastAsia="Noto Sans CJK KR"/>
          <w:b w:val="0"/>
          <w:sz w:val="20"/>
        </w:rPr>
        <w:t>Cup Tie 2 역시 친환경성을 강조했지만, 휴대성·캐릭터·대만 문화·실리콘 소재 등 여러 요소를 동시에 전달하였다. 반면 CORCO는 모든 요소를 “자연과 공존하는 소비”라는 하나의 메시지 안에 연결하였다.</w:t>
      </w:r>
    </w:p>
    <w:p>
      <w:pPr>
        <w:pageBreakBefore w:val="0"/>
        <w:widowControl/>
        <w:spacing w:before="82"/>
      </w:pPr>
      <w:r>
        <w:rPr>
          <w:rFonts w:ascii="Arial" w:hAnsi="Arial" w:eastAsia="Noto Sans CJK KR"/>
          <w:b w:val="0"/>
          <w:sz w:val="20"/>
        </w:rPr>
        <w:t>또한 Cup Tie 2의 후속 전략에서 특히 참고할 만한 부분은 소비자 피드백을 활용한 시즌2 방식이다. Cup Tie 2도 기존 펀딩에서 확보한 알림신청자와 구매자를 대상으로 호환성, 스트랩 길이, 디자인, 적정 가격 등에 대한 설문을 실시한 뒤 이를 제품 또는 판매 방식 개선에 반영할 수 있다.</w:t>
      </w:r>
    </w:p>
    <w:p>
      <w:pPr>
        <w:pageBreakBefore w:val="0"/>
        <w:widowControl/>
        <w:spacing w:before="80"/>
      </w:pPr>
      <w:r>
        <w:rPr>
          <w:rFonts w:ascii="Arial" w:hAnsi="Arial" w:eastAsia="Noto Sans CJK KR"/>
          <w:b w:val="0"/>
          <w:sz w:val="20"/>
        </w:rPr>
        <w:t>즉 CORCO 사례는 첫 펀딩의 결과를 단순 성공·실패로 판단하기보다는 소비자 반응을 다음 제품 개발의 자료로 활용하는 것이 중요하다는 점을 보여준다.</w:t>
      </w:r>
    </w:p>
    <w:p>
      <w:pPr>
        <w:pStyle w:val="Heading2"/>
        <w:pageBreakBefore/>
        <w:spacing w:before="160"/>
      </w:pPr>
      <w:r>
        <w:rPr>
          <w:rFonts w:ascii="Arial" w:hAnsi="Arial" w:eastAsia="Noto Sans CJK KR"/>
          <w:b/>
          <w:sz w:val="22"/>
        </w:rPr>
        <w:t>3-4. 선행연구와 연구의 분석 관점</w:t>
      </w:r>
    </w:p>
    <w:p>
      <w:pPr>
        <w:pageBreakBefore w:val="0"/>
        <w:spacing w:before="180"/>
      </w:pPr>
      <w:r>
        <w:rPr>
          <w:rFonts w:ascii="Arial" w:hAnsi="Arial" w:eastAsia="Noto Sans CJK KR"/>
          <w:b w:val="0"/>
          <w:sz w:val="20"/>
        </w:rPr>
        <w:t>크라우드펀딩은 해외 제품을 대량으로 확보하기 전에 국내 소비자의 반응을 살펴볼 수 있다는 점에서 소규모 수입사업에 활용될 수 있다. 다만 페이지 방문과 알림 신청은 제품에 대한 관심을 보여주는 지표이고, 예약결제는 비용 지불을 전제로 한 참여라는 점에서 차이가 있다. 이에 본 연구는 소비자의 반응을 ‘관심 형성–예약결제–발주 및 유통 실행’의 과정으로 살펴보고자 한다.</w:t>
      </w:r>
    </w:p>
    <w:p>
      <w:pPr>
        <w:pageBreakBefore w:val="0"/>
        <w:spacing w:before="180"/>
      </w:pPr>
      <w:r>
        <w:rPr>
          <w:rFonts w:ascii="Arial" w:hAnsi="Arial" w:eastAsia="Noto Sans CJK KR"/>
          <w:b w:val="0"/>
          <w:sz w:val="20"/>
        </w:rPr>
        <w:t>Rodríguez-Garnica·Gutiérrez-Urtiaga·Tribó(2025)는 Kickstarter 프로젝트의 일별 자료를 분석하여, 초기 참여자의 판단에서 제품과 제작자가 제공하는 정보가 중요하게 작용하고 이후 참여가 초기 참여자의 선택을 따르는 양상을 보고하였다. 이 연구는 펀딩 초기에 제품의 기능과 신뢰할 수 있는 정보를 충분히 제시하고, 관심을 가진 소비자와의 접점을 유지하는 문제를 검토하는 데 참고가 된다. 본 사례에서는 상세페이지의 설명 방식, 사용 장면, 사전 홍보와 알림 신청 이후의 참여를 연결하여 살펴본다.</w:t>
      </w:r>
      <w:r>
        <w:rPr>
          <w:rStyle w:val="FootnoteReference"/>
        </w:rPr>
        <w:footnoteReference w:id="1"/>
      </w:r>
    </w:p>
    <w:p>
      <w:pPr>
        <w:pageBreakBefore w:val="0"/>
        <w:spacing w:before="180"/>
      </w:pPr>
      <w:r>
        <w:rPr>
          <w:rFonts w:ascii="Arial" w:hAnsi="Arial" w:eastAsia="Noto Sans CJK KR"/>
          <w:b w:val="0"/>
          <w:sz w:val="20"/>
        </w:rPr>
        <w:t>또한 펀딩을 통해 자금을 모집하는 것과 약속한 상품을 공급하는 것은 각각 준비가 필요한 과정이다. Appio 외(2020)는 성공적으로 펀딩된 기술 프로젝트 1,567건을 대상으로 보상 배송지연을 분석하였다. 기술 신제품과 기성 생활용품의 수입은 공급 방식이 다르지만, 펀딩 이후 상품 공급과 배송 일정까지 검토해야 한다는 관점은 본 연구에도 적용할 수 있다. Cup Tie 2의 경우 해외 공급처의 출고 준비기간, 국제운송, 수입통관과 국내 배송을 고려하여 판매 일정과 발주 규모를 설계할 필요가 있다.</w:t>
      </w:r>
      <w:r>
        <w:rPr>
          <w:rStyle w:val="FootnoteReference"/>
        </w:rPr>
        <w:footnoteReference w:id="2"/>
      </w:r>
    </w:p>
    <w:p>
      <w:pPr>
        <w:pageBreakBefore w:val="0"/>
        <w:spacing w:before="180"/>
      </w:pPr>
      <w:r>
        <w:rPr>
          <w:rFonts w:ascii="Arial" w:hAnsi="Arial" w:eastAsia="Noto Sans CJK KR"/>
          <w:b w:val="0"/>
          <w:sz w:val="20"/>
        </w:rPr>
        <w:t>이러한 논의를 바탕으로 본 연구에서는 공급업체와의 이메일 및 견적, 와디즈 운영 지표, SNS 기록, 대만 현지 관찰과 본사 미팅을 활용한다. 먼저 제품을 선정하고 거래조건을 확보한 과정을 정리한 뒤, 국내 유사 펀딩 사례와 가격·설명·리워드·배송 방식을 비교한다. 이어 예약결제 결과를 공급가격과 물류비에 연결하여, 확인된 수요가 실제 주문과 국내 유통을 추진할 만한 규모였는지 검토한다. 마지막으로 공급조건·가격·물류·마케팅의 개선 방향을 도출한다.</w:t>
      </w:r>
    </w:p>
    <w:p>
      <w:pPr>
        <w:pageBreakBefore w:val="0"/>
        <w:spacing w:before="100" w:line="205" w:lineRule="exact"/>
      </w:pPr>
      <w:r>
        <w:rPr>
          <w:rFonts w:ascii="Arial" w:hAnsi="Arial" w:eastAsia="Noto Sans CJK KR"/>
          <w:b w:val="0"/>
          <w:sz w:val="16"/>
        </w:rPr>
        <w:t>주: 위 두 연구는 공개 재현자료에 보존된 초록·서지를 통해 확인한 범위에서 인용하였다.</w:t>
      </w:r>
    </w:p>
    <w:p>
      <w:pPr>
        <w:pStyle w:val="Heading1"/>
        <w:pageBreakBefore/>
        <w:spacing w:before="0"/>
      </w:pPr>
      <w:r>
        <w:rPr>
          <w:rFonts w:ascii="Arial" w:hAnsi="Arial" w:eastAsia="Noto Sans CJK KR"/>
          <w:b/>
          <w:sz w:val="24"/>
        </w:rPr>
        <w:t>Ⅳ. 사전 준비 (국내)</w:t>
      </w:r>
    </w:p>
    <w:p>
      <w:pPr>
        <w:pStyle w:val="Heading2"/>
        <w:pageBreakBefore w:val="0"/>
        <w:spacing w:before="249"/>
      </w:pPr>
      <w:r>
        <w:rPr>
          <w:rFonts w:ascii="Arial" w:hAnsi="Arial" w:eastAsia="Noto Sans CJK KR"/>
          <w:b/>
          <w:sz w:val="22"/>
        </w:rPr>
        <w:t>4-1. Bone Collection 브랜드·제품 분석 및 기업 컨택</w:t>
      </w:r>
    </w:p>
    <w:p>
      <w:pPr>
        <w:pStyle w:val="Heading3"/>
        <w:pageBreakBefore w:val="0"/>
        <w:spacing w:before="244"/>
      </w:pPr>
      <w:r>
        <w:rPr>
          <w:rFonts w:ascii="Arial" w:hAnsi="Arial" w:eastAsia="Noto Sans CJK KR"/>
          <w:b/>
          <w:sz w:val="20"/>
        </w:rPr>
        <w:t>1) 브랜드 개요</w:t>
      </w:r>
    </w:p>
    <w:p>
      <w:pPr>
        <w:pageBreakBefore w:val="0"/>
        <w:widowControl/>
        <w:spacing w:before="241"/>
      </w:pPr>
      <w:r>
        <w:rPr>
          <w:rFonts w:ascii="Arial" w:hAnsi="Arial" w:eastAsia="Noto Sans CJK KR"/>
          <w:b w:val="0"/>
          <w:sz w:val="20"/>
        </w:rPr>
        <w:t>Bone Collection은 2005년 대만에서 설립된 디자인 중심의 라이프스타일 브랜드로, 본사는 신베이시(New Taipei City)에 위치하며 직원 수는 51~100명 규모이다. 브랜드 슬로건은 “Bone Makes You Different”로, 일상생활에서 발생하는 작은 불편을 관찰하고 이를 기능적인 디자인을 통해 해결하는 것을 주요 제품 개발 방향으로 삼고 있다. 이러한 철학을 바탕으로 컵홀더 스트랩을 비롯하여 스마트폰 액세서리, 자전거 액세서리, 실리콘 생활용품 등 다양한 제품군을 개발해 왔으며, 공식 온라인 채널과 Amazon, Pinkoi, eBay 등 글로벌 전자상거래 플랫폼을 통해 해외시장에도 제품을 판매하고 있다.</w:t>
      </w:r>
    </w:p>
    <w:p>
      <w:pPr>
        <w:pageBreakBefore w:val="0"/>
        <w:widowControl/>
        <w:spacing w:before="241"/>
      </w:pPr>
      <w:r>
        <w:rPr>
          <w:rFonts w:ascii="Arial" w:hAnsi="Arial" w:eastAsia="Noto Sans CJK KR"/>
          <w:b w:val="0"/>
          <w:sz w:val="20"/>
        </w:rPr>
        <w:t>특히 Bone Collection은 디자인 소품보다 일상에서 반복적으로 사용할 수 있는 기능성 생활용품을 주요 제품군으로 구성하고 있다는 특징을 가진다. 제품 개발 과정에서도 휴대성, 반복 사용 가능성, 세척 및 관리의 편의성 등 실제 사용 환경을 고려한 디자인을 강조하고 있으며, 이러한 특성은 본 연구에서 검토한 Cup Tie 시리즈에서도 확인할 수 있다. 또한 실리콘 소재를 활용하여 제품의 내구성과 반복 사용 가능성을 높이고, 일회용품 사용을 줄이는 방향을 브랜드 가치 중 하나로 제시하고 있다.</w:t>
      </w:r>
    </w:p>
    <w:p>
      <w:pPr>
        <w:pageBreakBefore w:val="0"/>
        <w:widowControl/>
        <w:spacing w:before="241"/>
      </w:pPr>
      <w:r>
        <w:rPr>
          <w:rFonts w:ascii="Arial" w:hAnsi="Arial" w:eastAsia="Noto Sans CJK KR"/>
          <w:b w:val="0"/>
          <w:sz w:val="20"/>
        </w:rPr>
        <w:t>본 연구팀은 이러한 브랜드 특성이 국내 시장 진입 가능성을 검토하기 위한 대만 로컬브랜드 사례로서 적절하다고 판단하였다. 특히 Bone Collection은 이미 자사 제품을 해외 온라인 플랫폼을 통해 판매하고 있어 해외시장 진출 경험을 보유하고 있는 반면, 한국에서는 브랜드 및 Cup Tie 제품군에 대한 인지도가 충분히 형성되지 않은 상태였다. 따라서 이미 국내 수요가 확립된 해외 유명 브랜드의 제품을 도입하는 사례와 달리, 한국 소비자에게 아직 익숙하지 않은 대만 로컬브랜드의 제품을 발굴하고 국내 수요를 검증한 뒤 실제 발주 및 유통 가능성을 판단하는 과정을 살펴보기에 적합하였다.</w:t>
      </w:r>
    </w:p>
    <w:p>
      <w:pPr>
        <w:pageBreakBefore w:val="0"/>
        <w:widowControl/>
        <w:spacing w:before="241"/>
      </w:pPr>
      <w:r>
        <w:rPr>
          <w:rFonts w:ascii="Arial" w:hAnsi="Arial" w:eastAsia="Noto Sans CJK KR"/>
          <w:b w:val="0"/>
          <w:sz w:val="20"/>
        </w:rPr>
        <w:t>또한 본 연구에서 Bone Collection을 주목한 이유는 제품의 친환경적 특성이나 디자인에만 있지 않다. 해외 공급처와 직접 접촉하여 공급가격, 주문 단위, 샘플 제공, 국제운송 조건 등 실제 거래조건을 협의할 수 있었으며, 이를 바탕으로 제품 공급부터 국내 판매까지의 비용 구조를 구체적으로 검토할 수 있다는 점도 중요한 선정 요인이었다.</w:t>
      </w:r>
    </w:p>
    <w:p>
      <w:pPr>
        <w:pStyle w:val="Heading3"/>
        <w:pageBreakBefore w:val="0"/>
        <w:spacing w:before="223"/>
      </w:pPr>
      <w:r>
        <w:rPr>
          <w:rFonts w:ascii="Arial" w:hAnsi="Arial" w:eastAsia="Noto Sans CJK KR"/>
          <w:b/>
          <w:sz w:val="20"/>
        </w:rPr>
        <w:t>2) 핵심 제품: Cup Tie 시리즈</w:t>
      </w:r>
    </w:p>
    <w:p>
      <w:pPr>
        <w:pageBreakBefore w:val="0"/>
        <w:widowControl/>
        <w:spacing w:before="237"/>
      </w:pPr>
      <w:r>
        <w:rPr>
          <w:rFonts w:ascii="Arial" w:hAnsi="Arial" w:eastAsia="Noto Sans CJK KR"/>
          <w:b w:val="0"/>
          <w:sz w:val="20"/>
        </w:rPr>
        <w:t>본 연구팀이 국내 수입 및 판매 가능성을 검토한 제품은 Bone Collection의 Cup Tie 시리즈로, 1세대 Cup Tie와 이를 개선한 2세대 Cup Tie 2로 구성된다. Cup Tie 시리즈는 테이크아웃 음료컵이나 텀블러에 실리콘 홀더를 장착하여 스트랩 형태로 휴대할 수 있도록 설계된 생활 액세서리이다.</w:t>
      </w:r>
    </w:p>
    <w:p>
      <w:pPr>
        <w:pStyle w:val="Heading3"/>
        <w:pageBreakBefore w:val="0"/>
        <w:spacing w:before="241"/>
      </w:pPr>
      <w:r>
        <w:rPr>
          <w:rFonts w:ascii="Arial" w:hAnsi="Arial" w:eastAsia="Noto Sans CJK KR"/>
          <w:b/>
          <w:sz w:val="20"/>
        </w:rPr>
        <w:t>Cup Tie (1세대)</w:t>
      </w:r>
    </w:p>
    <w:p>
      <w:pPr>
        <w:pageBreakBefore w:val="0"/>
        <w:widowControl/>
        <w:spacing w:before="241"/>
      </w:pPr>
      <w:r>
        <w:rPr>
          <w:rFonts w:ascii="Arial" w:hAnsi="Arial" w:eastAsia="Noto Sans CJK KR"/>
          <w:b w:val="0"/>
          <w:sz w:val="20"/>
        </w:rPr>
        <w:t>1세대 Cup Tie는 친환경 실리콘 소재(Eco-friendly silicone)로 제작된 휴대용 컵캐리어로, 직경 7~10cm의 원형 테두리(rim)가 있는 컵에 범용적으로 사용할 수 있도록 설계되었다. 냉음료와 온음료 모두에 사용할 수 있으며, 방수·방오 특성을 갖추고 있어 세척 후 반복 사용이 가능하다. 제품의 크기는 W120 × H180 × D10mm, 무게는 17g으로, 사용하지 않을 때에는 납작하게 접어 가방이나 주머니에 보관할 수 있도록 휴대성을 고려하였다. 또한 빨대를 고정할 수 있는 스트로 홀더를 제품에 포함하여 음료 이동 과정에서의 편의성을 높였다.</w:t>
      </w:r>
    </w:p>
    <w:p>
      <w:pPr>
        <w:pageBreakBefore w:val="0"/>
        <w:widowControl/>
        <w:spacing w:before="0"/>
      </w:pPr>
      <w:r>
        <w:rPr>
          <w:rFonts w:ascii="Arial" w:hAnsi="Arial" w:eastAsia="Noto Sans CJK KR"/>
          <w:b w:val="0"/>
          <w:sz w:val="20"/>
        </w:rPr>
        <w:t>디자인은 블랙, 화이트, 퍼플, 그린의 단색 컬러 4종과 캐릭터 버전으로 구성되어 있다. 캐릭터 버전에는 Bone Collection의 자체 캐릭터인 마루 펭귄(Maru Penguin), 패티 덕(Patti Duck), 미스터 디어(Mr. Deer), 미아오 캣(Miao Cat) 4종과 포켓몬 라이선스를 활용한 아르세우스(Arceus), 이브이(Eevee), 피카츄(Pikachu), 잠만보(Snorlax) 4종이 포함되어 있어 기능성 제품에 캐릭터 디자인을 결합한 것이 특징이다. 이러한 제품 구성은 동일한 기능을 가진 제품이라도 색상과 캐릭터에 따라 소비자가 자신의 취향에 맞는 옵션을 선택할 수 있도록 한다.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35"/>
        <w:gridCol w:w="5640"/>
      </w:tblGrid>
      <w:tr>
        <w:tc>
          <w:tcPr>
            <w:tcW w:type="dxa" w:w="4520"/>
          </w:tcPr>
          <w:p>
            <w:pPr>
              <w:spacing w:line="240" w:lineRule="auto" w:after="0"/>
            </w:pPr>
            <w:r>
              <w:drawing>
                <wp:inline xmlns:a="http://schemas.openxmlformats.org/drawingml/2006/main" xmlns:pic="http://schemas.openxmlformats.org/drawingml/2006/picture">
                  <wp:extent cx="1990725" cy="2000171"/>
                  <wp:docPr id="7" name="Picture 7"/>
                  <wp:cNvGraphicFramePr>
                    <a:graphicFrameLocks noChangeAspect="1"/>
                  </wp:cNvGraphicFramePr>
                  <a:graphic>
                    <a:graphicData uri="http://schemas.openxmlformats.org/drawingml/2006/picture">
                      <pic:pic>
                        <pic:nvPicPr>
                          <pic:cNvPr id="0" name="P02_01_source_156.jpg"/>
                          <pic:cNvPicPr/>
                        </pic:nvPicPr>
                        <pic:blipFill>
                          <a:blip r:embed="rId16"/>
                          <a:stretch>
                            <a:fillRect/>
                          </a:stretch>
                        </pic:blipFill>
                        <pic:spPr>
                          <a:xfrm>
                            <a:off x="0" y="0"/>
                            <a:ext cx="1990725" cy="2000171"/>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813050" cy="1419027"/>
                  <wp:docPr id="8" name="Picture 8"/>
                  <wp:cNvGraphicFramePr>
                    <a:graphicFrameLocks noChangeAspect="1"/>
                  </wp:cNvGraphicFramePr>
                  <a:graphic>
                    <a:graphicData uri="http://schemas.openxmlformats.org/drawingml/2006/picture">
                      <pic:pic>
                        <pic:nvPicPr>
                          <pic:cNvPr id="0" name="P02_02_source_221.jpg"/>
                          <pic:cNvPicPr/>
                        </pic:nvPicPr>
                        <pic:blipFill>
                          <a:blip r:embed="rId17"/>
                          <a:stretch>
                            <a:fillRect/>
                          </a:stretch>
                        </pic:blipFill>
                        <pic:spPr>
                          <a:xfrm>
                            <a:off x="0" y="0"/>
                            <a:ext cx="2813050" cy="1419027"/>
                          </a:xfrm>
                          <a:prstGeom prst="rect"/>
                        </pic:spPr>
                      </pic:pic>
                    </a:graphicData>
                  </a:graphic>
                </wp:inline>
              </w:drawing>
            </w:r>
          </w:p>
        </w:tc>
      </w:tr>
    </w:tbl>
    <w:p>
      <w:pPr>
        <w:pStyle w:val="Heading3"/>
        <w:pageBreakBefore w:val="0"/>
        <w:spacing w:before="283"/>
      </w:pPr>
      <w:r>
        <w:rPr>
          <w:rFonts w:ascii="Arial" w:hAnsi="Arial" w:eastAsia="Noto Sans CJK KR"/>
          <w:b/>
          <w:sz w:val="20"/>
        </w:rPr>
        <w:t>Cup Tie 2 (2세대)</w:t>
      </w:r>
    </w:p>
    <w:p>
      <w:pPr>
        <w:pageBreakBefore w:val="0"/>
        <w:widowControl/>
        <w:spacing w:before="241"/>
      </w:pPr>
      <w:r>
        <w:rPr>
          <w:rFonts w:ascii="Arial" w:hAnsi="Arial" w:eastAsia="Noto Sans CJK KR"/>
          <w:b w:val="0"/>
          <w:sz w:val="20"/>
        </w:rPr>
        <w:t>Cup Tie 2는 1세대의 기본적인 제품 구조를 유지하면서 휴대성과 사용 편의성을 개선한 2세대 모델이다. 350ml~750ml의 다양한 시판 음료컵에 사용할 수 있으며, 제품 크기는 W93 × H187 × D18mm, 무게는 22g이다. 특히 1세대와 비교하여 가장 두드러지는 변화는 폴더블 스트랩(foldable strap) 구조이다. 사용하지 않을 때 스트랩을 홀더 내부로 접어 수납할 수 있어 보관이 용이한 점이 장점이다.</w:t>
      </w:r>
    </w:p>
    <w:p>
      <w:pPr>
        <w:pageBreakBefore w:val="0"/>
        <w:widowControl/>
        <w:spacing w:before="241"/>
      </w:pPr>
      <w:r>
        <w:rPr>
          <w:rFonts w:ascii="Arial" w:hAnsi="Arial" w:eastAsia="Noto Sans CJK KR"/>
          <w:b w:val="0"/>
          <w:sz w:val="20"/>
        </w:rPr>
        <w:t>또한 가는 빨대와 굵은 빨대를 모두 고정할 수 있는 스트로 링(straw ring)을 적용하여 일반적인 테이크아웃 커피뿐 아니라 굵은 빨대를 사용하는 버블티 등 다양한 음료에 활용할 수 있도록 설계되었다. 제품은 실리콘 소재로 제작되어 물세척 후 반복적으로 사용할 수 있으며, 다양한 크기의 음료컵에 하나의 제품을 활용할 수 있다는 점에서 범용성을 갖는다. 이러한 기능적 개선은 특정 브랜드나 규격의 음료컵에 사용 범위가 제한되는 것을 줄이고, 다양한 테이크아웃 음료 소비 상황에서 활용할 수 있도록 한 것이 특징이다.</w:t>
      </w:r>
    </w:p>
    <w:p>
      <w:pPr>
        <w:pageBreakBefore w:val="0"/>
        <w:widowControl/>
        <w:spacing w:before="241"/>
      </w:pPr>
      <w:r>
        <w:rPr>
          <w:rFonts w:ascii="Arial" w:hAnsi="Arial" w:eastAsia="Noto Sans CJK KR"/>
          <w:b w:val="0"/>
          <w:sz w:val="20"/>
        </w:rPr>
        <w:t>디자인은 블랙과 화이트의 단색 2종과 Bone Collection의 오리지널 캐릭터인 패티 덕(Patti Duck), 미스터 디어(Mr. Deer), 미아오 캣(Miao Cat), 아울 웨스(Owl Wes) 4종으로 구성된다. 기능 중심의 단색 제품과 캐릭터를 활용한 디자인 제품을 함께 구성함으로써 소비자가 자신의 취향에 따라 제품을 선택할 수 있도록 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45"/>
        <w:gridCol w:w="4770"/>
      </w:tblGrid>
      <w:tr>
        <w:tc>
          <w:tcPr>
            <w:tcW w:type="dxa" w:w="4520"/>
          </w:tcPr>
          <w:p>
            <w:pPr>
              <w:spacing w:line="240" w:lineRule="auto" w:after="0"/>
            </w:pPr>
            <w:r>
              <w:drawing>
                <wp:inline xmlns:a="http://schemas.openxmlformats.org/drawingml/2006/main" xmlns:pic="http://schemas.openxmlformats.org/drawingml/2006/picture">
                  <wp:extent cx="2505075" cy="1611598"/>
                  <wp:docPr id="9" name="Picture 9"/>
                  <wp:cNvGraphicFramePr>
                    <a:graphicFrameLocks noChangeAspect="1"/>
                  </wp:cNvGraphicFramePr>
                  <a:graphic>
                    <a:graphicData uri="http://schemas.openxmlformats.org/drawingml/2006/picture">
                      <pic:pic>
                        <pic:nvPicPr>
                          <pic:cNvPr id="0" name="P02_03_source_197.jpg"/>
                          <pic:cNvPicPr/>
                        </pic:nvPicPr>
                        <pic:blipFill>
                          <a:blip r:embed="rId18"/>
                          <a:stretch>
                            <a:fillRect/>
                          </a:stretch>
                        </pic:blipFill>
                        <pic:spPr>
                          <a:xfrm>
                            <a:off x="0" y="0"/>
                            <a:ext cx="2505075" cy="1611598"/>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813050" cy="1956633"/>
                  <wp:docPr id="10" name="Picture 10"/>
                  <wp:cNvGraphicFramePr>
                    <a:graphicFrameLocks noChangeAspect="1"/>
                  </wp:cNvGraphicFramePr>
                  <a:graphic>
                    <a:graphicData uri="http://schemas.openxmlformats.org/drawingml/2006/picture">
                      <pic:pic>
                        <pic:nvPicPr>
                          <pic:cNvPr id="0" name="P02_04_source_221.jpg"/>
                          <pic:cNvPicPr/>
                        </pic:nvPicPr>
                        <pic:blipFill>
                          <a:blip r:embed="rId19"/>
                          <a:stretch>
                            <a:fillRect/>
                          </a:stretch>
                        </pic:blipFill>
                        <pic:spPr>
                          <a:xfrm>
                            <a:off x="0" y="0"/>
                            <a:ext cx="2813050" cy="1956633"/>
                          </a:xfrm>
                          <a:prstGeom prst="rect"/>
                        </pic:spPr>
                      </pic:pic>
                    </a:graphicData>
                  </a:graphic>
                </wp:inline>
              </w:drawing>
            </w:r>
          </w:p>
        </w:tc>
      </w:tr>
    </w:tbl>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항목</w:t>
            </w:r>
          </w:p>
        </w:tc>
        <w:tc>
          <w:tcPr>
            <w:tcW w:type="dxa" w:w="3007"/>
            <w:shd w:fill="222222"/>
          </w:tcPr>
          <w:p>
            <w:pPr>
              <w:keepNext/>
              <w:spacing w:line="230" w:lineRule="exact" w:before="60" w:after="60"/>
            </w:pPr>
            <w:r>
              <w:rPr>
                <w:rFonts w:ascii="Arial" w:hAnsi="Arial" w:eastAsia="Noto Sans CJK KR"/>
                <w:b/>
                <w:color w:val="FFFFFF"/>
                <w:sz w:val="18"/>
              </w:rPr>
              <w:t>Cup Tie 1</w:t>
            </w:r>
          </w:p>
        </w:tc>
        <w:tc>
          <w:tcPr>
            <w:tcW w:type="dxa" w:w="3007"/>
            <w:shd w:fill="222222"/>
          </w:tcPr>
          <w:p>
            <w:pPr>
              <w:keepNext/>
              <w:spacing w:line="230" w:lineRule="exact" w:before="60" w:after="60"/>
            </w:pPr>
            <w:r>
              <w:rPr>
                <w:rFonts w:ascii="Arial" w:hAnsi="Arial" w:eastAsia="Noto Sans CJK KR"/>
                <w:b/>
                <w:color w:val="FFFFFF"/>
                <w:sz w:val="18"/>
              </w:rPr>
              <w:t>Cup Tie 2</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크기</w:t>
            </w:r>
          </w:p>
        </w:tc>
        <w:tc>
          <w:tcPr>
            <w:tcW w:type="dxa" w:w="3007"/>
            <w:shd w:fill="FFFFFF"/>
          </w:tcPr>
          <w:p>
            <w:pPr>
              <w:keepNext/>
              <w:spacing w:line="230" w:lineRule="exact" w:before="60" w:after="60"/>
            </w:pPr>
            <w:r>
              <w:rPr>
                <w:rFonts w:ascii="Arial" w:hAnsi="Arial" w:eastAsia="Noto Sans CJK KR"/>
                <w:b w:val="0"/>
                <w:color w:val="000000"/>
                <w:sz w:val="18"/>
              </w:rPr>
              <w:t>W120 × H180 × D10mm</w:t>
            </w:r>
          </w:p>
        </w:tc>
        <w:tc>
          <w:tcPr>
            <w:tcW w:type="dxa" w:w="3007"/>
            <w:shd w:fill="FFFFFF"/>
          </w:tcPr>
          <w:p>
            <w:pPr>
              <w:keepNext/>
              <w:spacing w:line="230" w:lineRule="exact" w:before="60" w:after="60"/>
            </w:pPr>
            <w:r>
              <w:rPr>
                <w:rFonts w:ascii="Arial" w:hAnsi="Arial" w:eastAsia="Noto Sans CJK KR"/>
                <w:b w:val="0"/>
                <w:color w:val="000000"/>
                <w:sz w:val="18"/>
              </w:rPr>
              <w:t>W93 × H187 × D18mm</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무게</w:t>
            </w:r>
          </w:p>
        </w:tc>
        <w:tc>
          <w:tcPr>
            <w:tcW w:type="dxa" w:w="3007"/>
            <w:shd w:fill="F4F4F4"/>
          </w:tcPr>
          <w:p>
            <w:pPr>
              <w:keepNext/>
              <w:spacing w:line="230" w:lineRule="exact" w:before="60" w:after="60"/>
            </w:pPr>
            <w:r>
              <w:rPr>
                <w:rFonts w:ascii="Arial" w:hAnsi="Arial" w:eastAsia="Noto Sans CJK KR"/>
                <w:b w:val="0"/>
                <w:color w:val="000000"/>
                <w:sz w:val="18"/>
              </w:rPr>
              <w:t>17g</w:t>
            </w:r>
          </w:p>
        </w:tc>
        <w:tc>
          <w:tcPr>
            <w:tcW w:type="dxa" w:w="3007"/>
            <w:shd w:fill="F4F4F4"/>
          </w:tcPr>
          <w:p>
            <w:pPr>
              <w:keepNext/>
              <w:spacing w:line="230" w:lineRule="exact" w:before="60" w:after="60"/>
            </w:pPr>
            <w:r>
              <w:rPr>
                <w:rFonts w:ascii="Arial" w:hAnsi="Arial" w:eastAsia="Noto Sans CJK KR"/>
                <w:b w:val="0"/>
                <w:color w:val="000000"/>
                <w:sz w:val="18"/>
              </w:rPr>
              <w:t>22g</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호환 용량</w:t>
            </w:r>
          </w:p>
        </w:tc>
        <w:tc>
          <w:tcPr>
            <w:tcW w:type="dxa" w:w="3007"/>
            <w:shd w:fill="FFFFFF"/>
          </w:tcPr>
          <w:p>
            <w:pPr>
              <w:keepNext/>
              <w:spacing w:line="230" w:lineRule="exact" w:before="60" w:after="60"/>
            </w:pPr>
            <w:r>
              <w:rPr>
                <w:rFonts w:ascii="Arial" w:hAnsi="Arial" w:eastAsia="Noto Sans CJK KR"/>
                <w:b w:val="0"/>
                <w:color w:val="000000"/>
                <w:sz w:val="18"/>
              </w:rPr>
              <w:t>직경 7~10cm (편의점 컵커피~버블티컵)</w:t>
            </w:r>
          </w:p>
        </w:tc>
        <w:tc>
          <w:tcPr>
            <w:tcW w:type="dxa" w:w="3007"/>
            <w:shd w:fill="FFFFFF"/>
          </w:tcPr>
          <w:p>
            <w:pPr>
              <w:keepNext/>
              <w:spacing w:line="230" w:lineRule="exact" w:before="60" w:after="60"/>
            </w:pPr>
            <w:r>
              <w:rPr>
                <w:rFonts w:ascii="Arial" w:hAnsi="Arial" w:eastAsia="Noto Sans CJK KR"/>
                <w:b w:val="0"/>
                <w:color w:val="000000"/>
                <w:sz w:val="18"/>
              </w:rPr>
              <w:t>350ml~750ml (편의점 캔음료~스타벅스 벤티)</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소재</w:t>
            </w:r>
          </w:p>
        </w:tc>
        <w:tc>
          <w:tcPr>
            <w:tcW w:type="dxa" w:w="3007"/>
            <w:shd w:fill="F4F4F4"/>
          </w:tcPr>
          <w:p>
            <w:pPr>
              <w:keepNext/>
              <w:spacing w:line="230" w:lineRule="exact" w:before="60" w:after="60"/>
            </w:pPr>
            <w:r>
              <w:rPr>
                <w:rFonts w:ascii="Arial" w:hAnsi="Arial" w:eastAsia="Noto Sans CJK KR"/>
                <w:b w:val="0"/>
                <w:color w:val="000000"/>
                <w:sz w:val="18"/>
              </w:rPr>
              <w:t>친환경 실리콘</w:t>
            </w:r>
          </w:p>
        </w:tc>
        <w:tc>
          <w:tcPr>
            <w:tcW w:type="dxa" w:w="3007"/>
            <w:shd w:fill="F4F4F4"/>
          </w:tcPr>
          <w:p>
            <w:pPr>
              <w:keepNext/>
              <w:spacing w:line="230" w:lineRule="exact" w:before="60" w:after="60"/>
            </w:pPr>
            <w:r>
              <w:rPr>
                <w:rFonts w:ascii="Arial" w:hAnsi="Arial" w:eastAsia="Noto Sans CJK KR"/>
                <w:b w:val="0"/>
                <w:color w:val="000000"/>
                <w:sz w:val="18"/>
              </w:rPr>
              <w:t>친환경 실리콘</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스트랩 방식</w:t>
            </w:r>
          </w:p>
        </w:tc>
        <w:tc>
          <w:tcPr>
            <w:tcW w:type="dxa" w:w="3007"/>
            <w:shd w:fill="FFFFFF"/>
          </w:tcPr>
          <w:p>
            <w:pPr>
              <w:keepNext/>
              <w:spacing w:line="230" w:lineRule="exact" w:before="60" w:after="60"/>
            </w:pPr>
            <w:r>
              <w:rPr>
                <w:rFonts w:ascii="Arial" w:hAnsi="Arial" w:eastAsia="Noto Sans CJK KR"/>
                <w:b w:val="0"/>
                <w:color w:val="000000"/>
                <w:sz w:val="18"/>
              </w:rPr>
              <w:t>고정형</w:t>
            </w:r>
          </w:p>
        </w:tc>
        <w:tc>
          <w:tcPr>
            <w:tcW w:type="dxa" w:w="3007"/>
            <w:shd w:fill="FFFFFF"/>
          </w:tcPr>
          <w:p>
            <w:pPr>
              <w:keepNext/>
              <w:spacing w:line="230" w:lineRule="exact" w:before="60" w:after="60"/>
            </w:pPr>
            <w:r>
              <w:rPr>
                <w:rFonts w:ascii="Arial" w:hAnsi="Arial" w:eastAsia="Noto Sans CJK KR"/>
                <w:b w:val="0"/>
                <w:color w:val="000000"/>
                <w:sz w:val="18"/>
              </w:rPr>
              <w:t>폴더블 (수납 가능)</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일반 컵타이 색상</w:t>
            </w:r>
          </w:p>
        </w:tc>
        <w:tc>
          <w:tcPr>
            <w:tcW w:type="dxa" w:w="3007"/>
            <w:shd w:fill="F4F4F4"/>
          </w:tcPr>
          <w:p>
            <w:pPr>
              <w:keepNext/>
              <w:spacing w:line="230" w:lineRule="exact" w:before="60" w:after="60"/>
            </w:pPr>
            <w:r>
              <w:rPr>
                <w:rFonts w:ascii="Arial" w:hAnsi="Arial" w:eastAsia="Noto Sans CJK KR"/>
                <w:b w:val="0"/>
                <w:color w:val="000000"/>
                <w:sz w:val="18"/>
              </w:rPr>
              <w:t>블랙, 화이트, 퍼플, 그린</w:t>
            </w:r>
          </w:p>
        </w:tc>
        <w:tc>
          <w:tcPr>
            <w:tcW w:type="dxa" w:w="3007"/>
            <w:shd w:fill="F4F4F4"/>
          </w:tcPr>
          <w:p>
            <w:pPr>
              <w:keepNext/>
              <w:spacing w:line="230" w:lineRule="exact" w:before="60" w:after="60"/>
            </w:pPr>
            <w:r>
              <w:rPr>
                <w:rFonts w:ascii="Arial" w:hAnsi="Arial" w:eastAsia="Noto Sans CJK KR"/>
                <w:b w:val="0"/>
                <w:color w:val="000000"/>
                <w:sz w:val="18"/>
              </w:rPr>
              <w:t>블랙, 화이트</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캐릭터</w:t>
            </w:r>
          </w:p>
        </w:tc>
        <w:tc>
          <w:tcPr>
            <w:tcW w:type="dxa" w:w="3007"/>
            <w:shd w:fill="FFFFFF"/>
          </w:tcPr>
          <w:p>
            <w:pPr>
              <w:keepNext w:val="0"/>
              <w:spacing w:line="230" w:lineRule="exact" w:before="60" w:after="60"/>
            </w:pPr>
            <w:r>
              <w:rPr>
                <w:rFonts w:ascii="Arial" w:hAnsi="Arial" w:eastAsia="Noto Sans CJK KR"/>
                <w:b w:val="0"/>
                <w:color w:val="000000"/>
                <w:sz w:val="18"/>
              </w:rPr>
              <w:t>오리지널 4종 + 포켓몬 4종</w:t>
            </w:r>
          </w:p>
        </w:tc>
        <w:tc>
          <w:tcPr>
            <w:tcW w:type="dxa" w:w="3007"/>
            <w:shd w:fill="FFFFFF"/>
          </w:tcPr>
          <w:p>
            <w:pPr>
              <w:keepNext w:val="0"/>
              <w:spacing w:line="230" w:lineRule="exact" w:before="60" w:after="60"/>
            </w:pPr>
            <w:r>
              <w:rPr>
                <w:rFonts w:ascii="Arial" w:hAnsi="Arial" w:eastAsia="Noto Sans CJK KR"/>
                <w:b w:val="0"/>
                <w:color w:val="000000"/>
                <w:sz w:val="18"/>
              </w:rPr>
              <w:t>오리지널 4종</w:t>
            </w:r>
          </w:p>
        </w:tc>
      </w:tr>
    </w:tbl>
    <w:p>
      <w:pPr>
        <w:pageBreakBefore w:val="0"/>
        <w:widowControl/>
        <w:spacing w:before="221"/>
      </w:pPr>
      <w:r>
        <w:rPr>
          <w:rFonts w:ascii="Arial" w:hAnsi="Arial" w:eastAsia="Noto Sans CJK KR"/>
          <w:b w:val="0"/>
          <w:sz w:val="20"/>
        </w:rPr>
        <w:t>본 연구팀은 두 제품 중 Cup Tie 2를 국내 수입 및 판매 추진 제품으로 선정하였다. 제품 선정 단계에서는 국내 소비자가 실제로 사용할 수 있는 기능적 적합성과 국내 시장에서 제품의 가치를 전달할 수 있는 마케팅적 차별성을 주요 기준으로 설정하였다.</w:t>
      </w:r>
    </w:p>
    <w:p>
      <w:pPr>
        <w:pageBreakBefore w:val="0"/>
        <w:widowControl/>
        <w:spacing w:before="241"/>
      </w:pPr>
      <w:r>
        <w:rPr>
          <w:rFonts w:ascii="Arial" w:hAnsi="Arial" w:eastAsia="Noto Sans CJK KR"/>
          <w:b w:val="0"/>
          <w:sz w:val="20"/>
        </w:rPr>
        <w:t>기능적 측면에서는 첫째, 폴더블 스트랩 설계를 적용하여 스트랩을 홀더 내부에 수납할 수 있으므로 1세대보다 휴대와 보관이 편리하다고 판단하였다. 둘째, 스트로 링이 일반적인 가는 빨대뿐 아니라 버블티 등에 사용되는 굵은 빨대까지 고정할 수 있어 다양한 테이크아웃 음료 소비 상황에 대응할 수 있다. 셋째, 350ml~750ml의 비교적 넓은 용량 범위를 지원하여 특정 카페나 음료 규격에 한정되지 않고 여러 종류의 테이크아웃 컵에 사용할 수 있다는 점을 국내 판매상의 장점으로 평가하였다. 이러한 특성은 하나의 제품을 다양한 음료 소비 상황에서 반복적으로 사용할 수 있다는 점에서 1세대보다 국내 유통에 적합할 것으로 판단하였다.</w:t>
      </w:r>
    </w:p>
    <w:p>
      <w:pPr>
        <w:pageBreakBefore w:val="0"/>
        <w:widowControl/>
        <w:spacing w:before="241"/>
      </w:pPr>
      <w:r>
        <w:rPr>
          <w:rFonts w:ascii="Arial" w:hAnsi="Arial" w:eastAsia="Noto Sans CJK KR"/>
          <w:b w:val="0"/>
          <w:sz w:val="20"/>
        </w:rPr>
        <w:t>마케팅적 측면에서는 캐릭터 버튼을 교체할 수 있다는 점을 활용하여 단지 컵 운반용품보다 개인의 취향을 표현할 수 있는 라이프스타일 액세서리로 포지셔닝할 가능성에 주목하였다. 또한 폴더블 구조로 제품 외형이 비교적 간결하고, 4종의 오리지널 캐릭터를 활용할 수 있어 SNS 콘텐츠와 와디즈 상세페이지 등 시각 중심의 온라인 판매환경에서도 제품의 특징을 효과적으로 전달할 수 있을 것으로 판단하였다. 여기에 2세대 제품이라는 점을 활용하여 기존 제품의 기능을 개선한 신제품으로 소개할 수 있다는 점 역시 선정 과정에서 고려하였다.</w:t>
      </w:r>
    </w:p>
    <w:p>
      <w:pPr>
        <w:pageBreakBefore w:val="0"/>
        <w:widowControl/>
        <w:spacing w:before="241"/>
      </w:pPr>
      <w:r>
        <w:rPr>
          <w:rFonts w:ascii="Arial" w:hAnsi="Arial" w:eastAsia="Noto Sans CJK KR"/>
          <w:b w:val="0"/>
          <w:sz w:val="20"/>
        </w:rPr>
        <w:t>다만 이러한 선정은 제품의 기능 개선, 최신성, 시각적 차별성에 비중을 둔 사전적 판단이었다. 1세대 제품에는 피카츄, 이브이, 잠만보 등 소비자에게 익숙한 포켓몬 라이선스 캐릭터가 포함된 반면, Cup Tie 2는 Bone Collection 자체 캐릭터 중심이었다. 본 연구팀은 폴더블 스트랩, 향상된 컵 호환성 등 기능적 개선을 주요 경쟁력으로 보았으나, 국내 인지도가 낮은 해외 브랜드의 시장 진입 과정에서 기존 캐릭터 IP가 초기 관심과 구매 결정에 미칠 영향은 충분히 고려하지 못했다.</w:t>
      </w:r>
    </w:p>
    <w:p>
      <w:pPr>
        <w:pageBreakBefore w:val="0"/>
        <w:widowControl/>
        <w:spacing w:before="241"/>
      </w:pPr>
      <w:r>
        <w:rPr>
          <w:rFonts w:ascii="Arial" w:hAnsi="Arial" w:eastAsia="Noto Sans CJK KR"/>
          <w:b w:val="0"/>
          <w:sz w:val="20"/>
        </w:rPr>
        <w:t>또한 해외제품의 국내 판매 가능성은 기능적 우수성뿐 아니라, 공급가격·발주 규모·국제운송비·국내 유통비용을 반영한 최종 판매가격과 소비자의 지불의사가 함께 충족되어야 결정된다. 이에 크라우드펀딩을 통해 Cup Tie 2의 차별성이 실제 구매로 이어지는지 검증하고, 해외 공급처와의 거래조건을 바탕으로 실제 발주와 국내 유통이 가능한 경제성이 확보되는지를 함께 검토하였다.</w:t>
      </w:r>
    </w:p>
    <w:p>
      <w:pPr>
        <w:pStyle w:val="Heading3"/>
        <w:pageBreakBefore w:val="0"/>
        <w:spacing w:before="241"/>
      </w:pPr>
      <w:r>
        <w:rPr>
          <w:rFonts w:ascii="Arial" w:hAnsi="Arial" w:eastAsia="Noto Sans CJK KR"/>
          <w:b/>
          <w:sz w:val="20"/>
        </w:rPr>
        <w:t>3) 기업 컨택 경과</w:t>
      </w:r>
    </w:p>
    <w:p>
      <w:pPr>
        <w:pageBreakBefore w:val="0"/>
        <w:widowControl/>
        <w:spacing w:before="241"/>
      </w:pPr>
      <w:r>
        <w:rPr>
          <w:rFonts w:ascii="Arial" w:hAnsi="Arial" w:eastAsia="Noto Sans CJK KR"/>
          <w:b w:val="0"/>
          <w:sz w:val="20"/>
        </w:rPr>
        <w:t>본 연구팀은 2026년 4월 9일, Bone Collection의 공식 이메일(support@bonecollection.com)로 파트너십 제안서를 최초 발송하였다. 이메일에는 팀 소개, 한국 시장에서의 Cup Tie 유통 가능성, 와디즈(Wadiz, 한국 최대 크라우드 펀딩 플랫폼) 활용 전략이 담겼으며, 도매 가격(소매가보다 낮은 대량 구매 단가)·MOQ(Minimum Order Quantity, 최소 주문 수량)·샘플 제공 여부·6월 대만 방문 미팅 가능성 등 실무적 사항을 함께 문의하였다. 와디즈 플랫폼 소개 자료(영문·중문)도 함께 첨부하였다.</w:t>
      </w:r>
    </w:p>
    <w:p>
      <w:pPr>
        <w:spacing w:line="240" w:lineRule="auto" w:after="0"/>
        <w:ind w:left="30"/>
      </w:pPr>
      <w:r>
        <w:drawing>
          <wp:inline xmlns:a="http://schemas.openxmlformats.org/drawingml/2006/main" xmlns:pic="http://schemas.openxmlformats.org/drawingml/2006/picture">
            <wp:extent cx="5727700" cy="1680688"/>
            <wp:docPr id="11" name="Picture 11"/>
            <wp:cNvGraphicFramePr>
              <a:graphicFrameLocks noChangeAspect="1"/>
            </wp:cNvGraphicFramePr>
            <a:graphic>
              <a:graphicData uri="http://schemas.openxmlformats.org/drawingml/2006/picture">
                <pic:pic>
                  <pic:nvPicPr>
                    <pic:cNvPr id="0" name="P04_01_source_451.jpg"/>
                    <pic:cNvPicPr/>
                  </pic:nvPicPr>
                  <pic:blipFill>
                    <a:blip r:embed="rId20"/>
                    <a:stretch>
                      <a:fillRect/>
                    </a:stretch>
                  </pic:blipFill>
                  <pic:spPr>
                    <a:xfrm>
                      <a:off x="0" y="0"/>
                      <a:ext cx="5727700" cy="1680688"/>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5727700" cy="3832531"/>
            <wp:docPr id="12" name="Picture 12"/>
            <wp:cNvGraphicFramePr>
              <a:graphicFrameLocks noChangeAspect="1"/>
            </wp:cNvGraphicFramePr>
            <a:graphic>
              <a:graphicData uri="http://schemas.openxmlformats.org/drawingml/2006/picture">
                <pic:pic>
                  <pic:nvPicPr>
                    <pic:cNvPr id="0" name="P04_02_source_451.jpg"/>
                    <pic:cNvPicPr/>
                  </pic:nvPicPr>
                  <pic:blipFill>
                    <a:blip r:embed="rId21"/>
                    <a:stretch>
                      <a:fillRect/>
                    </a:stretch>
                  </pic:blipFill>
                  <pic:spPr>
                    <a:xfrm>
                      <a:off x="0" y="0"/>
                      <a:ext cx="5727700" cy="3832531"/>
                    </a:xfrm>
                    <a:prstGeom prst="rect"/>
                  </pic:spPr>
                </pic:pic>
              </a:graphicData>
            </a:graphic>
          </wp:inline>
        </w:drawing>
      </w:r>
    </w:p>
    <w:p>
      <w:pPr>
        <w:pageBreakBefore w:val="0"/>
        <w:widowControl/>
        <w:spacing w:before="360"/>
      </w:pPr>
      <w:r>
        <w:rPr>
          <w:rFonts w:ascii="Arial" w:hAnsi="Arial" w:eastAsia="Noto Sans CJK KR"/>
          <w:b w:val="0"/>
          <w:sz w:val="20"/>
        </w:rPr>
        <w:t>이에 대해 2026년 4월 10일, Bone Collection의 International Sales Representative Rex Tsai가 회신하였으며, 참조인으로 International Sales Manager Peggy Yen과 Vincent Shen이 포함되었다.</w:t>
      </w:r>
    </w:p>
    <w:p>
      <w:pPr>
        <w:pageBreakBefore w:val="0"/>
        <w:widowControl/>
        <w:spacing w:before="0"/>
      </w:pPr>
      <w:r>
        <w:rPr>
          <w:rFonts w:ascii="Arial" w:hAnsi="Arial" w:eastAsia="Noto Sans CJK KR"/>
          <w:b w:val="0"/>
          <w:sz w:val="20"/>
        </w:rPr>
        <w:t>Rex는 ① 가격 견적을 다음 주 중 제공하겠다, ② 샘플은 무상 제공 가능하며 운송비는 팀 부담, ③ 6월 대만 방문을 환영한다는 내용을 전달하였다.</w:t>
      </w:r>
    </w:p>
    <w:p>
      <w:pPr>
        <w:pageBreakBefore w:val="0"/>
        <w:widowControl/>
        <w:spacing w:before="241"/>
      </w:pPr>
      <w:r>
        <w:rPr>
          <w:rFonts w:ascii="Arial" w:hAnsi="Arial" w:eastAsia="Noto Sans CJK KR"/>
          <w:b w:val="0"/>
          <w:sz w:val="20"/>
        </w:rPr>
        <w:t>이후 수차례 추가 교신을 통해 제품 모델, 가격 조건, 배송 세부 사항 등을 본 연구팀과 협의하였으며, 2026년 4월 17일 영상통화(Google Meet) 후 Rex로부터 다음과 같은 실무 정보가 공식 제공되었다.</w:t>
      </w:r>
    </w:p>
    <w:p>
      <w:pPr>
        <w:spacing w:line="240" w:lineRule="auto" w:after="0"/>
        <w:ind w:left="30"/>
      </w:pPr>
      <w:r>
        <w:drawing>
          <wp:inline xmlns:a="http://schemas.openxmlformats.org/drawingml/2006/main" xmlns:pic="http://schemas.openxmlformats.org/drawingml/2006/picture">
            <wp:extent cx="5727700" cy="3445570"/>
            <wp:docPr id="13" name="Picture 13"/>
            <wp:cNvGraphicFramePr>
              <a:graphicFrameLocks noChangeAspect="1"/>
            </wp:cNvGraphicFramePr>
            <a:graphic>
              <a:graphicData uri="http://schemas.openxmlformats.org/drawingml/2006/picture">
                <pic:pic>
                  <pic:nvPicPr>
                    <pic:cNvPr id="0" name="P05_01_source_451.jpg"/>
                    <pic:cNvPicPr/>
                  </pic:nvPicPr>
                  <pic:blipFill>
                    <a:blip r:embed="rId22"/>
                    <a:stretch>
                      <a:fillRect/>
                    </a:stretch>
                  </pic:blipFill>
                  <pic:spPr>
                    <a:xfrm>
                      <a:off x="0" y="0"/>
                      <a:ext cx="5727700" cy="3445570"/>
                    </a:xfrm>
                    <a:prstGeom prst="rect"/>
                  </pic:spPr>
                </pic:pic>
              </a:graphicData>
            </a:graphic>
          </wp:inline>
        </w:drawing>
      </w:r>
    </w:p>
    <w:p>
      <w:pPr>
        <w:pageBreakBefore w:val="0"/>
        <w:widowControl/>
        <w:spacing w:before="283"/>
      </w:pPr>
      <w:r>
        <w:rPr>
          <w:rFonts w:ascii="Arial" w:hAnsi="Arial" w:eastAsia="Noto Sans CJK KR"/>
          <w:b w:val="0"/>
          <w:sz w:val="20"/>
        </w:rPr>
        <w:t>- 가격 조건 제품 가격은 주문 수량에 따라 차등 적용된다. 100개 이하 주문 시 개당 USD 4.5(약 6,579원), 500개 이하 주문 시 개당 USD 3.8(약 5,556원), 1,000개 이하 주문 시 개당 USD 3.5(약 5,117원)이다. 주문 시 블랙·화이트·패티덕·미스터디어·미아오캣·아울웨스 등 6가지 SKU(Stock Keeping Unit, 색상·캐릭터별 개별 제품 옵션 단위)를 자유롭게 혼합하여 주문할 수 있어, 한 가지 옵션만 대량 주문하지 않아도 된다. - 포장 단위 제품은 이너박스(inner box, 낱개 포장 박스) 단위로 출고되며, 1박스당 44개가 기본 단위이다. 따라서 주문 수량은 44개의 배수로 설정해야 한다. (예: 44개, 88개, 132개 등) - 리드타임 리드타임(lead time, 주문 확정 후 제품이 출고되기까지 소요되는 생산 및 준비 기간)은 주문 수량에 따라 약 2~4주가 소요될 것으로 안내되었다. 이는 와디즈 펀딩 일정 수립 시 반드시 고려해야 할 사항이다. - 샘플 제공 6가지 SKU 전 종류에 대해 샘플을 무상으로 제공받을 수 있으며, 운송비 USD 35(약 51,170원)는 연구팀이 부담하기로 하였다. 샘플은 펀딩 페이지 제작 및 SNS 콘텐츠 촬영에 활용될 예정이다.</w:t>
      </w:r>
    </w:p>
    <w:p>
      <w:pPr>
        <w:pageBreakBefore w:val="0"/>
        <w:widowControl/>
        <w:spacing w:before="241"/>
      </w:pPr>
      <w:r>
        <w:rPr>
          <w:rFonts w:ascii="Arial" w:hAnsi="Arial" w:eastAsia="Noto Sans CJK KR"/>
          <w:b w:val="0"/>
          <w:sz w:val="20"/>
        </w:rPr>
        <w:t>6월 대만 방문 양측은 2026년 6월 23일 대만 현지 대면 미팅을 진행하기로 확정하였다. 해당 미팅에서는 펀딩 결과 공유와 Bone Collection의 향후 한국 시장 진출 등에 대해 논의할 예정이다.</w:t>
      </w:r>
    </w:p>
    <w:p>
      <w:pPr>
        <w:pageBreakBefore w:val="0"/>
        <w:widowControl/>
        <w:spacing w:before="241"/>
      </w:pPr>
      <w:r>
        <w:rPr>
          <w:rFonts w:ascii="Arial" w:hAnsi="Arial" w:eastAsia="Noto Sans CJK KR"/>
          <w:b w:val="0"/>
          <w:sz w:val="20"/>
        </w:rPr>
        <w:t>2026년 4월 30일에는 포장 규격 및 운송 조건에 관한 추가 정보가 제공되었다. 제품 가격은 EXW(Ex Works, 공장 출고 기준 가격 조건으로 이후 발생하는 운송비·관세 등 모든 비용은 구매자 부담) 기준이며, Bone 지정 포워더(국제 화물 운송을 대행하는 물류 전문 업체)를 이용할 경우 DDP(Delivered Duty Paid, 관세·세금을 포함한 모든 비용을 판매자가 부담하여 구매자 지정 장소까지 배송하는 조건) 방식으로 통관 업무를 포함하여 일괄 처리가 가능하다는 점이 확인되었다.</w:t>
      </w:r>
    </w:p>
    <w:p>
      <w:pPr>
        <w:pageBreakBefore w:val="0"/>
        <w:widowControl/>
        <w:spacing w:before="241"/>
      </w:pPr>
      <w:r>
        <w:rPr>
          <w:rFonts w:ascii="Arial" w:hAnsi="Arial" w:eastAsia="Noto Sans CJK KR"/>
          <w:b w:val="0"/>
          <w:sz w:val="20"/>
        </w:rPr>
        <w:t>와디즈 펀딩 성공 시 실제 주문에 필요한 비용을 사전에 파악하기 위해 Rex로부터 수량별 단가 및 예상 운송비를 안내받았으며, 그 내용은 아래와 같다. 가격은 주문 수량이 많을수록 개당 단가가 낮아지는 차등 구조로 적용되며, 6가지 SKU(블랙·화이트·패티덕·미스터디어·미아오캣·아울웨스)를 자유롭게 혼합하여 주문할 수 있다. 주문은 이너박스(inner box, 낱개 포장 박스) 단위인 44개의 배수로 설정해야 한다. (예: 44개, 88개, 132개, 308개)</w:t>
      </w:r>
    </w:p>
    <w:p>
      <w:pPr>
        <w:pStyle w:val="Heading3"/>
        <w:pageBreakBefore w:val="0"/>
        <w:spacing w:before="0"/>
      </w:pPr>
      <w:r>
        <w:rPr>
          <w:rFonts w:ascii="Arial" w:hAnsi="Arial" w:eastAsia="Noto Sans CJK KR"/>
          <w:b/>
          <w:sz w:val="20"/>
        </w:rPr>
        <w:t>[가격 조건]</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주문 수량</w:t>
            </w:r>
          </w:p>
        </w:tc>
        <w:tc>
          <w:tcPr>
            <w:tcW w:type="dxa" w:w="3007"/>
            <w:shd w:fill="222222"/>
          </w:tcPr>
          <w:p>
            <w:pPr>
              <w:keepNext/>
              <w:spacing w:line="230" w:lineRule="exact" w:before="60" w:after="60"/>
            </w:pPr>
            <w:r>
              <w:rPr>
                <w:rFonts w:ascii="Arial" w:hAnsi="Arial" w:eastAsia="Noto Sans CJK KR"/>
                <w:b/>
                <w:color w:val="FFFFFF"/>
                <w:sz w:val="18"/>
              </w:rPr>
              <w:t>개당 단가 (USD)</w:t>
            </w:r>
          </w:p>
        </w:tc>
        <w:tc>
          <w:tcPr>
            <w:tcW w:type="dxa" w:w="3007"/>
            <w:shd w:fill="222222"/>
          </w:tcPr>
          <w:p>
            <w:pPr>
              <w:keepNext/>
              <w:spacing w:line="230" w:lineRule="exact" w:before="60" w:after="60"/>
            </w:pPr>
            <w:r>
              <w:rPr>
                <w:rFonts w:ascii="Arial" w:hAnsi="Arial" w:eastAsia="Noto Sans CJK KR"/>
                <w:b/>
                <w:color w:val="FFFFFF"/>
                <w:sz w:val="18"/>
              </w:rPr>
              <w:t>개당 단가 (KRW)</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0~100개</w:t>
            </w:r>
          </w:p>
        </w:tc>
        <w:tc>
          <w:tcPr>
            <w:tcW w:type="dxa" w:w="3007"/>
            <w:shd w:fill="FFFFFF"/>
          </w:tcPr>
          <w:p>
            <w:pPr>
              <w:keepNext/>
              <w:spacing w:line="230" w:lineRule="exact" w:before="60" w:after="60"/>
            </w:pPr>
            <w:r>
              <w:rPr>
                <w:rFonts w:ascii="Arial" w:hAnsi="Arial" w:eastAsia="Noto Sans CJK KR"/>
                <w:b w:val="0"/>
                <w:color w:val="000000"/>
                <w:sz w:val="18"/>
              </w:rPr>
              <w:t>USD 4.5</w:t>
            </w:r>
          </w:p>
        </w:tc>
        <w:tc>
          <w:tcPr>
            <w:tcW w:type="dxa" w:w="3007"/>
            <w:shd w:fill="FFFFFF"/>
          </w:tcPr>
          <w:p>
            <w:pPr>
              <w:keepNext/>
              <w:spacing w:line="230" w:lineRule="exact" w:before="60" w:after="60"/>
            </w:pPr>
            <w:r>
              <w:rPr>
                <w:rFonts w:ascii="Arial" w:hAnsi="Arial" w:eastAsia="Noto Sans CJK KR"/>
                <w:b w:val="0"/>
                <w:color w:val="000000"/>
                <w:sz w:val="18"/>
              </w:rPr>
              <w:t>약 6,579원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101~500개</w:t>
            </w:r>
          </w:p>
        </w:tc>
        <w:tc>
          <w:tcPr>
            <w:tcW w:type="dxa" w:w="3007"/>
            <w:shd w:fill="F4F4F4"/>
          </w:tcPr>
          <w:p>
            <w:pPr>
              <w:keepNext/>
              <w:spacing w:line="230" w:lineRule="exact" w:before="60" w:after="60"/>
            </w:pPr>
            <w:r>
              <w:rPr>
                <w:rFonts w:ascii="Arial" w:hAnsi="Arial" w:eastAsia="Noto Sans CJK KR"/>
                <w:b w:val="0"/>
                <w:color w:val="000000"/>
                <w:sz w:val="18"/>
              </w:rPr>
              <w:t>USD 3.8</w:t>
            </w:r>
          </w:p>
        </w:tc>
        <w:tc>
          <w:tcPr>
            <w:tcW w:type="dxa" w:w="3007"/>
            <w:shd w:fill="F4F4F4"/>
          </w:tcPr>
          <w:p>
            <w:pPr>
              <w:keepNext/>
              <w:spacing w:line="230" w:lineRule="exact" w:before="60" w:after="60"/>
            </w:pPr>
            <w:r>
              <w:rPr>
                <w:rFonts w:ascii="Arial" w:hAnsi="Arial" w:eastAsia="Noto Sans CJK KR"/>
                <w:b w:val="0"/>
                <w:color w:val="000000"/>
                <w:sz w:val="18"/>
              </w:rPr>
              <w:t>약 5,556원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501~1,000개</w:t>
            </w:r>
          </w:p>
        </w:tc>
        <w:tc>
          <w:tcPr>
            <w:tcW w:type="dxa" w:w="3007"/>
            <w:shd w:fill="FFFFFF"/>
          </w:tcPr>
          <w:p>
            <w:pPr>
              <w:keepNext w:val="0"/>
              <w:spacing w:line="230" w:lineRule="exact" w:before="60" w:after="60"/>
            </w:pPr>
            <w:r>
              <w:rPr>
                <w:rFonts w:ascii="Arial" w:hAnsi="Arial" w:eastAsia="Noto Sans CJK KR"/>
                <w:b w:val="0"/>
                <w:color w:val="000000"/>
                <w:sz w:val="18"/>
              </w:rPr>
              <w:t>USD 3.5</w:t>
            </w:r>
          </w:p>
        </w:tc>
        <w:tc>
          <w:tcPr>
            <w:tcW w:type="dxa" w:w="3007"/>
            <w:shd w:fill="FFFFFF"/>
          </w:tcPr>
          <w:p>
            <w:pPr>
              <w:keepNext w:val="0"/>
              <w:spacing w:line="230" w:lineRule="exact" w:before="60" w:after="60"/>
            </w:pPr>
            <w:r>
              <w:rPr>
                <w:rFonts w:ascii="Arial" w:hAnsi="Arial" w:eastAsia="Noto Sans CJK KR"/>
                <w:b w:val="0"/>
                <w:color w:val="000000"/>
                <w:sz w:val="18"/>
              </w:rPr>
              <w:t>약 5,117원</w:t>
            </w:r>
          </w:p>
        </w:tc>
      </w:tr>
    </w:tbl>
    <w:p>
      <w:pPr>
        <w:pageBreakBefore w:val="0"/>
        <w:widowControl/>
        <w:spacing w:before="216"/>
      </w:pPr>
      <w:r>
        <w:rPr>
          <w:rFonts w:ascii="Arial" w:hAnsi="Arial" w:eastAsia="Noto Sans CJK KR"/>
          <w:b w:val="0"/>
          <w:sz w:val="20"/>
        </w:rPr>
        <w:t>&lt;환율 기준 USD 1 = 약 1,462원 (2026.05.10 기준) / 6가지 SKU 혼합 주문 가능 / 이너박스 44개 단위로 주문&gt;</w:t>
      </w:r>
    </w:p>
    <w:p>
      <w:pPr>
        <w:pageBreakBefore w:val="0"/>
        <w:widowControl/>
        <w:spacing w:before="241"/>
      </w:pPr>
      <w:r>
        <w:rPr>
          <w:rFonts w:ascii="Arial" w:hAnsi="Arial" w:eastAsia="Noto Sans CJK KR"/>
          <w:b w:val="0"/>
          <w:sz w:val="20"/>
        </w:rPr>
        <w:t>[수량별 예상 운송비 (DDP 기준, 세금 포함)]</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주문 수량</w:t>
            </w:r>
          </w:p>
        </w:tc>
        <w:tc>
          <w:tcPr>
            <w:tcW w:type="dxa" w:w="3007"/>
            <w:shd w:fill="222222"/>
          </w:tcPr>
          <w:p>
            <w:pPr>
              <w:keepNext/>
              <w:spacing w:line="230" w:lineRule="exact" w:before="60" w:after="60"/>
            </w:pPr>
            <w:r>
              <w:rPr>
                <w:rFonts w:ascii="Arial" w:hAnsi="Arial" w:eastAsia="Noto Sans CJK KR"/>
                <w:b/>
                <w:color w:val="FFFFFF"/>
                <w:sz w:val="18"/>
              </w:rPr>
              <w:t>예상 운송비 (USD)</w:t>
            </w:r>
          </w:p>
        </w:tc>
        <w:tc>
          <w:tcPr>
            <w:tcW w:type="dxa" w:w="3007"/>
            <w:shd w:fill="222222"/>
          </w:tcPr>
          <w:p>
            <w:pPr>
              <w:keepNext/>
              <w:spacing w:line="230" w:lineRule="exact" w:before="60" w:after="60"/>
            </w:pPr>
            <w:r>
              <w:rPr>
                <w:rFonts w:ascii="Arial" w:hAnsi="Arial" w:eastAsia="Noto Sans CJK KR"/>
                <w:b/>
                <w:color w:val="FFFFFF"/>
                <w:sz w:val="18"/>
              </w:rPr>
              <w:t>예상 운송비 (KRW</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308개</w:t>
            </w:r>
          </w:p>
        </w:tc>
        <w:tc>
          <w:tcPr>
            <w:tcW w:type="dxa" w:w="3007"/>
            <w:shd w:fill="FFFFFF"/>
          </w:tcPr>
          <w:p>
            <w:pPr>
              <w:keepNext/>
              <w:spacing w:line="230" w:lineRule="exact" w:before="60" w:after="60"/>
            </w:pPr>
            <w:r>
              <w:rPr>
                <w:rFonts w:ascii="Arial" w:hAnsi="Arial" w:eastAsia="Noto Sans CJK KR"/>
                <w:b w:val="0"/>
                <w:color w:val="000000"/>
                <w:sz w:val="18"/>
              </w:rPr>
              <w:t>USD 210</w:t>
            </w:r>
          </w:p>
        </w:tc>
        <w:tc>
          <w:tcPr>
            <w:tcW w:type="dxa" w:w="3007"/>
            <w:shd w:fill="FFFFFF"/>
          </w:tcPr>
          <w:p>
            <w:pPr>
              <w:keepNext/>
              <w:spacing w:line="230" w:lineRule="exact" w:before="60" w:after="60"/>
            </w:pPr>
            <w:r>
              <w:rPr>
                <w:rFonts w:ascii="Arial" w:hAnsi="Arial" w:eastAsia="Noto Sans CJK KR"/>
                <w:b w:val="0"/>
                <w:color w:val="000000"/>
                <w:sz w:val="18"/>
              </w:rPr>
              <w:t>약 307,020원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528개</w:t>
            </w:r>
          </w:p>
        </w:tc>
        <w:tc>
          <w:tcPr>
            <w:tcW w:type="dxa" w:w="3007"/>
            <w:shd w:fill="F4F4F4"/>
          </w:tcPr>
          <w:p>
            <w:pPr>
              <w:keepNext/>
              <w:spacing w:line="230" w:lineRule="exact" w:before="60" w:after="60"/>
            </w:pPr>
            <w:r>
              <w:rPr>
                <w:rFonts w:ascii="Arial" w:hAnsi="Arial" w:eastAsia="Noto Sans CJK KR"/>
                <w:b w:val="0"/>
                <w:color w:val="000000"/>
                <w:sz w:val="18"/>
              </w:rPr>
              <w:t>USD 528</w:t>
            </w:r>
          </w:p>
        </w:tc>
        <w:tc>
          <w:tcPr>
            <w:tcW w:type="dxa" w:w="3007"/>
            <w:shd w:fill="F4F4F4"/>
          </w:tcPr>
          <w:p>
            <w:pPr>
              <w:keepNext/>
              <w:spacing w:line="230" w:lineRule="exact" w:before="60" w:after="60"/>
            </w:pPr>
            <w:r>
              <w:rPr>
                <w:rFonts w:ascii="Arial" w:hAnsi="Arial" w:eastAsia="Noto Sans CJK KR"/>
                <w:b w:val="0"/>
                <w:color w:val="000000"/>
                <w:sz w:val="18"/>
              </w:rPr>
              <w:t>약 771,936원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1,012개</w:t>
            </w:r>
          </w:p>
        </w:tc>
        <w:tc>
          <w:tcPr>
            <w:tcW w:type="dxa" w:w="3007"/>
            <w:shd w:fill="FFFFFF"/>
          </w:tcPr>
          <w:p>
            <w:pPr>
              <w:keepNext w:val="0"/>
              <w:spacing w:line="230" w:lineRule="exact" w:before="60" w:after="60"/>
            </w:pPr>
            <w:r>
              <w:rPr>
                <w:rFonts w:ascii="Arial" w:hAnsi="Arial" w:eastAsia="Noto Sans CJK KR"/>
                <w:b w:val="0"/>
                <w:color w:val="000000"/>
                <w:sz w:val="18"/>
              </w:rPr>
              <w:t>USD 400</w:t>
            </w:r>
          </w:p>
        </w:tc>
        <w:tc>
          <w:tcPr>
            <w:tcW w:type="dxa" w:w="3007"/>
            <w:shd w:fill="FFFFFF"/>
          </w:tcPr>
          <w:p>
            <w:pPr>
              <w:keepNext w:val="0"/>
              <w:spacing w:line="230" w:lineRule="exact" w:before="60" w:after="60"/>
            </w:pPr>
            <w:r>
              <w:rPr>
                <w:rFonts w:ascii="Arial" w:hAnsi="Arial" w:eastAsia="Noto Sans CJK KR"/>
                <w:b w:val="0"/>
                <w:color w:val="000000"/>
                <w:sz w:val="18"/>
              </w:rPr>
              <w:t>약 585,000원</w:t>
            </w:r>
          </w:p>
        </w:tc>
      </w:tr>
    </w:tbl>
    <w:p>
      <w:pPr>
        <w:pageBreakBefore w:val="0"/>
        <w:widowControl/>
        <w:spacing w:before="224"/>
      </w:pPr>
      <w:r>
        <w:rPr>
          <w:rFonts w:ascii="Arial" w:hAnsi="Arial" w:eastAsia="Noto Sans CJK KR"/>
          <w:b w:val="0"/>
          <w:sz w:val="20"/>
        </w:rPr>
        <w:t>&lt;환율 기준 USD 1 = 약 1,462원 (2026.05.10 기준)&gt;</w:t>
      </w:r>
    </w:p>
    <w:p>
      <w:pPr>
        <w:pageBreakBefore w:val="0"/>
        <w:widowControl/>
        <w:spacing w:before="241"/>
      </w:pPr>
      <w:r>
        <w:rPr>
          <w:rFonts w:ascii="Arial" w:hAnsi="Arial" w:eastAsia="Noto Sans CJK KR"/>
          <w:b w:val="0"/>
          <w:sz w:val="20"/>
        </w:rPr>
        <w:t>이상의 교신을 통해 연구팀은 제품 소싱, 가격 조건, 물류 구조에 관한 실질적인 정보를 확보하였으며, Bone 측의 적극적인 협력 의사를 확인하였다. 향후 6월 23일 대만 현지 대면 미팅을 통해 최종 협력 구조 및 계약 조건을 구체화할 예정이다.</w:t>
      </w:r>
    </w:p>
    <w:p>
      <w:pPr>
        <w:pStyle w:val="Heading2"/>
        <w:pageBreakBefore w:val="0"/>
        <w:spacing w:before="242"/>
      </w:pPr>
      <w:r>
        <w:rPr>
          <w:rFonts w:ascii="Arial" w:hAnsi="Arial" w:eastAsia="Noto Sans CJK KR"/>
          <w:b/>
          <w:sz w:val="22"/>
        </w:rPr>
        <w:t>4-2. 국내 경쟁 제품 분석 및 차별성</w:t>
      </w:r>
    </w:p>
    <w:p>
      <w:pPr>
        <w:pStyle w:val="Heading3"/>
        <w:pageBreakBefore w:val="0"/>
        <w:spacing w:before="244"/>
      </w:pPr>
      <w:r>
        <w:rPr>
          <w:rFonts w:ascii="Arial" w:hAnsi="Arial" w:eastAsia="Noto Sans CJK KR"/>
          <w:b/>
          <w:sz w:val="20"/>
        </w:rPr>
        <w:t>1) 국내 경쟁 제품 현황</w:t>
      </w:r>
    </w:p>
    <w:p>
      <w:pPr>
        <w:pageBreakBefore w:val="0"/>
        <w:widowControl/>
        <w:spacing w:before="241"/>
      </w:pPr>
      <w:r>
        <w:rPr>
          <w:rFonts w:ascii="Arial" w:hAnsi="Arial" w:eastAsia="Noto Sans CJK KR"/>
          <w:b w:val="0"/>
          <w:sz w:val="20"/>
        </w:rPr>
        <w:t>국내 시장에서 Cup Tie 2와 동일하게 테이크아웃 컵을 개인이 휴대하기 위한 재사용 컵캐리어를 주력 상품으로 판매하는 브랜드는 제한적인 것으로 파악되었다. 그러나 이는 Cup Tie 2가 경쟁 없이 독립적인 시장을 형성하고 있다는 의미라기보다, 국내에서는 컵캐리어가 하나의 독립적인 제품 카테고리로 충분히 형성되지 않은 상태로 볼 수 있다. 따라서 본 연구에서는 Cup Tie 2와 형태가 완전히 동일한 제품뿐만 아니라, 소비자가 테이크아웃 음료를 휴대할 때 선택할 수 있는 유사제품 및 대체재까지 경쟁 범위에 포함하여 검토하였다.</w:t>
      </w:r>
    </w:p>
    <w:p>
      <w:pPr>
        <w:pageBreakBefore w:val="0"/>
        <w:widowControl/>
        <w:spacing w:before="241"/>
      </w:pPr>
      <w:r>
        <w:rPr>
          <w:rFonts w:ascii="Arial" w:hAnsi="Arial" w:eastAsia="Noto Sans CJK KR"/>
          <w:b w:val="0"/>
          <w:sz w:val="20"/>
        </w:rPr>
        <w:t>국내에서 확인할 수 있는 유사제품 및 대체재는 크게 네 가지 유형으로 구분할 수 있다. 첫째, 스타벅스·메가커피 등 카페 브랜드에서 음료 구매 시 제공하는 일회용 컵캐리어, 둘째, 쿠팡·지그재그 등 온라인 쇼핑몰을 통해 유통되는 저가형 수입 컵홀더 및 컵캐리어, 셋째, 카카오톡 스토어와 개인 온라인 쇼핑몰 등을 통해 소량 판매되는 제품, 넷째, 아이디어스·인스타그램 등에서 판매되는 패브릭·니트 소재 등의 수제 컵홀더 및 컵캐리어이다. 이들 제품은 Cup Tie 2와 제품 형태, 소재, 디자인 및 판매방식에는 차이가 있으나, ‘테이크아웃 음료의 휴대 편의성을 높인다’는 동일하거나 유사한 소비 목적을 충족한다는 점에서 실질적인 경쟁 및 대체제품으로 볼 수 있다.</w:t>
      </w:r>
    </w:p>
    <w:p>
      <w:pPr>
        <w:pageBreakBefore w:val="0"/>
        <w:widowControl/>
        <w:spacing w:before="241"/>
      </w:pPr>
      <w:r>
        <w:rPr>
          <w:rFonts w:ascii="Arial" w:hAnsi="Arial" w:eastAsia="Noto Sans CJK KR"/>
          <w:b w:val="0"/>
          <w:sz w:val="20"/>
        </w:rPr>
        <w:t>특히 국내 시장에서는 저가형 유사제품과 무료 또는 저비용으로 이용할 수 있는 일회용 컵캐리어가 이미 존재한다는 점을 고려할 필요가 있다. Cup Tie 2는 반복 사용이 가능한 실리콘 소재, 다양한 컵 크기에 대한 호환성, 폴더블 스트랩, 스트로 링 및 캐릭터 디자인 등을 통해 기존 제품과의 기능적·디자인적 차별화를 시도할 수 있다. 그러나 소비자의 관점에서는 이러한 차별성이 존재하는 것과 별도의 비용을 지불하여 개인용 컵캐리어를 구매할 필요성을 느끼는 것은 다른 문제이다. 따라서 국내에 동일한 형태의</w:t>
      </w:r>
    </w:p>
    <w:p>
      <w:pPr>
        <w:pageBreakBefore w:val="0"/>
        <w:widowControl/>
        <w:spacing w:before="0"/>
      </w:pPr>
      <w:r>
        <w:rPr>
          <w:rFonts w:ascii="Arial" w:hAnsi="Arial" w:eastAsia="Noto Sans CJK KR"/>
          <w:b w:val="0"/>
          <w:sz w:val="20"/>
        </w:rPr>
        <w:t>전문 브랜드가 많지 않다는 사실만으로 시장성이 확보되었다고 판단하기보다는, 기존 대체재와 비교하여 Cup Tie 2가 제공하는 추가적인 가치가 실제 구매의사로 연결되는지를 검증할 필요가 있었다.</w:t>
      </w:r>
    </w:p>
    <w:p>
      <w:pPr>
        <w:pageBreakBefore w:val="0"/>
        <w:widowControl/>
        <w:spacing w:before="241"/>
      </w:pPr>
      <w:r>
        <w:rPr>
          <w:rFonts w:ascii="Arial" w:hAnsi="Arial" w:eastAsia="Noto Sans CJK KR"/>
          <w:b w:val="0"/>
          <w:sz w:val="20"/>
        </w:rPr>
        <w:t>반면 대만에서는 테이크아웃 음료 소비문화가 한국보다 컵캐리어 사용과 밀접하게 연결되어 있다는 점에서 다른 시장환경을 보인다. 대만의 ‘手搖飲(수요음)’ 문화와 일회용품 감축 정책은 반복적으로 사용할 수 있는 음료 휴대용품이 소비자의 일상생활에 활용될 수 있는 환경을 형성해 왔다. momo쇼핑, Pinkoi 등에서도 다양한 컵캐리어 제품이 판매되고 있어, 컵캐리어가 소비자에게 비교적 익숙한 제품군으로 노출되고 있다. 따라서 대만에서 형성된 제품의 사용 맥락과 소비자 인식이 한국시장에서도 동일하게 적용될 것이라고 전제하기는 어렵다.</w:t>
      </w:r>
    </w:p>
    <w:p>
      <w:pPr>
        <w:pageBreakBefore w:val="0"/>
        <w:widowControl/>
        <w:spacing w:before="241"/>
      </w:pPr>
      <w:r>
        <w:rPr>
          <w:rFonts w:ascii="Arial" w:hAnsi="Arial" w:eastAsia="Noto Sans CJK KR"/>
          <w:b w:val="0"/>
          <w:sz w:val="20"/>
        </w:rPr>
        <w:t>본 연구에서는 사전 시장조사 단계에서 국내에 Cup Tie 2와 동일한 형태의 전문 브랜드가 제한적이라는 점을 시장 진입의 기회이자 제품 차별화 요소로 판단하였다. 그러나 동시에 경쟁제품의 부재는 아직 해당 제품군에 대한 국내 소비자의 필요성과 지불의사가 충분히 형성되지 않았기 때문일 가능성도 존재한다. 이에 따라 본 연구에서는 단순히 경쟁제품의 수와 제품 특성을 비교하는 데 그치지 않고, 이후 크라우드펀딩을 통해 Cup Tie 2의 기능적·디자인적 차별성이 실제 소비자의 유효수요로 전환될 수 있는지를 함께 확인하고자 하였다.</w:t>
      </w:r>
    </w:p>
    <w:p>
      <w:pPr>
        <w:pStyle w:val="Heading3"/>
        <w:pageBreakBefore w:val="0"/>
        <w:spacing w:before="241"/>
      </w:pPr>
      <w:r>
        <w:rPr>
          <w:rFonts w:ascii="Arial" w:hAnsi="Arial" w:eastAsia="Noto Sans CJK KR"/>
          <w:b/>
          <w:sz w:val="20"/>
        </w:rPr>
        <w:t>2) 국내 시장 제품 유형별 분석</w:t>
      </w:r>
    </w:p>
    <w:p>
      <w:pPr>
        <w:pStyle w:val="Heading3"/>
        <w:pageBreakBefore w:val="0"/>
        <w:spacing w:before="241"/>
      </w:pPr>
      <w:r>
        <w:rPr>
          <w:rFonts w:ascii="Arial" w:hAnsi="Arial" w:eastAsia="Noto Sans CJK KR"/>
          <w:b/>
          <w:sz w:val="20"/>
        </w:rPr>
        <w:t>① 카페 브랜드 자체 제공 일회용 컵캐리어</w:t>
      </w:r>
    </w:p>
    <w:p>
      <w:pPr>
        <w:pageBreakBefore w:val="0"/>
        <w:widowControl/>
        <w:spacing w:before="241"/>
      </w:pPr>
      <w:r>
        <w:rPr>
          <w:rFonts w:ascii="Arial" w:hAnsi="Arial" w:eastAsia="Noto Sans CJK KR"/>
          <w:b w:val="0"/>
          <w:sz w:val="20"/>
        </w:rPr>
        <w:t>최근 국내 카페 업계에서도 1인용 컵캐리어에 대한 소비자 수요가 증가하고 있다. 스타벅스 코리아는 2026년 2월 26일부터 테이크아웃 아이스음료 전용 1인용 컵캐리어를 전국 매장에 도입하였으며, 1개당 100원에 유상 판매하고 있다. 해당 제품은 부직포 소재로 제작된 가방형 디자인으로, 대만 여행객 사이에서 널리 알려진 '뻬이따이(杯袋)' 형태를 차용하였다. 다만 트렌타(887ml) 사이즈와 개인컵 주문 시에는 사용이 불가하며, 대만 스타벅스가 동일 제품을 무상으로 제공하는 것과 달리 한국에서는 무분별한 사용 방지를 이유로 유상 판매 방식을 채택하였다.1 메가커피·컴포즈커피·빽다방 등 저가 커피 프랜차이즈는 비닐 소재의 1구 컵캐리어를 무상으로 제공하고 있으며, 이디야커피는 종이 소재 1인용 컵캐리어를 일부 매장에서 선택적으로 제공하고 있다. 그러나 카페 자체 제공 컵캐리어는 모두 일회용 제품으로, 개인이 상시 휴대하며 반복 사용하는 방식이 아니며 해당 카페 브랜드 음료에만 사용 가능하다는 근본적 한계가 있다. 환경부와 자발적 협약을 맺은 카페·패스트푸드 17개 브랜드 기준 2023년 일회용 컵 사용량은 9억 3,989만 개에 달하며, 회수율은 18% 미만에 불과하다.2 특히 카페 한정 회수율은 9.5%로 더욱 낮아 일회용 캐리어·컵이 제대로 분리·재활용되지 못한 채 폐기되는 구조가 고착화되어 있다. 3 2023년 11월 환경부가 식당·카페 종이컵 사용 금지 규제를 철회하면서 일회용품 저감 정책이 후퇴하였다는 비판도 제기되고 있다.4 이는 3-2장에서 살펴본 한국의 친환경 소비 트렌드와 정반대되는 방향의 제품군으로, 소비자 인식 변화에 따라 장기적으로 수요가 감소할 것으로 전망된다.</w:t>
      </w:r>
    </w:p>
    <w:p>
      <w:pPr>
        <w:pageBreakBefore w:val="0"/>
        <w:spacing w:before="360" w:line="205" w:lineRule="exact"/>
      </w:pPr>
      <w:r>
        <w:rPr>
          <w:rFonts w:ascii="Arial" w:hAnsi="Arial" w:eastAsia="Noto Sans CJK KR"/>
          <w:b w:val="0"/>
          <w:sz w:val="16"/>
        </w:rPr>
        <w:t>1 조하니, "1컵 캐리어 도입한 스타벅스…대만은 무료인데 한국은 유료, 왜?", 에너지경제신문, 2026.03.24, https://m.ekn.kr/view.php?key=20260324020090113 (검색일: 2026.05.10) ↩</w:t>
      </w:r>
    </w:p>
    <w:p>
      <w:pPr>
        <w:pageBreakBefore w:val="0"/>
        <w:spacing w:before="0" w:line="205" w:lineRule="exact"/>
      </w:pPr>
      <w:r>
        <w:rPr>
          <w:rFonts w:ascii="Arial" w:hAnsi="Arial" w:eastAsia="Noto Sans CJK KR"/>
          <w:b w:val="0"/>
          <w:sz w:val="16"/>
        </w:rPr>
        <w:t>2 한국경제, "작년 17개 카페·패스트푸드점서 일회용컵 9억4천개 썼다", https://www.hankyung.com/article/202405123088Y (검색일: 2026.05.10) ↩</w:t>
      </w:r>
    </w:p>
    <w:p>
      <w:pPr>
        <w:pageBreakBefore w:val="0"/>
        <w:spacing w:before="0" w:line="205" w:lineRule="exact"/>
      </w:pPr>
      <w:r>
        <w:rPr>
          <w:rFonts w:ascii="Arial" w:hAnsi="Arial" w:eastAsia="Noto Sans CJK KR"/>
          <w:b w:val="0"/>
          <w:sz w:val="16"/>
        </w:rPr>
        <w:t>3 더나은미래, "지난해 일회용 컵 10억개 사용… 회수 비율은 18%에 불과", https://futurechosun.com/archives/68261 (검색일: 2026.05.10)</w:t>
      </w:r>
    </w:p>
    <w:p>
      <w:pPr>
        <w:pageBreakBefore w:val="0"/>
        <w:spacing w:before="0" w:line="205" w:lineRule="exact"/>
      </w:pPr>
      <w:r>
        <w:rPr>
          <w:rFonts w:ascii="Arial" w:hAnsi="Arial" w:eastAsia="Noto Sans CJK KR"/>
          <w:b w:val="0"/>
          <w:sz w:val="16"/>
        </w:rPr>
        <w:t>4 YTN 사이언스, "카페·식당 내 종이컵 규제 철회...플라스틱 빨대는 계도기간 연장" (2023.11.07) https://science.ytn.co.kr/program/view.php?mcd=0082&amp;key=202311071624568359</w:t>
      </w:r>
    </w:p>
    <w:p>
      <w:pPr>
        <w:spacing w:line="240" w:lineRule="auto" w:after="0"/>
        <w:ind w:left="30"/>
      </w:pPr>
      <w:r>
        <w:drawing>
          <wp:inline xmlns:a="http://schemas.openxmlformats.org/drawingml/2006/main" xmlns:pic="http://schemas.openxmlformats.org/drawingml/2006/picture">
            <wp:extent cx="5476875" cy="5620444"/>
            <wp:docPr id="14" name="Picture 14"/>
            <wp:cNvGraphicFramePr>
              <a:graphicFrameLocks noChangeAspect="1"/>
            </wp:cNvGraphicFramePr>
            <a:graphic>
              <a:graphicData uri="http://schemas.openxmlformats.org/drawingml/2006/picture">
                <pic:pic>
                  <pic:nvPicPr>
                    <pic:cNvPr id="0" name="P08_01_source_431.jpg"/>
                    <pic:cNvPicPr/>
                  </pic:nvPicPr>
                  <pic:blipFill>
                    <a:blip r:embed="rId23"/>
                    <a:stretch>
                      <a:fillRect/>
                    </a:stretch>
                  </pic:blipFill>
                  <pic:spPr>
                    <a:xfrm>
                      <a:off x="0" y="0"/>
                      <a:ext cx="5476875" cy="5620444"/>
                    </a:xfrm>
                    <a:prstGeom prst="rect"/>
                  </pic:spPr>
                </pic:pic>
              </a:graphicData>
            </a:graphic>
          </wp:inline>
        </w:drawing>
      </w:r>
    </w:p>
    <w:p>
      <w:pPr>
        <w:pStyle w:val="Heading3"/>
        <w:pageBreakBefore w:val="0"/>
        <w:spacing w:before="283"/>
      </w:pPr>
      <w:r>
        <w:rPr>
          <w:rFonts w:ascii="Arial" w:hAnsi="Arial" w:eastAsia="Noto Sans CJK KR"/>
          <w:b/>
          <w:sz w:val="20"/>
        </w:rPr>
        <w:t>② 온라인 쇼핑몰 내 유사 제품 (쿠팡·지그재그 등)</w:t>
      </w:r>
    </w:p>
    <w:p>
      <w:pPr>
        <w:pageBreakBefore w:val="0"/>
        <w:widowControl/>
        <w:spacing w:before="241"/>
      </w:pPr>
      <w:r>
        <w:rPr>
          <w:rFonts w:ascii="Arial" w:hAnsi="Arial" w:eastAsia="Noto Sans CJK KR"/>
          <w:b w:val="0"/>
          <w:sz w:val="20"/>
        </w:rPr>
        <w:t>쿠팡, 네이버 스마트스토어, 지그재그, SSG 등 온라인 쇼핑몰에서 '실리콘 컵홀더', '텀블러 스트랩 캐리어', '뻬이따이' 등의 키워드로 검색하면 일부 유사 제품이 노출된다. 크게 세 가지 가격대로 분류된다.</w:t>
      </w:r>
    </w:p>
    <w:p>
      <w:pPr>
        <w:pageBreakBefore w:val="0"/>
        <w:widowControl/>
        <w:spacing w:before="241"/>
      </w:pPr>
      <w:r>
        <w:rPr>
          <w:rFonts w:ascii="Arial" w:hAnsi="Arial" w:eastAsia="Noto Sans CJK KR"/>
          <w:b w:val="0"/>
          <w:sz w:val="20"/>
        </w:rPr>
        <w:t>대표적으로, 저가 대만산 메쉬·끈 형태의 뻬이따이 제품이 있다. 폴리에스터 끈과 메쉬망에 카라비너가 달린 형태로 일회용 종이컵·텀블러 모두 사용 가능하며, 대만 여행 관련 SNS 콘텐츠 확산으로 국내 유입이 가속화되었다. 줄라이크, 우제스트, 그리샵 등이 대표적이다.5</w:t>
      </w:r>
    </w:p>
    <w:p>
      <w:pPr>
        <w:pageBreakBefore w:val="0"/>
        <w:spacing w:before="360" w:line="205" w:lineRule="exact"/>
      </w:pPr>
      <w:r>
        <w:rPr>
          <w:rFonts w:ascii="Arial" w:hAnsi="Arial" w:eastAsia="Noto Sans CJK KR"/>
          <w:b w:val="0"/>
          <w:sz w:val="16"/>
        </w:rPr>
        <w:t>5 지그재그, "줄라이크 텀블러 캐리어 실리콘 컵홀더 컵타이", https://zigzag.kr/catalog/products/140791668; "우제스트 대만 뻬이따이 컵홀더", https://zigzag.kr/catalog/products/161582656; "그리샵 대만 컵타이 빼이따이", https://zigzag.kr/catalog/products/163978662 (검색일: 2026.05.10)</w:t>
      </w:r>
    </w:p>
    <w:p>
      <w:pPr>
        <w:spacing w:line="240" w:lineRule="auto" w:after="0"/>
        <w:ind w:left="30"/>
      </w:pPr>
      <w:r>
        <w:drawing>
          <wp:inline xmlns:a="http://schemas.openxmlformats.org/drawingml/2006/main" xmlns:pic="http://schemas.openxmlformats.org/drawingml/2006/picture">
            <wp:extent cx="3219450" cy="3315793"/>
            <wp:docPr id="15" name="Picture 15"/>
            <wp:cNvGraphicFramePr>
              <a:graphicFrameLocks noChangeAspect="1"/>
            </wp:cNvGraphicFramePr>
            <a:graphic>
              <a:graphicData uri="http://schemas.openxmlformats.org/drawingml/2006/picture">
                <pic:pic>
                  <pic:nvPicPr>
                    <pic:cNvPr id="0" name="P09_01_source_253.jpg"/>
                    <pic:cNvPicPr/>
                  </pic:nvPicPr>
                  <pic:blipFill>
                    <a:blip r:embed="rId24"/>
                    <a:stretch>
                      <a:fillRect/>
                    </a:stretch>
                  </pic:blipFill>
                  <pic:spPr>
                    <a:xfrm>
                      <a:off x="0" y="0"/>
                      <a:ext cx="3219450" cy="3315793"/>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3609975" cy="3739062"/>
            <wp:docPr id="16" name="Picture 16"/>
            <wp:cNvGraphicFramePr>
              <a:graphicFrameLocks noChangeAspect="1"/>
            </wp:cNvGraphicFramePr>
            <a:graphic>
              <a:graphicData uri="http://schemas.openxmlformats.org/drawingml/2006/picture">
                <pic:pic>
                  <pic:nvPicPr>
                    <pic:cNvPr id="0" name="P09_02_source_284.jpg"/>
                    <pic:cNvPicPr/>
                  </pic:nvPicPr>
                  <pic:blipFill>
                    <a:blip r:embed="rId25"/>
                    <a:stretch>
                      <a:fillRect/>
                    </a:stretch>
                  </pic:blipFill>
                  <pic:spPr>
                    <a:xfrm>
                      <a:off x="0" y="0"/>
                      <a:ext cx="3609975" cy="3739062"/>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4105275" cy="4200378"/>
            <wp:docPr id="17" name="Picture 17"/>
            <wp:cNvGraphicFramePr>
              <a:graphicFrameLocks noChangeAspect="1"/>
            </wp:cNvGraphicFramePr>
            <a:graphic>
              <a:graphicData uri="http://schemas.openxmlformats.org/drawingml/2006/picture">
                <pic:pic>
                  <pic:nvPicPr>
                    <pic:cNvPr id="0" name="P10_01_source_323.jpg"/>
                    <pic:cNvPicPr/>
                  </pic:nvPicPr>
                  <pic:blipFill>
                    <a:blip r:embed="rId26"/>
                    <a:stretch>
                      <a:fillRect/>
                    </a:stretch>
                  </pic:blipFill>
                  <pic:spPr>
                    <a:xfrm>
                      <a:off x="0" y="0"/>
                      <a:ext cx="4105275" cy="4200378"/>
                    </a:xfrm>
                    <a:prstGeom prst="rect"/>
                  </pic:spPr>
                </pic:pic>
              </a:graphicData>
            </a:graphic>
          </wp:inline>
        </w:drawing>
      </w:r>
    </w:p>
    <w:p>
      <w:pPr>
        <w:pStyle w:val="Heading3"/>
        <w:pageBreakBefore w:val="0"/>
        <w:spacing w:before="283"/>
      </w:pPr>
      <w:r>
        <w:rPr>
          <w:rFonts w:ascii="Arial" w:hAnsi="Arial" w:eastAsia="Noto Sans CJK KR"/>
          <w:b/>
          <w:sz w:val="20"/>
        </w:rPr>
        <w:t>③ 카카오톡 스토어·개인 쇼핑몰 판매</w:t>
      </w:r>
    </w:p>
    <w:p>
      <w:pPr>
        <w:pageBreakBefore w:val="0"/>
        <w:widowControl/>
        <w:spacing w:before="241"/>
      </w:pPr>
      <w:r>
        <w:rPr>
          <w:rFonts w:ascii="Arial" w:hAnsi="Arial" w:eastAsia="Noto Sans CJK KR"/>
          <w:b w:val="0"/>
          <w:sz w:val="20"/>
        </w:rPr>
        <w:t>카카오톡 스토어(톡딜) 등에서 '스트랩 실리콘 손잡이 텀블러 홀더 캐리어', '대만 뻬이따이 컵타이 DIY' 등의 유사 제품이 소량 판매되고 있다. 갓샵에서는 대만 뻬이따이 형태의 컵홀더 DIY 키트를 7,800원에 판매하고 있으며, 카카오 선물하기를 통해서도 유사 제품이 12,800원에 등록되어 있다. 그러나 톡딜은 24시간 내 공동구매 미성사 시 자동 취소되는 구조로 상품 회전이 빠르고, 대부분 브랜드 신뢰도가 낮으며 디자인 차별성이 부족하다. 6</w:t>
      </w:r>
    </w:p>
    <w:p>
      <w:pPr>
        <w:pStyle w:val="Heading3"/>
        <w:pageBreakBefore w:val="0"/>
        <w:spacing w:before="241"/>
      </w:pPr>
      <w:r>
        <w:rPr>
          <w:rFonts w:ascii="Arial" w:hAnsi="Arial" w:eastAsia="Noto Sans CJK KR"/>
          <w:b/>
          <w:sz w:val="20"/>
        </w:rPr>
        <w:t>④ 아이디어스·인스타그램 내 수제 판매</w:t>
      </w:r>
    </w:p>
    <w:p>
      <w:pPr>
        <w:pageBreakBefore w:val="0"/>
        <w:widowControl/>
        <w:spacing w:before="241"/>
      </w:pPr>
      <w:r>
        <w:rPr>
          <w:rFonts w:ascii="Arial" w:hAnsi="Arial" w:eastAsia="Noto Sans CJK KR"/>
          <w:b w:val="0"/>
          <w:sz w:val="20"/>
        </w:rPr>
        <w:t>아이디어스(idus.com) 등 핸드메이드 플랫폼과 인스타그램에서 개인 판매자들이 니트·패브릭·가죽·업사이클 소재의 컵홀더를 활발히 판매하고 있다. 아이디어스는 누적거래액 1조원 이상, 입점 작가 4만 명 이상, MAU 500만 명 규모의 핸드메이드 플랫폼으로, 뜨개 컵홀더 15000원 내외, 패브릭 컵슬리브 8,000~15,000원대, 가죽 컵홀더 15,000~30,000원대 등 다양한 가격대의 제품이 등록되어 있다.7 감성적인 디자인으로 20대 여성층에게 인기를 얻고 있으나, 실리콘 소재가 아닌 패브릭·가죽 소재라 방수·방오 기능이 없으며, 소량 수제 제작 방식이라 품질 편차가 크고 대량 구매 및 재구매가 어렵다는 한계가 있다.</w:t>
      </w:r>
    </w:p>
    <w:p>
      <w:pPr>
        <w:pStyle w:val="Heading3"/>
        <w:pageBreakBefore w:val="0"/>
        <w:spacing w:before="241"/>
      </w:pPr>
      <w:r>
        <w:rPr>
          <w:rFonts w:ascii="Arial" w:hAnsi="Arial" w:eastAsia="Noto Sans CJK KR"/>
          <w:b/>
          <w:sz w:val="20"/>
        </w:rPr>
        <w:t>3) Cup Tie 2의 차별성</w:t>
      </w:r>
    </w:p>
    <w:p>
      <w:pPr>
        <w:pageBreakBefore w:val="0"/>
        <w:widowControl/>
        <w:spacing w:before="241"/>
      </w:pPr>
      <w:r>
        <w:rPr>
          <w:rFonts w:ascii="Arial" w:hAnsi="Arial" w:eastAsia="Noto Sans CJK KR"/>
          <w:b w:val="0"/>
          <w:sz w:val="20"/>
        </w:rPr>
        <w:t>Cup Tie 2가 국내 시장에서 주목받을 수 있는 이유는 단순 제품 기능의 우월성이 아니라, 현재 한국 소비 시장의 흐름과 구조적으로 맞닿아 있다는 점에서 찾을 수 있다.</w:t>
      </w:r>
    </w:p>
    <w:p>
      <w:pPr>
        <w:pStyle w:val="Heading3"/>
        <w:pageBreakBefore w:val="0"/>
        <w:spacing w:before="241"/>
      </w:pPr>
      <w:r>
        <w:rPr>
          <w:rFonts w:ascii="Arial" w:hAnsi="Arial" w:eastAsia="Noto Sans CJK KR"/>
          <w:b/>
          <w:sz w:val="20"/>
        </w:rPr>
        <w:t>① 텀블러 시장과의 비경쟁적 포지셔닝</w:t>
      </w:r>
    </w:p>
    <w:p>
      <w:pPr>
        <w:pageBreakBefore w:val="0"/>
        <w:spacing w:before="360" w:line="205" w:lineRule="exact"/>
      </w:pPr>
      <w:r>
        <w:rPr>
          <w:rFonts w:ascii="Arial" w:hAnsi="Arial" w:eastAsia="Noto Sans CJK KR"/>
          <w:b w:val="0"/>
          <w:sz w:val="16"/>
        </w:rPr>
        <w:t>6 갓샵, "대만 뻬이따이 컵타이 텀블러 컵홀더 만들기", 핫트랙스 https://hottracks.kyobobook.co.kr/gift/detail/S000217108641</w:t>
      </w:r>
    </w:p>
    <w:p>
      <w:pPr>
        <w:pageBreakBefore w:val="0"/>
        <w:spacing w:before="205" w:line="205" w:lineRule="exact"/>
      </w:pPr>
      <w:r>
        <w:rPr>
          <w:rFonts w:ascii="Arial" w:hAnsi="Arial" w:eastAsia="Noto Sans CJK KR"/>
          <w:b w:val="0"/>
          <w:sz w:val="16"/>
        </w:rPr>
        <w:t>카카오 선물하기, "대만 뻬이따이 컵타이 롱 컵홀더 만들기" https://gift.kakao.com/product/11981946</w:t>
      </w:r>
    </w:p>
    <w:p>
      <w:pPr>
        <w:pageBreakBefore w:val="0"/>
        <w:spacing w:before="202" w:line="205" w:lineRule="exact"/>
      </w:pPr>
      <w:r>
        <w:rPr>
          <w:rFonts w:ascii="Arial" w:hAnsi="Arial" w:eastAsia="Noto Sans CJK KR"/>
          <w:b w:val="0"/>
          <w:sz w:val="16"/>
        </w:rPr>
        <w:t>7 아이디어스, "뜨개컵홀더", https://idus.com/search?word=%EB%9C%A8%EA%B0%9C%EC%BB%B5%ED%99%80%EB%8D%94; "가죽컵홀더", http://www.idus.com/search?word=%EA%B0%80%EC%A3%BD%EC%BB%B5%ED%99%80%EB%8D%94; "텀블러백", https://www.idus.com/v2/search?keyword=%ED%85%80%EB%B8%94%EB%9F%AC%EA%B0%80%EB%B0%A9 (검색일: 2026.05.10</w:t>
      </w:r>
    </w:p>
    <w:p>
      <w:pPr>
        <w:pageBreakBefore w:val="0"/>
        <w:widowControl/>
        <w:spacing w:before="0"/>
      </w:pPr>
      <w:r>
        <w:rPr>
          <w:rFonts w:ascii="Arial" w:hAnsi="Arial" w:eastAsia="Noto Sans CJK KR"/>
          <w:b w:val="0"/>
          <w:sz w:val="20"/>
        </w:rPr>
        <w:t>국내 텀블러 시장은 스탠리·스타벅스 등 브랜드 중심의 경쟁이 심화되며 이미 포화 상태에 접어들고 있다. 반면 오픈서베이의 '카페 트렌드 리포트 2022'에 따르면 국내 카페 이용 중 테이크아웃 비중은 53.2%로 매장 내 소비를 이미 추월하였으며8, 한국소비자원 조사에서는 테이크아웃 소비자의 92.5%가 일회용 컵을 그대로 손에 들고 이동하는 것으로 나타났다. 9 즉 텀블러를 보유하고 있음에도 불구하고 테이크아웃 컵을 그대로 사용하는 소비자가 압도적 다수를 차지하는 상황이다. Cup Tie 2는 텀블러를 대체하는 제품이 아니라, 이미 손에 든 테이크아웃 컵을 그대로 활용하면서 불편함을 해소하는 제품이라는 점에서 기존 시장과 겹치지 않는 독자적인 포지셔닝이 가능하다.</w:t>
      </w:r>
    </w:p>
    <w:p>
      <w:pPr>
        <w:pStyle w:val="Heading3"/>
        <w:pageBreakBefore w:val="0"/>
        <w:spacing w:before="241"/>
      </w:pPr>
      <w:r>
        <w:rPr>
          <w:rFonts w:ascii="Arial" w:hAnsi="Arial" w:eastAsia="Noto Sans CJK KR"/>
          <w:b/>
          <w:sz w:val="20"/>
        </w:rPr>
        <w:t>② 뻬이따이 수요의 브랜드화 공백</w:t>
      </w:r>
    </w:p>
    <w:p>
      <w:pPr>
        <w:pageBreakBefore w:val="0"/>
        <w:widowControl/>
        <w:spacing w:before="241"/>
      </w:pPr>
      <w:r>
        <w:rPr>
          <w:rFonts w:ascii="Arial" w:hAnsi="Arial" w:eastAsia="Noto Sans CJK KR"/>
          <w:b w:val="0"/>
          <w:sz w:val="20"/>
        </w:rPr>
        <w:t>최근 대만 여행과 함께 '뻬이따이(杯袋)' 형태의 컵캐리어가 국내 온라인 쇼핑몰을 중심으로 소개되고 있다. 지그재그·SSG 등에서는 1,000~5,000원대의 저가형 제품이 유통되고 있으며, 앞서 살펴본 브랜드 제품처럼 소재와 디자인에 따라 다른 가격대도 형성되어 있다. Cup Tie 2는 자체 캐릭터와 실리콘 소재, 폴더블 스트랩 등의 특징을 통해 차별화를 시도할 수 있다. 다만 정식 브랜드라는 사실이 곧 구매로 연결되는 것은 아니므로, 대체재와 비교하여 소비자가 인정하는 추가 가치를 구체적으로 전달할 필요가 있다.</w:t>
      </w:r>
    </w:p>
    <w:p>
      <w:pPr>
        <w:pStyle w:val="Heading3"/>
        <w:pageBreakBefore w:val="0"/>
        <w:spacing w:before="241"/>
      </w:pPr>
      <w:r>
        <w:rPr>
          <w:rFonts w:ascii="Arial" w:hAnsi="Arial" w:eastAsia="Noto Sans CJK KR"/>
          <w:b/>
          <w:sz w:val="20"/>
        </w:rPr>
        <w:t>③ '토핑경제' 트렌드와의 부합</w:t>
      </w:r>
    </w:p>
    <w:p>
      <w:pPr>
        <w:pageBreakBefore w:val="0"/>
        <w:widowControl/>
        <w:spacing w:before="241"/>
      </w:pPr>
      <w:r>
        <w:rPr>
          <w:rFonts w:ascii="Arial" w:hAnsi="Arial" w:eastAsia="Noto Sans CJK KR"/>
          <w:b w:val="0"/>
          <w:sz w:val="20"/>
        </w:rPr>
        <w:t>트렌드 코리아 2025는 소비자가 기성 제품에 자신만의 요소를 더해 개성을 표현하는 '토핑경제'를 핵심 소비 트렌드로 제시하였다. 11크록스의 지비츠 참, 스탠리 텀블러의 키링, 요아정의 토핑 조합처럼 '꾸밀 수 있는 제품'이 폭발적인 성장을 이루고 있으며, 실제로 텀블러 꾸미기를 뜻하는 '텀꾸' 관련 언급량은 전년 동기 대비 280% 증가한 것으로 나타났다. 12Cup Tie 2의 캐릭터 버튼 교체 기능은 이러한 토핑경제의 음료 액세서리 버전으로 기능할 수 있으며, 소비자가 자신의 취향에 따라 캐릭터를 선택하고 교체하는 경험 자체가 구매 동기로 작용할 수 있다.</w:t>
      </w:r>
    </w:p>
    <w:p>
      <w:pPr>
        <w:pStyle w:val="Heading3"/>
        <w:pageBreakBefore w:val="0"/>
        <w:spacing w:before="241"/>
      </w:pPr>
      <w:r>
        <w:rPr>
          <w:rFonts w:ascii="Arial" w:hAnsi="Arial" w:eastAsia="Noto Sans CJK KR"/>
          <w:b/>
          <w:sz w:val="20"/>
        </w:rPr>
        <w:t>④ 친환경 소재의 실질적 가치</w:t>
      </w:r>
    </w:p>
    <w:p>
      <w:pPr>
        <w:pageBreakBefore w:val="0"/>
        <w:widowControl/>
        <w:spacing w:before="241"/>
      </w:pPr>
      <w:r>
        <w:rPr>
          <w:rFonts w:ascii="Arial" w:hAnsi="Arial" w:eastAsia="Noto Sans CJK KR"/>
          <w:b w:val="0"/>
          <w:sz w:val="20"/>
        </w:rPr>
        <w:t>Cup Tie 2는 RoHS(유해물질 사용 제한 지침) 기준에 따라 납·수은 등 10대 유해물질의 사용이 제한된 친환경 실리콘 소재로 제작되어 있으며,13 방수·방오 기능을 갖추고 있어 세척 후 반복 사용이 가능하다. 3-2장에서 살펴본 바와 같이 한국 소비자의 친환경 행동 참여율은 개인컵 사용(49.6%) 등 일상적이고 접근하기 쉬운 실천에서 높게 나타나는 반면, 친환경 제품 구매(13.6%)처럼 비용이 수반되는 행동은 낮은 참여율을 보인다. 이는 친환경 소비의 실천 장벽을 낮추는 것이 핵심임을 시사하며, Cup Tie 2는 합리적인 가격대에서 일회용 캐리어를 직접 대체하는 방식으로 '실천이 쉬운 친환경 소비'를 가능하게 한다. 다만, 실리콘 소재는 자연 분해되지 않으므로, 마케팅 시에는 '재활용 가능' 프레임보다 일회용 컵캐리어 대비 폐기물 감소 효과를 중심으로 친환경성을 전달하는 것이 소비자 신뢰 확보에 적합하다.</w:t>
      </w:r>
    </w:p>
    <w:p>
      <w:pPr>
        <w:pStyle w:val="Heading2"/>
        <w:pageBreakBefore w:val="0"/>
        <w:spacing w:before="242"/>
      </w:pPr>
      <w:r>
        <w:rPr>
          <w:rFonts w:ascii="Arial" w:hAnsi="Arial" w:eastAsia="Noto Sans CJK KR"/>
          <w:b/>
          <w:sz w:val="22"/>
        </w:rPr>
        <w:t>4-3. 타겟 소비자 설정 및 페르소나</w:t>
      </w:r>
    </w:p>
    <w:p>
      <w:pPr>
        <w:pStyle w:val="Heading3"/>
        <w:pageBreakBefore w:val="0"/>
        <w:spacing w:before="244"/>
      </w:pPr>
      <w:r>
        <w:rPr>
          <w:rFonts w:ascii="Arial" w:hAnsi="Arial" w:eastAsia="Noto Sans CJK KR"/>
          <w:b/>
          <w:sz w:val="20"/>
        </w:rPr>
        <w:t>1) 타겟 소비자 설정</w:t>
      </w:r>
    </w:p>
    <w:p>
      <w:pPr>
        <w:pageBreakBefore w:val="0"/>
        <w:widowControl/>
        <w:spacing w:before="241"/>
      </w:pPr>
      <w:r>
        <w:rPr>
          <w:rFonts w:ascii="Arial" w:hAnsi="Arial" w:eastAsia="Noto Sans CJK KR"/>
          <w:b w:val="0"/>
          <w:sz w:val="20"/>
        </w:rPr>
        <w:t>본 연구는 Bone Collection 제품의 크라우드 펀딩 성공 가능성을 높이기 위해 20~30대의 감성 소비 성향을 지니면서 친환경 가치를 중시하는 청년층을 핵심 타겟 소비자로 설정하였다. 이는 단순히 연령대</w:t>
      </w:r>
    </w:p>
    <w:p>
      <w:pPr>
        <w:pageBreakBefore w:val="0"/>
        <w:spacing w:before="338" w:line="205" w:lineRule="exact"/>
      </w:pPr>
      <w:r>
        <w:rPr>
          <w:rFonts w:ascii="Arial" w:hAnsi="Arial" w:eastAsia="Noto Sans CJK KR"/>
          <w:b w:val="0"/>
          <w:sz w:val="16"/>
        </w:rPr>
        <w:t>8 오픈서베이, "테이크아웃 꽉 잡은 메가커피·컴포즈커피, 카페 시장 판도 바꿀까", https://blog.opensurvey.co.kr/article/cafe-2022-2/ (검색일: 2026.05.14)</w:t>
      </w:r>
    </w:p>
    <w:p>
      <w:pPr>
        <w:pageBreakBefore w:val="0"/>
        <w:spacing w:before="0" w:line="205" w:lineRule="exact"/>
      </w:pPr>
      <w:r>
        <w:rPr>
          <w:rFonts w:ascii="Arial" w:hAnsi="Arial" w:eastAsia="Noto Sans CJK KR"/>
          <w:b w:val="0"/>
          <w:sz w:val="16"/>
        </w:rPr>
        <w:t>9 한국소비자원, "커피전문점 1회용품 사용 실태 및 인식조사", https://www.kca.go.kr/smartconsumer/board/download.do?fno=10023076 (검색일: 2026.05.14); 경향신문, "커피 테이크아웃 때 일회용컵 10명 중 9명꼴 사용", https://www.khan.co.kr/article/201811281013001 (검색일: 2026.05.14)</w:t>
      </w:r>
    </w:p>
    <w:p>
      <w:pPr>
        <w:pageBreakBefore w:val="0"/>
        <w:spacing w:before="0" w:line="205" w:lineRule="exact"/>
      </w:pPr>
      <w:r>
        <w:rPr>
          <w:rFonts w:ascii="Arial" w:hAnsi="Arial" w:eastAsia="Noto Sans CJK KR"/>
          <w:b w:val="0"/>
          <w:sz w:val="16"/>
        </w:rPr>
        <w:t>10 지그재그, "줄라이크 텀블러 캐리어 실리콘 컵홀더 컵타이", https://zigzag.kr/catalog/products/140791668; "우제스트 대만 뻬이따이 컵홀더", https://zigzag.kr/catalog/products/161582656 (검색일: 2026.05.14)</w:t>
      </w:r>
    </w:p>
    <w:p>
      <w:pPr>
        <w:pageBreakBefore w:val="0"/>
        <w:spacing w:before="0" w:line="205" w:lineRule="exact"/>
      </w:pPr>
      <w:r>
        <w:rPr>
          <w:rFonts w:ascii="Arial" w:hAnsi="Arial" w:eastAsia="Noto Sans CJK KR"/>
          <w:b w:val="0"/>
          <w:sz w:val="16"/>
        </w:rPr>
        <w:t>11 김난도 외, 『트렌드 코리아 2025』, 미래의창, 2024; heypop, "2025년 떠오를 소비 트렌드는?", https://heypop.kr/n/108232/ (검색일: 2026.05.14)</w:t>
      </w:r>
    </w:p>
    <w:p>
      <w:pPr>
        <w:pageBreakBefore w:val="0"/>
        <w:widowControl/>
        <w:spacing w:before="0"/>
      </w:pPr>
      <w:r>
        <w:rPr>
          <w:rFonts w:ascii="Arial" w:hAnsi="Arial" w:eastAsia="Noto Sans CJK KR"/>
          <w:b w:val="0"/>
          <w:sz w:val="20"/>
        </w:rPr>
        <w:t>12 한국경제, "요즘 이거 없으면 '왕따' 당할 판…1020 '텀꾸' 열풍", https://www.hankyung.com/article/2024060322927 (검색일: 2026.05.14)</w:t>
      </w:r>
    </w:p>
    <w:p>
      <w:pPr>
        <w:pageBreakBefore w:val="0"/>
        <w:spacing w:before="0" w:line="205" w:lineRule="exact"/>
      </w:pPr>
      <w:r>
        <w:rPr>
          <w:rFonts w:ascii="Arial" w:hAnsi="Arial" w:eastAsia="Noto Sans CJK KR"/>
          <w:b w:val="0"/>
          <w:sz w:val="16"/>
        </w:rPr>
        <w:t>13 Bone Collection, "Cup Tie" 제품 상세 페이지, Amazon.com https://www.amazon.com/Bone-Collection-Carrier-Reusable-Beverage/dp/B07GR5TWB9</w:t>
      </w:r>
    </w:p>
    <w:p>
      <w:pPr>
        <w:pageBreakBefore w:val="0"/>
        <w:widowControl/>
        <w:spacing w:before="0"/>
      </w:pPr>
      <w:r>
        <w:rPr>
          <w:rFonts w:ascii="Arial" w:hAnsi="Arial" w:eastAsia="Noto Sans CJK KR"/>
          <w:b w:val="0"/>
          <w:sz w:val="20"/>
        </w:rPr>
        <w:t>기준의 설정이 아니라, 국내 소비 트렌드와 크라우드 펀딩 플랫폼 이용자 특성, 그리고 제품 카테고리 적합성을 종합적으로 고려한 전략적인 판단이다.</w:t>
      </w:r>
    </w:p>
    <w:p>
      <w:pPr>
        <w:pageBreakBefore w:val="0"/>
        <w:widowControl/>
        <w:spacing w:before="241"/>
      </w:pPr>
      <w:r>
        <w:rPr>
          <w:rFonts w:ascii="Arial" w:hAnsi="Arial" w:eastAsia="Noto Sans CJK KR"/>
          <w:b w:val="0"/>
          <w:sz w:val="20"/>
        </w:rPr>
        <w:t>첫째, 20~30대는 국내 친환경 소비를 주도하는 핵심 세대로 평가된다. MZ세대(밀레니얼+Z세대)는 다른 세대보다 제품 구매 시 가격만이 아니라 기업의 환경·사회적 책임, 브랜드 가치, 지속가능성을 중요하게 고려하는 경향이 강하다. 대한상공회의소가 MZ세대 380명을 대상으로 실시한 조사에 따르면, 64.5%가 ESG를 실천하는 기업의 제품이라면 더 비싸더라도 구매 의향이 있다고 응답하였다.14 이는 20~30대 소비자가 단순 가격 경쟁보다 가치 중심 소비에 더 적극적임을 보여준다.</w:t>
      </w:r>
    </w:p>
    <w:p>
      <w:pPr>
        <w:pageBreakBefore w:val="0"/>
        <w:widowControl/>
        <w:spacing w:before="241"/>
      </w:pPr>
      <w:r>
        <w:rPr>
          <w:rFonts w:ascii="Arial" w:hAnsi="Arial" w:eastAsia="Noto Sans CJK KR"/>
          <w:b w:val="0"/>
          <w:sz w:val="20"/>
        </w:rPr>
        <w:t>또한 최근 20~30대를 중심으로 친환경 브랜드를 소비하는 사례도 빠르게 증가하고 있다. 예를 들어, 패션 분야에서 친환경 소재를 활용한 브랜드 ‘파타고니아(Patagonia)’ 는 제품 판매와 더불어 환경 보호 메시지를 강조하며 국내 20~30대 소비자들에게 높은 선호를 얻고 있다. 특히 “오래 입는 소비”, “필요한 만큼만 구매”와 같은 브랜드 철학은 가치소비 성향이 강한 청년층에게 긍정적으로 작용한다.</w:t>
      </w:r>
    </w:p>
    <w:p>
      <w:pPr>
        <w:pageBreakBefore w:val="0"/>
        <w:widowControl/>
        <w:spacing w:before="241"/>
      </w:pPr>
      <w:r>
        <w:rPr>
          <w:rFonts w:ascii="Arial" w:hAnsi="Arial" w:eastAsia="Noto Sans CJK KR"/>
          <w:b w:val="0"/>
          <w:sz w:val="20"/>
        </w:rPr>
        <w:t>이러한 흐름은 본 연구 대상 제품인 Bone Collection과도 높은 연관성을 가진다. Bone Collection 역시 친환경 소재 활용, 감성 디자인, 지속가능한 브랜드 이미지를 가지고 있어, 단순 기능보다 가치와 취향을 함께 소비하려는 20~30대에게 높은 반응을 얻을 가능성이 크다.</w:t>
      </w:r>
    </w:p>
    <w:p>
      <w:pPr>
        <w:pageBreakBefore w:val="0"/>
        <w:widowControl/>
        <w:spacing w:before="241"/>
      </w:pPr>
      <w:r>
        <w:rPr>
          <w:rFonts w:ascii="Arial" w:hAnsi="Arial" w:eastAsia="Noto Sans CJK KR"/>
          <w:b w:val="0"/>
          <w:sz w:val="20"/>
        </w:rPr>
        <w:t>둘째, 20~30대는 크라우드 펀딩 플랫폼의 핵심 이용자층이다. 국내 주요 크라우드펀딩 플랫폼인 와디즈는 디지털 친화적이며 새로운 브랜드와 트렌드 제품에 대한 수용성이 높은 20~30대 이용자 비중이 높은 플랫폼으로 평가된다. 실제 와디즈는 공식 보도자료를 통해 뷰티·헬스·라이프스타일 카테고리 성장 배경으로 2030세대 중심 소비 트렌드를 직접 언급한 바 있다. 예를 들어 2025년 와디즈는 이너뷰티 펀딩 금액이 전년 대비 2.7배 증가했다고 발표하며, 그 성장 요인으로 2030세대 중심 ‘저속노화’ 트렌드 확산을 제시하였다.15 이는 와디즈 내 주요 소비층이 20~30대이며, 해당 세대의 라이프스타일 변화가 플랫폼 소비 흐름에 직접 영향을 준다는 점을 보여준다.</w:t>
      </w:r>
    </w:p>
    <w:p>
      <w:pPr>
        <w:pageBreakBefore w:val="0"/>
        <w:widowControl/>
        <w:spacing w:before="241"/>
      </w:pPr>
      <w:r>
        <w:rPr>
          <w:rFonts w:ascii="Arial" w:hAnsi="Arial" w:eastAsia="Noto Sans CJK KR"/>
          <w:b w:val="0"/>
          <w:sz w:val="20"/>
        </w:rPr>
        <w:t>또한 와디즈는 메이커 대상 광고 상품 안내에서 메타(Meta) 기반 인스타그램·페이스북 SNS 타겟 광고 상품을 운영하고 있다.16 이는 플랫폼 자체가 SNS 활용도가 높은 젊은 세대를 핵심 유입층으로 보고 있음을 의미한다. 즉, 와디즈 프로젝트는 단순 플랫폼 노출뿐 아니라 SNS 공유, 후기 콘텐츠 생산, 바이럴 확산 구조와 밀접하게 연결되어 있다.</w:t>
      </w:r>
    </w:p>
    <w:p>
      <w:pPr>
        <w:pageBreakBefore w:val="0"/>
        <w:widowControl/>
        <w:spacing w:before="241"/>
      </w:pPr>
      <w:r>
        <w:rPr>
          <w:rFonts w:ascii="Arial" w:hAnsi="Arial" w:eastAsia="Noto Sans CJK KR"/>
          <w:b w:val="0"/>
          <w:sz w:val="20"/>
        </w:rPr>
        <w:t>20~30대는 온라인 콘텐츠 소비량과 SNS 활동성이 높아 신제품 발견, 후기 작성, 공동 구매 참여에 적극적인 특징을 가진다. 따라서 크라우드펀딩 프로젝트에서 동일한 광고 예산을 투입하더라도 젊은 소비층을 타겟으로 할 경우 공유 확산력과 초기 브랜드 인지도 형성 효과가 높다. 특히 Bone Collection과 같은 감성 디자인·친환경 라이프스타일 제품은 20~30대의 취향 소비 성향과 맞물려 높은 반응을 기대할 수 있다. 따라서 본 연구는 해당 세대를 중심으로 마케팅 전략과 펀딩 메시지를 설계하고자 했다.</w:t>
      </w:r>
    </w:p>
    <w:p>
      <w:pPr>
        <w:pageBreakBefore w:val="0"/>
        <w:widowControl/>
        <w:spacing w:before="241"/>
      </w:pPr>
      <w:r>
        <w:rPr>
          <w:rFonts w:ascii="Arial" w:hAnsi="Arial" w:eastAsia="Noto Sans CJK KR"/>
          <w:b w:val="0"/>
          <w:sz w:val="20"/>
        </w:rPr>
        <w:t>하지만, 이 이상적인 타겟은 실제 구매 데이터가 아닌, 국내 출시 이전 단계에서 세운 사전적 가설이다. 국내에 재사용 컵캐리어 시장이 충분히 형성되지 않은 상황에서 제품 특성과 소비 트렌드만으로 잠재 소비자를 추정했다는 한계가 있다.</w:t>
      </w:r>
    </w:p>
    <w:p>
      <w:pPr>
        <w:pStyle w:val="Heading3"/>
        <w:pageBreakBefore w:val="0"/>
        <w:spacing w:before="241"/>
      </w:pPr>
      <w:r>
        <w:rPr>
          <w:rFonts w:ascii="Arial" w:hAnsi="Arial" w:eastAsia="Noto Sans CJK KR"/>
          <w:b/>
          <w:sz w:val="20"/>
        </w:rPr>
        <w:t>2) 타겟 소비자 페르소나</w:t>
      </w:r>
    </w:p>
    <w:p>
      <w:pPr>
        <w:pageBreakBefore w:val="0"/>
        <w:widowControl/>
        <w:spacing w:before="241"/>
      </w:pPr>
      <w:r>
        <w:rPr>
          <w:rFonts w:ascii="Arial" w:hAnsi="Arial" w:eastAsia="Noto Sans CJK KR"/>
          <w:b w:val="0"/>
          <w:sz w:val="20"/>
        </w:rPr>
        <w:t>페르소나 A : 가치소비형 직장인 (29세, 여성, 서울 거주)</w:t>
      </w:r>
    </w:p>
    <w:p>
      <w:pPr>
        <w:pageBreakBefore w:val="0"/>
        <w:widowControl/>
        <w:spacing w:before="241"/>
      </w:pPr>
      <w:r>
        <w:rPr>
          <w:rFonts w:ascii="Arial" w:hAnsi="Arial" w:eastAsia="Noto Sans CJK KR"/>
          <w:b w:val="0"/>
          <w:sz w:val="20"/>
        </w:rPr>
        <w:t>- 직장 생활 3~5년 차, 자기계발 및 라이프스타일 소비에 적극적 - 친환경 브랜드, 비건 뷰티, 텀블러 사용 등 지속가능 소비 실천 - 제품 구매 시 디자인과 브랜드 철학을 중요하게 고려</w:t>
      </w:r>
    </w:p>
    <w:p>
      <w:pPr>
        <w:pageBreakBefore w:val="0"/>
        <w:widowControl/>
        <w:spacing w:before="355"/>
      </w:pPr>
      <w:r>
        <w:rPr>
          <w:rFonts w:ascii="Arial" w:hAnsi="Arial" w:eastAsia="Noto Sans CJK KR"/>
          <w:b w:val="0"/>
          <w:sz w:val="20"/>
        </w:rPr>
        <w:t>14 대한상공회의소, 「MZ세대가 바라본 ESG 경영과 소비 트렌드 조사」, 2022. 관련 기사: 한국경제, “MZ세대 64.5%, ESG 기업 제품이면 비싸도 산다”, https://www.hankyung.com/article/2022040301311</w:t>
      </w:r>
    </w:p>
    <w:p>
      <w:pPr>
        <w:pageBreakBefore w:val="0"/>
        <w:spacing w:before="0" w:line="205" w:lineRule="exact"/>
      </w:pPr>
      <w:r>
        <w:rPr>
          <w:rFonts w:ascii="Arial" w:hAnsi="Arial" w:eastAsia="Noto Sans CJK KR"/>
          <w:b w:val="0"/>
          <w:sz w:val="16"/>
        </w:rPr>
        <w:t>15 뉴시스, 「혈당·노화케어 주목… 와디즈 이너뷰티 펀딩 2.7배 급증」, 2025.08.03. https://www.newsis.com/view/NISX20250801_0003275855</w:t>
      </w:r>
    </w:p>
    <w:p>
      <w:pPr>
        <w:pageBreakBefore w:val="0"/>
        <w:spacing w:before="0" w:line="205" w:lineRule="exact"/>
      </w:pPr>
      <w:r>
        <w:rPr>
          <w:rFonts w:ascii="Arial" w:hAnsi="Arial" w:eastAsia="Noto Sans CJK KR"/>
          <w:b w:val="0"/>
          <w:sz w:val="16"/>
        </w:rPr>
        <w:t>16 와디즈 도움말센터, 「와디즈 광고 신청은 어떻게 하나요?」 https://helpcenter.wadiz.kr/hc/ko/articles/28213063229081</w:t>
      </w:r>
    </w:p>
    <w:p>
      <w:pPr>
        <w:pageBreakBefore w:val="0"/>
        <w:widowControl/>
        <w:spacing w:before="0"/>
      </w:pPr>
      <w:r>
        <w:rPr>
          <w:rFonts w:ascii="Arial" w:hAnsi="Arial" w:eastAsia="Noto Sans CJK KR"/>
          <w:b w:val="0"/>
          <w:sz w:val="20"/>
        </w:rPr>
        <w:t>- 인스타그램, 유튜브를 통해 신규 브랜드 탐색 - Bone Collection 구매 동기: “예쁜데 친환경적이라면 더 의미 있는 소비라고 생각함”</w:t>
      </w:r>
    </w:p>
    <w:p>
      <w:pPr>
        <w:pageBreakBefore w:val="0"/>
        <w:widowControl/>
        <w:spacing w:before="241"/>
      </w:pPr>
      <w:r>
        <w:rPr>
          <w:rFonts w:ascii="Arial" w:hAnsi="Arial" w:eastAsia="Noto Sans CJK KR"/>
          <w:b w:val="0"/>
          <w:sz w:val="20"/>
        </w:rPr>
        <w:t>페르소나 B : 트렌드 민감형 대학생 (24세, 남성, 수도권 거주)</w:t>
      </w:r>
    </w:p>
    <w:p>
      <w:pPr>
        <w:pageBreakBefore w:val="0"/>
        <w:widowControl/>
        <w:spacing w:before="241"/>
      </w:pPr>
      <w:r>
        <w:rPr>
          <w:rFonts w:ascii="Arial" w:hAnsi="Arial" w:eastAsia="Noto Sans CJK KR"/>
          <w:b w:val="0"/>
          <w:sz w:val="20"/>
        </w:rPr>
        <w:t>- 최신 IT기기와 액세서리에 관심 많음 - SNS와 커뮤니티를 통해 새로운 제품 정보를 빠르게 습득 - 남들과 다른 개성 있는 제품 선호 - 가격에는 민감하지만 가치가 분명하면 구매 의사 존재 - Bone Collection 구매 동기: “평범한 액세서리보다 디자인이 특별하고 스토리가 있어서 좋음”</w:t>
      </w:r>
    </w:p>
    <w:p>
      <w:pPr>
        <w:pStyle w:val="Heading2"/>
        <w:pageBreakBefore w:val="0"/>
        <w:spacing w:before="242"/>
      </w:pPr>
      <w:r>
        <w:rPr>
          <w:rFonts w:ascii="Arial" w:hAnsi="Arial" w:eastAsia="Noto Sans CJK KR"/>
          <w:b/>
          <w:sz w:val="22"/>
        </w:rPr>
        <w:t>4-4. 가격·유통·마케팅 전략</w:t>
      </w:r>
    </w:p>
    <w:p>
      <w:pPr>
        <w:pStyle w:val="Heading3"/>
        <w:pageBreakBefore w:val="0"/>
        <w:spacing w:before="244"/>
      </w:pPr>
      <w:r>
        <w:rPr>
          <w:rFonts w:ascii="Arial" w:hAnsi="Arial" w:eastAsia="Noto Sans CJK KR"/>
          <w:b/>
          <w:sz w:val="20"/>
        </w:rPr>
        <w:t>1) 가격 전략</w:t>
      </w:r>
    </w:p>
    <w:p>
      <w:pPr>
        <w:pageBreakBefore w:val="0"/>
        <w:widowControl/>
        <w:spacing w:before="241"/>
      </w:pPr>
      <w:r>
        <w:rPr>
          <w:rFonts w:ascii="Arial" w:hAnsi="Arial" w:eastAsia="Noto Sans CJK KR"/>
          <w:b w:val="0"/>
          <w:sz w:val="20"/>
        </w:rPr>
        <w:t>본 연구는 Bone Collection의 Cup Tie 제품을 국내 크라우드펀딩 시장에 성공적으로 출시하기 위해 원가 기반 가격 전략과 시장 침투 가격 전략(처음에 가격을 낮게 설정해서 빠르게 시장 점유율을 확보하는 전략)을 병행 적용하였다. 현재 Cup Tie의 유사 제품이 국내 마켓과 해외 플랫폼에서 이미 판매되고 있다는 점을 고려할 때, 시장 경쟁 가격을 반영한 합리적 가격 전략이 필요하다. 특히 국내 소비자는 크라우드펀딩 상품에 대해 일반 온라인 쇼핑몰 대비 가격 혜택을 기대하는 경향이 있으므로, 초기 진입 단계에서는 가격 경쟁력을 확보하는 것이 중요하다.</w:t>
      </w:r>
    </w:p>
    <w:p>
      <w:pPr>
        <w:pageBreakBefore w:val="0"/>
        <w:widowControl/>
        <w:spacing w:before="241"/>
      </w:pPr>
      <w:r>
        <w:rPr>
          <w:rFonts w:ascii="Arial" w:hAnsi="Arial" w:eastAsia="Noto Sans CJK KR"/>
          <w:b w:val="0"/>
          <w:sz w:val="20"/>
        </w:rPr>
        <w:t>Bone Collection 본사 자료에 따르면 제품 공급가는 주문 수량에 따라 차등 적용된다. 주문량이 많아질수록 개당 단가가 낮아지는 구조이므로, 펀딩 목표 수량 확보는 수익성 향상과 직접적으로 연결된다.</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주문 수량</w:t>
            </w:r>
          </w:p>
        </w:tc>
        <w:tc>
          <w:tcPr>
            <w:tcW w:type="dxa" w:w="3007"/>
            <w:shd w:fill="222222"/>
          </w:tcPr>
          <w:p>
            <w:pPr>
              <w:keepNext/>
              <w:spacing w:line="230" w:lineRule="exact" w:before="60" w:after="60"/>
            </w:pPr>
            <w:r>
              <w:rPr>
                <w:rFonts w:ascii="Arial" w:hAnsi="Arial" w:eastAsia="Noto Sans CJK KR"/>
                <w:b/>
                <w:color w:val="FFFFFF"/>
                <w:sz w:val="18"/>
              </w:rPr>
              <w:t>개당 공급가(USD)</w:t>
            </w:r>
          </w:p>
        </w:tc>
        <w:tc>
          <w:tcPr>
            <w:tcW w:type="dxa" w:w="3007"/>
            <w:shd w:fill="222222"/>
          </w:tcPr>
          <w:p>
            <w:pPr>
              <w:keepNext/>
              <w:spacing w:line="230" w:lineRule="exact" w:before="60" w:after="60"/>
            </w:pPr>
            <w:r>
              <w:rPr>
                <w:rFonts w:ascii="Arial" w:hAnsi="Arial" w:eastAsia="Noto Sans CJK KR"/>
                <w:b/>
                <w:color w:val="FFFFFF"/>
                <w:sz w:val="18"/>
              </w:rPr>
              <w:t>환율 적용가(1 USD=1,462원)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0~100개</w:t>
            </w:r>
          </w:p>
        </w:tc>
        <w:tc>
          <w:tcPr>
            <w:tcW w:type="dxa" w:w="3007"/>
            <w:shd w:fill="FFFFFF"/>
          </w:tcPr>
          <w:p>
            <w:pPr>
              <w:keepNext/>
              <w:spacing w:line="230" w:lineRule="exact" w:before="60" w:after="60"/>
            </w:pPr>
            <w:r>
              <w:rPr>
                <w:rFonts w:ascii="Arial" w:hAnsi="Arial" w:eastAsia="Noto Sans CJK KR"/>
                <w:b w:val="0"/>
                <w:color w:val="000000"/>
                <w:sz w:val="18"/>
              </w:rPr>
              <w:t>$4.5</w:t>
            </w:r>
          </w:p>
        </w:tc>
        <w:tc>
          <w:tcPr>
            <w:tcW w:type="dxa" w:w="3007"/>
            <w:shd w:fill="FFFFFF"/>
          </w:tcPr>
          <w:p>
            <w:pPr>
              <w:keepNext/>
              <w:spacing w:line="230" w:lineRule="exact" w:before="60" w:after="60"/>
            </w:pPr>
            <w:r>
              <w:rPr>
                <w:rFonts w:ascii="Arial" w:hAnsi="Arial" w:eastAsia="Noto Sans CJK KR"/>
                <w:b w:val="0"/>
                <w:color w:val="000000"/>
                <w:sz w:val="18"/>
              </w:rPr>
              <w:t>약 6,579원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101~500개</w:t>
            </w:r>
          </w:p>
        </w:tc>
        <w:tc>
          <w:tcPr>
            <w:tcW w:type="dxa" w:w="3007"/>
            <w:shd w:fill="F4F4F4"/>
          </w:tcPr>
          <w:p>
            <w:pPr>
              <w:keepNext/>
              <w:spacing w:line="230" w:lineRule="exact" w:before="60" w:after="60"/>
            </w:pPr>
            <w:r>
              <w:rPr>
                <w:rFonts w:ascii="Arial" w:hAnsi="Arial" w:eastAsia="Noto Sans CJK KR"/>
                <w:b w:val="0"/>
                <w:color w:val="000000"/>
                <w:sz w:val="18"/>
              </w:rPr>
              <w:t>$3.8</w:t>
            </w:r>
          </w:p>
        </w:tc>
        <w:tc>
          <w:tcPr>
            <w:tcW w:type="dxa" w:w="3007"/>
            <w:shd w:fill="F4F4F4"/>
          </w:tcPr>
          <w:p>
            <w:pPr>
              <w:keepNext/>
              <w:spacing w:line="230" w:lineRule="exact" w:before="60" w:after="60"/>
            </w:pPr>
            <w:r>
              <w:rPr>
                <w:rFonts w:ascii="Arial" w:hAnsi="Arial" w:eastAsia="Noto Sans CJK KR"/>
                <w:b w:val="0"/>
                <w:color w:val="000000"/>
                <w:sz w:val="18"/>
              </w:rPr>
              <w:t>약 5,556원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501~1000개</w:t>
            </w:r>
          </w:p>
        </w:tc>
        <w:tc>
          <w:tcPr>
            <w:tcW w:type="dxa" w:w="3007"/>
            <w:shd w:fill="FFFFFF"/>
          </w:tcPr>
          <w:p>
            <w:pPr>
              <w:keepNext w:val="0"/>
              <w:spacing w:line="230" w:lineRule="exact" w:before="60" w:after="60"/>
            </w:pPr>
            <w:r>
              <w:rPr>
                <w:rFonts w:ascii="Arial" w:hAnsi="Arial" w:eastAsia="Noto Sans CJK KR"/>
                <w:b w:val="0"/>
                <w:color w:val="000000"/>
                <w:sz w:val="18"/>
              </w:rPr>
              <w:t>$3.5</w:t>
            </w:r>
          </w:p>
        </w:tc>
        <w:tc>
          <w:tcPr>
            <w:tcW w:type="dxa" w:w="3007"/>
            <w:shd w:fill="FFFFFF"/>
          </w:tcPr>
          <w:p>
            <w:pPr>
              <w:keepNext w:val="0"/>
              <w:spacing w:line="230" w:lineRule="exact" w:before="60" w:after="60"/>
            </w:pPr>
            <w:r>
              <w:rPr>
                <w:rFonts w:ascii="Arial" w:hAnsi="Arial" w:eastAsia="Noto Sans CJK KR"/>
                <w:b w:val="0"/>
                <w:color w:val="000000"/>
                <w:sz w:val="18"/>
              </w:rPr>
              <w:t>약 5,117원</w:t>
            </w:r>
          </w:p>
        </w:tc>
      </w:tr>
    </w:tbl>
    <w:p>
      <w:pPr>
        <w:pageBreakBefore w:val="0"/>
        <w:widowControl/>
        <w:spacing w:before="223"/>
      </w:pPr>
      <w:r>
        <w:rPr>
          <w:rFonts w:ascii="Arial" w:hAnsi="Arial" w:eastAsia="Noto Sans CJK KR"/>
          <w:b w:val="0"/>
          <w:sz w:val="20"/>
        </w:rPr>
        <w:t>또한 국제 배송은 DDP(관세·세금 포함) 방식으로 제시되어 통관 비용 부담이 적다는 장점이 있다. 제공된 견적 기준 308개 주문 시 총 배송비는 210달러이며, 이를 개당 비용으로 환산하면 약 997원 수준이다.</w:t>
      </w:r>
    </w:p>
    <w:tbl>
      <w:tblPr>
        <w:tblStyle w:val="TableGrid"/>
        <w:tblW w:type="auto" w:w="0"/>
        <w:tblLayout w:type="fixed"/>
        <w:tblLook w:firstColumn="1" w:firstRow="1" w:lastColumn="0" w:lastRow="0" w:noHBand="0" w:noVBand="1" w:val="04A0"/>
      </w:tblPr>
      <w:tblGrid>
        <w:gridCol w:w="2255"/>
        <w:gridCol w:w="2255"/>
        <w:gridCol w:w="2255"/>
        <w:gridCol w:w="2255"/>
      </w:tblGrid>
      <w:tr>
        <w:trPr>
          <w:cantSplit/>
          <w:tblHeader/>
        </w:trPr>
        <w:tc>
          <w:tcPr>
            <w:tcW w:type="dxa" w:w="2255"/>
            <w:shd w:fill="222222"/>
          </w:tcPr>
          <w:p>
            <w:pPr>
              <w:keepNext/>
              <w:spacing w:line="230" w:lineRule="exact" w:before="60" w:after="60"/>
            </w:pPr>
            <w:r>
              <w:rPr>
                <w:rFonts w:ascii="Arial" w:hAnsi="Arial" w:eastAsia="Noto Sans CJK KR"/>
                <w:b/>
                <w:color w:val="FFFFFF"/>
                <w:sz w:val="18"/>
              </w:rPr>
              <w:t>주문 수량</w:t>
            </w:r>
          </w:p>
        </w:tc>
        <w:tc>
          <w:tcPr>
            <w:tcW w:type="dxa" w:w="2255"/>
            <w:shd w:fill="222222"/>
          </w:tcPr>
          <w:p>
            <w:pPr>
              <w:keepNext/>
              <w:spacing w:line="230" w:lineRule="exact" w:before="60" w:after="60"/>
            </w:pPr>
            <w:r>
              <w:rPr>
                <w:rFonts w:ascii="Arial" w:hAnsi="Arial" w:eastAsia="Noto Sans CJK KR"/>
                <w:b/>
                <w:color w:val="FFFFFF"/>
                <w:sz w:val="18"/>
              </w:rPr>
              <w:t>총 국제배송비</w:t>
            </w:r>
          </w:p>
        </w:tc>
        <w:tc>
          <w:tcPr>
            <w:tcW w:type="dxa" w:w="2255"/>
            <w:shd w:fill="222222"/>
          </w:tcPr>
          <w:p>
            <w:pPr>
              <w:keepNext/>
              <w:spacing w:line="230" w:lineRule="exact" w:before="60" w:after="60"/>
            </w:pPr>
            <w:r>
              <w:rPr>
                <w:rFonts w:ascii="Arial" w:hAnsi="Arial" w:eastAsia="Noto Sans CJK KR"/>
                <w:b/>
                <w:color w:val="FFFFFF"/>
                <w:sz w:val="18"/>
              </w:rPr>
              <w:t>원화 환산가</w:t>
            </w:r>
          </w:p>
        </w:tc>
        <w:tc>
          <w:tcPr>
            <w:tcW w:type="dxa" w:w="2255"/>
            <w:shd w:fill="222222"/>
          </w:tcPr>
          <w:p>
            <w:pPr>
              <w:keepNext/>
              <w:spacing w:line="230" w:lineRule="exact" w:before="60" w:after="60"/>
            </w:pPr>
            <w:r>
              <w:rPr>
                <w:rFonts w:ascii="Arial" w:hAnsi="Arial" w:eastAsia="Noto Sans CJK KR"/>
                <w:b/>
                <w:color w:val="FFFFFF"/>
                <w:sz w:val="18"/>
              </w:rPr>
              <w:t>개당 배송비</w:t>
            </w:r>
          </w:p>
        </w:tc>
      </w:tr>
      <w:tr>
        <w:trPr>
          <w:cantSplit/>
        </w:trPr>
        <w:tc>
          <w:tcPr>
            <w:tcW w:type="dxa" w:w="2255"/>
            <w:shd w:fill="FFFFFF"/>
          </w:tcPr>
          <w:p>
            <w:pPr>
              <w:keepNext/>
              <w:spacing w:line="230" w:lineRule="exact" w:before="60" w:after="60"/>
            </w:pPr>
            <w:r>
              <w:rPr>
                <w:rFonts w:ascii="Arial" w:hAnsi="Arial" w:eastAsia="Noto Sans CJK KR"/>
                <w:b w:val="0"/>
                <w:color w:val="000000"/>
                <w:sz w:val="18"/>
              </w:rPr>
              <w:t>308개</w:t>
            </w:r>
          </w:p>
        </w:tc>
        <w:tc>
          <w:tcPr>
            <w:tcW w:type="dxa" w:w="2255"/>
            <w:shd w:fill="FFFFFF"/>
          </w:tcPr>
          <w:p>
            <w:pPr>
              <w:keepNext/>
              <w:spacing w:line="230" w:lineRule="exact" w:before="60" w:after="60"/>
            </w:pPr>
            <w:r>
              <w:rPr>
                <w:rFonts w:ascii="Arial" w:hAnsi="Arial" w:eastAsia="Noto Sans CJK KR"/>
                <w:b w:val="0"/>
                <w:color w:val="000000"/>
                <w:sz w:val="18"/>
              </w:rPr>
              <w:t>$210</w:t>
            </w:r>
          </w:p>
        </w:tc>
        <w:tc>
          <w:tcPr>
            <w:tcW w:type="dxa" w:w="2255"/>
            <w:shd w:fill="FFFFFF"/>
          </w:tcPr>
          <w:p>
            <w:pPr>
              <w:keepNext/>
              <w:spacing w:line="230" w:lineRule="exact" w:before="60" w:after="60"/>
            </w:pPr>
            <w:r>
              <w:rPr>
                <w:rFonts w:ascii="Arial" w:hAnsi="Arial" w:eastAsia="Noto Sans CJK KR"/>
                <w:b w:val="0"/>
                <w:color w:val="000000"/>
                <w:sz w:val="18"/>
              </w:rPr>
              <w:t>약 307,020원</w:t>
            </w:r>
          </w:p>
        </w:tc>
        <w:tc>
          <w:tcPr>
            <w:tcW w:type="dxa" w:w="2255"/>
            <w:shd w:fill="FFFFFF"/>
          </w:tcPr>
          <w:p>
            <w:pPr>
              <w:keepNext/>
              <w:spacing w:line="230" w:lineRule="exact" w:before="60" w:after="60"/>
            </w:pPr>
            <w:r>
              <w:rPr>
                <w:rFonts w:ascii="Arial" w:hAnsi="Arial" w:eastAsia="Noto Sans CJK KR"/>
                <w:b w:val="0"/>
                <w:color w:val="000000"/>
                <w:sz w:val="18"/>
              </w:rPr>
              <w:t>약 997원</w:t>
            </w:r>
          </w:p>
        </w:tc>
      </w:tr>
      <w:tr>
        <w:trPr>
          <w:cantSplit/>
        </w:trPr>
        <w:tc>
          <w:tcPr>
            <w:tcW w:type="dxa" w:w="2255"/>
            <w:shd w:fill="F4F4F4"/>
          </w:tcPr>
          <w:p>
            <w:pPr>
              <w:keepNext w:val="0"/>
              <w:spacing w:line="230" w:lineRule="exact" w:before="60" w:after="60"/>
            </w:pPr>
            <w:r>
              <w:rPr>
                <w:rFonts w:ascii="Arial" w:hAnsi="Arial" w:eastAsia="Noto Sans CJK KR"/>
                <w:b w:val="0"/>
                <w:color w:val="000000"/>
                <w:sz w:val="18"/>
              </w:rPr>
              <w:t>528개</w:t>
            </w:r>
          </w:p>
        </w:tc>
        <w:tc>
          <w:tcPr>
            <w:tcW w:type="dxa" w:w="2255"/>
            <w:shd w:fill="F4F4F4"/>
          </w:tcPr>
          <w:p>
            <w:pPr>
              <w:keepNext w:val="0"/>
              <w:spacing w:line="230" w:lineRule="exact" w:before="60" w:after="60"/>
            </w:pPr>
            <w:r>
              <w:rPr>
                <w:rFonts w:ascii="Arial" w:hAnsi="Arial" w:eastAsia="Noto Sans CJK KR"/>
                <w:b w:val="0"/>
                <w:color w:val="000000"/>
                <w:sz w:val="18"/>
              </w:rPr>
              <w:t>$528</w:t>
            </w:r>
          </w:p>
        </w:tc>
        <w:tc>
          <w:tcPr>
            <w:tcW w:type="dxa" w:w="2255"/>
            <w:shd w:fill="F4F4F4"/>
          </w:tcPr>
          <w:p>
            <w:pPr>
              <w:keepNext w:val="0"/>
              <w:spacing w:line="230" w:lineRule="exact" w:before="60" w:after="60"/>
            </w:pPr>
            <w:r>
              <w:rPr>
                <w:rFonts w:ascii="Arial" w:hAnsi="Arial" w:eastAsia="Noto Sans CJK KR"/>
                <w:b w:val="0"/>
                <w:color w:val="000000"/>
                <w:sz w:val="18"/>
              </w:rPr>
              <w:t>약 771,936원</w:t>
            </w:r>
          </w:p>
        </w:tc>
        <w:tc>
          <w:tcPr>
            <w:tcW w:type="dxa" w:w="2255"/>
            <w:shd w:fill="F4F4F4"/>
          </w:tcPr>
          <w:p>
            <w:pPr>
              <w:keepNext w:val="0"/>
              <w:spacing w:line="230" w:lineRule="exact" w:before="60" w:after="60"/>
            </w:pPr>
            <w:r>
              <w:rPr>
                <w:rFonts w:ascii="Arial" w:hAnsi="Arial" w:eastAsia="Noto Sans CJK KR"/>
                <w:b w:val="0"/>
                <w:color w:val="000000"/>
                <w:sz w:val="18"/>
              </w:rPr>
              <w:t>약 1,462원</w:t>
            </w:r>
          </w:p>
        </w:tc>
      </w:tr>
    </w:tbl>
    <w:p>
      <w:pPr>
        <w:pageBreakBefore w:val="0"/>
        <w:widowControl/>
        <w:spacing w:before="216"/>
      </w:pPr>
      <w:r>
        <w:rPr>
          <w:rFonts w:ascii="Arial" w:hAnsi="Arial" w:eastAsia="Noto Sans CJK KR"/>
          <w:b w:val="0"/>
          <w:sz w:val="20"/>
        </w:rPr>
        <w:t>국내 배송비와 관련해서, Cup Tie는 부피와 중량이 크지 않은 소형 실생활 액세서리 제품으로, 일반 택배사의 소형 규격 택배 기준 운임이 적용될 가능성이 높다. 이에 따라 국내 주요 택배사의 공식 요금 체계와 업계 자료를 종합적으로 검토하였다.</w:t>
      </w:r>
    </w:p>
    <w:p>
      <w:pPr>
        <w:pageBreakBefore w:val="0"/>
        <w:widowControl/>
        <w:spacing w:before="241"/>
      </w:pPr>
      <w:r>
        <w:rPr>
          <w:rFonts w:ascii="Arial" w:hAnsi="Arial" w:eastAsia="Noto Sans CJK KR"/>
          <w:b w:val="0"/>
          <w:sz w:val="20"/>
        </w:rPr>
        <w:t>먼저 우체국택배(우정사업본부)의 공식 국내소포 요금표(2025년 6월 기준)에 따르면, 창구 접수 기준 80cm 이하 / 3kg 이하 소포 요금은 4,000원으로 책정되어 있다. 이는 소형 제품 발송 시 적용 가능한 대표적 공식 기준이며, 전국 단일 요금 체계를 운영한다는 점에서 신뢰성이 높다.17</w:t>
      </w:r>
    </w:p>
    <w:p>
      <w:pPr>
        <w:pageBreakBefore w:val="0"/>
        <w:widowControl/>
        <w:spacing w:before="360"/>
      </w:pPr>
      <w:r>
        <w:rPr>
          <w:rFonts w:ascii="Arial" w:hAnsi="Arial" w:eastAsia="Noto Sans CJK KR"/>
          <w:b w:val="0"/>
          <w:sz w:val="20"/>
        </w:rPr>
        <w:t>17 우정사업본부, 「국내소포 우편요금표(2025.6.1 시행)」, 공식 홈페이지. https://www.koreapost.go.kr</w:t>
      </w:r>
    </w:p>
    <w:p>
      <w:pPr>
        <w:pageBreakBefore w:val="0"/>
        <w:widowControl/>
        <w:spacing w:before="0"/>
      </w:pPr>
      <w:r>
        <w:rPr>
          <w:rFonts w:ascii="Arial" w:hAnsi="Arial" w:eastAsia="Noto Sans CJK KR"/>
          <w:b w:val="0"/>
          <w:sz w:val="20"/>
        </w:rPr>
        <w:t>반면 CJ대한통운, 한진택배, 롯데택배 등 민간 택배사는 일반 소비자 단건 접수보다 기업 계약 운임 중심 구조를 운영하고 있다. 특히 본 연구의 크라우드 펀딩처럼 수백 건 이상의 물량을 일괄 발송하는 경우, 일반 요금이 아닌 별도 계약 단가가 적용된다. 국토교통부와 한국통합물류협회가 발표한 물류산업 자료에 따르면, 국내 전자상거래 증가에 따라 기업 대량 발송 운임은 일반 소비자 접수 운임보다 낮은 수준에서 형성되는 것이 일반적이다.18 또한 언론 보도에 따르면 중소 온라인 판매자 대상 계약 택배비는 통상 2,500원~3,200원 수준에서 형성되는 사례가 많다.</w:t>
      </w:r>
    </w:p>
    <w:p>
      <w:pPr>
        <w:pageBreakBefore w:val="0"/>
        <w:widowControl/>
        <w:spacing w:before="241"/>
      </w:pPr>
      <w:r>
        <w:rPr>
          <w:rFonts w:ascii="Arial" w:hAnsi="Arial" w:eastAsia="Noto Sans CJK KR"/>
          <w:b w:val="0"/>
          <w:sz w:val="20"/>
        </w:rPr>
        <w:t>Cup Tie는 무게가 가볍고 파손 위험이 낮아 추가 완충재 비용이 크지 않으며, 소형 박스 또는 택배 봉투 포장이 가능하다. 따라서 우체국 단건 요금(4,000원)보다 낮고, 기업 계약 단가 평균 수준을 반영하여 국내 택배비를 개당 3,000원으로 산정하는 것이 가장 현실적인 기준이라 판단하였다. 이는 수도권·일반 지역 기준 평균 계약 운임 수준이며, 제주 및 도서산간 추가 운임은 별도 비용으로 처리하는 방식이다.</w:t>
      </w:r>
    </w:p>
    <w:p>
      <w:pPr>
        <w:pageBreakBefore w:val="0"/>
        <w:widowControl/>
        <w:spacing w:before="241"/>
      </w:pPr>
      <w:r>
        <w:rPr>
          <w:rFonts w:ascii="Arial" w:hAnsi="Arial" w:eastAsia="Noto Sans CJK KR"/>
          <w:b w:val="0"/>
          <w:sz w:val="20"/>
        </w:rPr>
        <w:t>즉, 본 보고서에서 반영한 국내 배송비 3,000원은 임의 추정치가 아니라, 우정사업본부 공식 소포 요금과 국내 민간 택배사의 기업 계약 운임 구조를 종합적으로 고려한 보수적 평균값이라 할 수 있다. 향후 실제 펀딩 물량이 500건 이상으로 확대될 경우 추가 단가 인하도 가능하며, 초기 물량이 적을 경우 소폭 상승 가능성도 존재한다.</w:t>
      </w:r>
    </w:p>
    <w:p>
      <w:pPr>
        <w:pageBreakBefore w:val="0"/>
        <w:widowControl/>
        <w:spacing w:before="241"/>
      </w:pPr>
      <w:r>
        <w:rPr>
          <w:rFonts w:ascii="Arial" w:hAnsi="Arial" w:eastAsia="Noto Sans CJK KR"/>
          <w:b w:val="0"/>
          <w:sz w:val="20"/>
        </w:rPr>
        <w:t>여기에 와디즈 플랫폼 수수료를 추가적으로 고려해야 한다. 첫 프로젝트 진행 시 국내 결제 기준 플랫폼 이용 수수료는 8.4%, 결제·정산 처리 수수료는 3%, 정산 고정비는 99,000원(VAT 포함)이다. 즉, 판매 금액에서 약 11.4%의 변동 수수료가 차감되며, 프로젝트 전체 기준으로 별도의 고정 비용이 발생한다.</w:t>
      </w:r>
    </w:p>
    <w:p>
      <w:pPr>
        <w:spacing w:line="240" w:lineRule="auto" w:after="0"/>
        <w:ind w:left="30"/>
      </w:pPr>
      <w:r>
        <w:drawing>
          <wp:inline xmlns:a="http://schemas.openxmlformats.org/drawingml/2006/main" xmlns:pic="http://schemas.openxmlformats.org/drawingml/2006/picture">
            <wp:extent cx="4360367" cy="3731160"/>
            <wp:docPr id="18" name="Picture 18"/>
            <wp:cNvGraphicFramePr>
              <a:graphicFrameLocks noChangeAspect="1"/>
            </wp:cNvGraphicFramePr>
            <a:graphic>
              <a:graphicData uri="http://schemas.openxmlformats.org/drawingml/2006/picture">
                <pic:pic>
                  <pic:nvPicPr>
                    <pic:cNvPr id="0" name="P14_01_source_343.jpg"/>
                    <pic:cNvPicPr/>
                  </pic:nvPicPr>
                  <pic:blipFill>
                    <a:blip r:embed="rId27"/>
                    <a:stretch>
                      <a:fillRect/>
                    </a:stretch>
                  </pic:blipFill>
                  <pic:spPr>
                    <a:xfrm>
                      <a:off x="0" y="0"/>
                      <a:ext cx="4360367" cy="3731160"/>
                    </a:xfrm>
                    <a:prstGeom prst="rect"/>
                  </pic:spPr>
                </pic:pic>
              </a:graphicData>
            </a:graphic>
          </wp:inline>
        </w:drawing>
      </w:r>
    </w:p>
    <w:p>
      <w:pPr>
        <w:pageBreakBefore w:val="0"/>
        <w:widowControl/>
        <w:spacing w:before="283"/>
      </w:pPr>
      <w:r>
        <w:rPr>
          <w:rFonts w:ascii="Arial" w:hAnsi="Arial" w:eastAsia="Noto Sans CJK KR"/>
          <w:b w:val="0"/>
          <w:sz w:val="20"/>
        </w:rPr>
        <w:t>따라서 판매가는 제품 원가뿐 아니라 플랫폼 비용까지 충분히 반영해야 한다.</w:t>
      </w:r>
    </w:p>
    <w:p>
      <w:pPr>
        <w:pageBreakBefore w:val="0"/>
        <w:widowControl/>
        <w:spacing w:before="241"/>
      </w:pPr>
      <w:r>
        <w:rPr>
          <w:rFonts w:ascii="Arial" w:hAnsi="Arial" w:eastAsia="Noto Sans CJK KR"/>
          <w:b w:val="0"/>
          <w:sz w:val="20"/>
        </w:rPr>
        <w:t>이를 바탕으로 308개 주문 기준 국내 판매를 위한 예상 원가를 산출하면 다음과 같다.</w:t>
      </w:r>
    </w:p>
    <w:tbl>
      <w:tblPr>
        <w:tblStyle w:val="TableGrid"/>
        <w:tblW w:type="auto" w:w="0"/>
        <w:tblLayout w:type="fixed"/>
        <w:tblLook w:firstColumn="1" w:firstRow="1" w:lastColumn="0" w:lastRow="0" w:noHBand="0" w:noVBand="1" w:val="04A0"/>
      </w:tblPr>
      <w:tblGrid>
        <w:gridCol w:w="4510"/>
        <w:gridCol w:w="4510"/>
      </w:tblGrid>
      <w:tr>
        <w:trPr>
          <w:cantSplit/>
          <w:tblHeader/>
        </w:trPr>
        <w:tc>
          <w:tcPr>
            <w:tcW w:type="dxa" w:w="4510"/>
            <w:shd w:fill="222222"/>
          </w:tcPr>
          <w:p>
            <w:pPr>
              <w:keepNext/>
              <w:spacing w:line="230" w:lineRule="exact" w:before="60" w:after="60"/>
            </w:pPr>
            <w:r>
              <w:rPr>
                <w:rFonts w:ascii="Arial" w:hAnsi="Arial" w:eastAsia="Noto Sans CJK KR"/>
                <w:b/>
                <w:color w:val="FFFFFF"/>
                <w:sz w:val="18"/>
              </w:rPr>
              <w:t>항목</w:t>
            </w:r>
          </w:p>
        </w:tc>
        <w:tc>
          <w:tcPr>
            <w:tcW w:type="dxa" w:w="4510"/>
            <w:shd w:fill="222222"/>
          </w:tcPr>
          <w:p>
            <w:pPr>
              <w:keepNext/>
              <w:spacing w:line="230" w:lineRule="exact" w:before="60" w:after="60"/>
            </w:pPr>
            <w:r>
              <w:rPr>
                <w:rFonts w:ascii="Arial" w:hAnsi="Arial" w:eastAsia="Noto Sans CJK KR"/>
                <w:b/>
                <w:color w:val="FFFFFF"/>
                <w:sz w:val="18"/>
              </w:rPr>
              <w:t>개당 비용</w:t>
            </w:r>
          </w:p>
        </w:tc>
      </w:tr>
      <w:tr>
        <w:trPr>
          <w:cantSplit/>
        </w:trPr>
        <w:tc>
          <w:tcPr>
            <w:tcW w:type="dxa" w:w="4510"/>
            <w:shd w:fill="FFFFFF"/>
          </w:tcPr>
          <w:p>
            <w:pPr>
              <w:keepNext/>
              <w:spacing w:line="230" w:lineRule="exact" w:before="60" w:after="60"/>
            </w:pPr>
            <w:r>
              <w:rPr>
                <w:rFonts w:ascii="Arial" w:hAnsi="Arial" w:eastAsia="Noto Sans CJK KR"/>
                <w:b w:val="0"/>
                <w:color w:val="000000"/>
                <w:sz w:val="18"/>
              </w:rPr>
              <w:t>제품 공급가 (101~500개 기준)</w:t>
            </w:r>
          </w:p>
        </w:tc>
        <w:tc>
          <w:tcPr>
            <w:tcW w:type="dxa" w:w="4510"/>
            <w:shd w:fill="FFFFFF"/>
          </w:tcPr>
          <w:p>
            <w:pPr>
              <w:keepNext/>
              <w:spacing w:line="230" w:lineRule="exact" w:before="60" w:after="60"/>
            </w:pPr>
            <w:r>
              <w:rPr>
                <w:rFonts w:ascii="Arial" w:hAnsi="Arial" w:eastAsia="Noto Sans CJK KR"/>
                <w:b w:val="0"/>
                <w:color w:val="000000"/>
                <w:sz w:val="18"/>
              </w:rPr>
              <w:t>5,556원</w:t>
            </w:r>
          </w:p>
        </w:tc>
      </w:tr>
      <w:tr>
        <w:trPr>
          <w:cantSplit/>
        </w:trPr>
        <w:tc>
          <w:tcPr>
            <w:tcW w:type="dxa" w:w="4510"/>
            <w:shd w:fill="F4F4F4"/>
          </w:tcPr>
          <w:p>
            <w:pPr>
              <w:keepNext w:val="0"/>
              <w:spacing w:line="230" w:lineRule="exact" w:before="60" w:after="60"/>
            </w:pPr>
            <w:r>
              <w:rPr>
                <w:rFonts w:ascii="Arial" w:hAnsi="Arial" w:eastAsia="Noto Sans CJK KR"/>
                <w:b w:val="0"/>
                <w:color w:val="000000"/>
                <w:sz w:val="18"/>
              </w:rPr>
              <w:t>국제 배송비</w:t>
            </w:r>
          </w:p>
        </w:tc>
        <w:tc>
          <w:tcPr>
            <w:tcW w:type="dxa" w:w="4510"/>
            <w:shd w:fill="F4F4F4"/>
          </w:tcPr>
          <w:p>
            <w:pPr>
              <w:keepNext w:val="0"/>
              <w:spacing w:line="230" w:lineRule="exact" w:before="60" w:after="60"/>
            </w:pPr>
            <w:r>
              <w:rPr>
                <w:rFonts w:ascii="Arial" w:hAnsi="Arial" w:eastAsia="Noto Sans CJK KR"/>
                <w:b w:val="0"/>
                <w:color w:val="000000"/>
                <w:sz w:val="18"/>
              </w:rPr>
              <w:t>997원</w:t>
            </w:r>
          </w:p>
        </w:tc>
      </w:tr>
    </w:tbl>
    <w:p>
      <w:pPr>
        <w:pageBreakBefore w:val="0"/>
        <w:spacing w:before="360" w:line="205" w:lineRule="exact"/>
      </w:pPr>
      <w:r>
        <w:rPr>
          <w:rFonts w:ascii="Arial" w:hAnsi="Arial" w:eastAsia="Noto Sans CJK KR"/>
          <w:b w:val="0"/>
          <w:sz w:val="16"/>
        </w:rPr>
        <w:t>18 국토교통부·한국통합물류협회, 「생활물류서비스 및 택배시장 동향 자료」. https://www.molit.go.kr</w:t>
      </w:r>
    </w:p>
    <w:tbl>
      <w:tblPr>
        <w:tblStyle w:val="TableGrid"/>
        <w:tblW w:type="auto" w:w="0"/>
        <w:tblLayout w:type="fixed"/>
        <w:tblLook w:firstColumn="1" w:firstRow="1" w:lastColumn="0" w:lastRow="0" w:noHBand="0" w:noVBand="1" w:val="04A0"/>
      </w:tblPr>
      <w:tblGrid>
        <w:gridCol w:w="4510"/>
        <w:gridCol w:w="4510"/>
      </w:tblGrid>
      <w:tr>
        <w:trPr>
          <w:cantSplit/>
        </w:trPr>
        <w:tc>
          <w:tcPr>
            <w:tcW w:type="dxa" w:w="4510"/>
            <w:shd w:fill="F4F4F4"/>
          </w:tcPr>
          <w:p>
            <w:pPr>
              <w:keepNext/>
              <w:spacing w:line="230" w:lineRule="exact" w:before="60" w:after="60"/>
            </w:pPr>
            <w:r>
              <w:rPr>
                <w:rFonts w:ascii="Arial" w:hAnsi="Arial" w:eastAsia="Noto Sans CJK KR"/>
                <w:b w:val="0"/>
                <w:color w:val="000000"/>
                <w:sz w:val="18"/>
              </w:rPr>
              <w:t>국내 택배비</w:t>
            </w:r>
          </w:p>
        </w:tc>
        <w:tc>
          <w:tcPr>
            <w:tcW w:type="dxa" w:w="4510"/>
            <w:shd w:fill="F4F4F4"/>
          </w:tcPr>
          <w:p>
            <w:pPr>
              <w:keepNext/>
              <w:spacing w:line="230" w:lineRule="exact" w:before="60" w:after="60"/>
            </w:pPr>
            <w:r>
              <w:rPr>
                <w:rFonts w:ascii="Arial" w:hAnsi="Arial" w:eastAsia="Noto Sans CJK KR"/>
                <w:b w:val="0"/>
                <w:color w:val="000000"/>
                <w:sz w:val="18"/>
              </w:rPr>
              <w:t>3,000원</w:t>
            </w:r>
          </w:p>
        </w:tc>
      </w:tr>
      <w:tr>
        <w:trPr>
          <w:cantSplit/>
        </w:trPr>
        <w:tc>
          <w:tcPr>
            <w:tcW w:type="dxa" w:w="4510"/>
            <w:shd w:fill="FFFFFF"/>
          </w:tcPr>
          <w:p>
            <w:pPr>
              <w:keepNext/>
              <w:spacing w:line="230" w:lineRule="exact" w:before="60" w:after="60"/>
            </w:pPr>
            <w:r>
              <w:rPr>
                <w:rFonts w:ascii="Arial" w:hAnsi="Arial" w:eastAsia="Noto Sans CJK KR"/>
                <w:b w:val="0"/>
                <w:color w:val="000000"/>
                <w:sz w:val="18"/>
              </w:rPr>
              <w:t>포장비 및 운영비</w:t>
            </w:r>
          </w:p>
        </w:tc>
        <w:tc>
          <w:tcPr>
            <w:tcW w:type="dxa" w:w="4510"/>
            <w:shd w:fill="FFFFFF"/>
          </w:tcPr>
          <w:p>
            <w:pPr>
              <w:keepNext/>
              <w:spacing w:line="230" w:lineRule="exact" w:before="60" w:after="60"/>
            </w:pPr>
            <w:r>
              <w:rPr>
                <w:rFonts w:ascii="Arial" w:hAnsi="Arial" w:eastAsia="Noto Sans CJK KR"/>
                <w:b w:val="0"/>
                <w:color w:val="000000"/>
                <w:sz w:val="18"/>
              </w:rPr>
              <w:t>700원</w:t>
            </w:r>
          </w:p>
        </w:tc>
      </w:tr>
      <w:tr>
        <w:trPr>
          <w:cantSplit/>
        </w:trPr>
        <w:tc>
          <w:tcPr>
            <w:tcW w:type="dxa" w:w="4510"/>
            <w:shd w:fill="F4F4F4"/>
          </w:tcPr>
          <w:p>
            <w:pPr>
              <w:keepNext/>
              <w:spacing w:line="230" w:lineRule="exact" w:before="60" w:after="60"/>
            </w:pPr>
            <w:r>
              <w:rPr>
                <w:rFonts w:ascii="Arial" w:hAnsi="Arial" w:eastAsia="Noto Sans CJK KR"/>
                <w:b w:val="0"/>
                <w:color w:val="000000"/>
                <w:sz w:val="18"/>
              </w:rPr>
              <w:t>와디즈 플랫폼 수수료 (8.4%, 14,900원 기준)</w:t>
            </w:r>
          </w:p>
        </w:tc>
        <w:tc>
          <w:tcPr>
            <w:tcW w:type="dxa" w:w="4510"/>
            <w:shd w:fill="F4F4F4"/>
          </w:tcPr>
          <w:p>
            <w:pPr>
              <w:keepNext/>
              <w:spacing w:line="230" w:lineRule="exact" w:before="60" w:after="60"/>
            </w:pPr>
            <w:r>
              <w:rPr>
                <w:rFonts w:ascii="Arial" w:hAnsi="Arial" w:eastAsia="Noto Sans CJK KR"/>
                <w:b w:val="0"/>
                <w:color w:val="000000"/>
                <w:sz w:val="18"/>
              </w:rPr>
              <w:t>1,252원</w:t>
            </w:r>
          </w:p>
        </w:tc>
      </w:tr>
      <w:tr>
        <w:trPr>
          <w:cantSplit/>
        </w:trPr>
        <w:tc>
          <w:tcPr>
            <w:tcW w:type="dxa" w:w="4510"/>
            <w:shd w:fill="FFFFFF"/>
          </w:tcPr>
          <w:p>
            <w:pPr>
              <w:keepNext/>
              <w:spacing w:line="230" w:lineRule="exact" w:before="60" w:after="60"/>
            </w:pPr>
            <w:r>
              <w:rPr>
                <w:rFonts w:ascii="Arial" w:hAnsi="Arial" w:eastAsia="Noto Sans CJK KR"/>
                <w:b w:val="0"/>
                <w:color w:val="000000"/>
                <w:sz w:val="18"/>
              </w:rPr>
              <w:t>결제·정산 수수료 (3%, 14,900원 기준)</w:t>
            </w:r>
          </w:p>
        </w:tc>
        <w:tc>
          <w:tcPr>
            <w:tcW w:type="dxa" w:w="4510"/>
            <w:shd w:fill="FFFFFF"/>
          </w:tcPr>
          <w:p>
            <w:pPr>
              <w:keepNext/>
              <w:spacing w:line="230" w:lineRule="exact" w:before="60" w:after="60"/>
            </w:pPr>
            <w:r>
              <w:rPr>
                <w:rFonts w:ascii="Arial" w:hAnsi="Arial" w:eastAsia="Noto Sans CJK KR"/>
                <w:b w:val="0"/>
                <w:color w:val="000000"/>
                <w:sz w:val="18"/>
              </w:rPr>
              <w:t>447원</w:t>
            </w:r>
          </w:p>
        </w:tc>
      </w:tr>
      <w:tr>
        <w:trPr>
          <w:cantSplit/>
        </w:trPr>
        <w:tc>
          <w:tcPr>
            <w:tcW w:type="dxa" w:w="4510"/>
            <w:shd w:fill="F4F4F4"/>
          </w:tcPr>
          <w:p>
            <w:pPr>
              <w:keepNext/>
              <w:spacing w:line="230" w:lineRule="exact" w:before="60" w:after="60"/>
            </w:pPr>
            <w:r>
              <w:rPr>
                <w:rFonts w:ascii="Arial" w:hAnsi="Arial" w:eastAsia="Noto Sans CJK KR"/>
                <w:b w:val="0"/>
                <w:color w:val="000000"/>
                <w:sz w:val="18"/>
              </w:rPr>
              <w:t>정산 고정비 배분 (99,000원 ÷ 308개)</w:t>
            </w:r>
          </w:p>
        </w:tc>
        <w:tc>
          <w:tcPr>
            <w:tcW w:type="dxa" w:w="4510"/>
            <w:shd w:fill="F4F4F4"/>
          </w:tcPr>
          <w:p>
            <w:pPr>
              <w:keepNext/>
              <w:spacing w:line="230" w:lineRule="exact" w:before="60" w:after="60"/>
            </w:pPr>
            <w:r>
              <w:rPr>
                <w:rFonts w:ascii="Arial" w:hAnsi="Arial" w:eastAsia="Noto Sans CJK KR"/>
                <w:b w:val="0"/>
                <w:color w:val="000000"/>
                <w:sz w:val="18"/>
              </w:rPr>
              <w:t>321원</w:t>
            </w:r>
          </w:p>
        </w:tc>
      </w:tr>
      <w:tr>
        <w:trPr>
          <w:cantSplit/>
        </w:trPr>
        <w:tc>
          <w:tcPr>
            <w:tcW w:type="dxa" w:w="4510"/>
            <w:shd w:fill="FFFFFF"/>
          </w:tcPr>
          <w:p>
            <w:pPr>
              <w:keepNext w:val="0"/>
              <w:spacing w:line="230" w:lineRule="exact" w:before="60" w:after="60"/>
            </w:pPr>
            <w:r>
              <w:rPr>
                <w:rFonts w:ascii="Arial" w:hAnsi="Arial" w:eastAsia="Noto Sans CJK KR"/>
                <w:b w:val="0"/>
                <w:color w:val="000000"/>
                <w:sz w:val="18"/>
              </w:rPr>
              <w:t>총 예상 원가</w:t>
            </w:r>
          </w:p>
        </w:tc>
        <w:tc>
          <w:tcPr>
            <w:tcW w:type="dxa" w:w="4510"/>
            <w:shd w:fill="FFFFFF"/>
          </w:tcPr>
          <w:p>
            <w:pPr>
              <w:keepNext w:val="0"/>
              <w:spacing w:line="230" w:lineRule="exact" w:before="60" w:after="60"/>
            </w:pPr>
            <w:r>
              <w:rPr>
                <w:rFonts w:ascii="Arial" w:hAnsi="Arial" w:eastAsia="Noto Sans CJK KR"/>
                <w:b w:val="0"/>
                <w:color w:val="000000"/>
                <w:sz w:val="18"/>
              </w:rPr>
              <w:t>12,273원</w:t>
            </w:r>
          </w:p>
        </w:tc>
      </w:tr>
    </w:tbl>
    <w:p>
      <w:pPr>
        <w:pageBreakBefore w:val="0"/>
        <w:widowControl/>
        <w:spacing w:before="221"/>
      </w:pPr>
      <w:r>
        <w:rPr>
          <w:rFonts w:ascii="Arial" w:hAnsi="Arial" w:eastAsia="Noto Sans CJK KR"/>
          <w:b w:val="0"/>
          <w:sz w:val="20"/>
        </w:rPr>
        <w:t>한편 시장 조사 결과 Cup Tie는 해외 플랫폼 Pinkoi에서 약 미화 9.92달러(약 14,430원) 수준에 판매되고 있으며, 국내 오픈마켓에서는 1만 원 미만에서 1만 원 중반대 가격으로 유통되고 있다. 따라서 와디즈 펀딩가가 2만 원 이상으로 형성될 경우 소비자가 기존 판매 채널과 비교하여 가격 부담을 느낄 가능성이 높다. 이에 따라 본 연구는 시장 가격과 플랫폼 특성을 반영하여 다음과 같은 현실적 가격 체계를 제안한다.</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상품 구성</w:t>
            </w:r>
          </w:p>
        </w:tc>
        <w:tc>
          <w:tcPr>
            <w:tcW w:type="dxa" w:w="3007"/>
            <w:shd w:fill="222222"/>
          </w:tcPr>
          <w:p>
            <w:pPr>
              <w:keepNext/>
              <w:spacing w:line="230" w:lineRule="exact" w:before="60" w:after="60"/>
            </w:pPr>
            <w:r>
              <w:rPr>
                <w:rFonts w:ascii="Arial" w:hAnsi="Arial" w:eastAsia="Noto Sans CJK KR"/>
                <w:b/>
                <w:color w:val="FFFFFF"/>
                <w:sz w:val="18"/>
              </w:rPr>
              <w:t>가격</w:t>
            </w:r>
          </w:p>
        </w:tc>
        <w:tc>
          <w:tcPr>
            <w:tcW w:type="dxa" w:w="3007"/>
            <w:shd w:fill="222222"/>
          </w:tcPr>
          <w:p>
            <w:pPr>
              <w:keepNext/>
              <w:spacing w:line="230" w:lineRule="exact" w:before="60" w:after="60"/>
            </w:pPr>
            <w:r>
              <w:rPr>
                <w:rFonts w:ascii="Arial" w:hAnsi="Arial" w:eastAsia="Noto Sans CJK KR"/>
                <w:b/>
                <w:color w:val="FFFFFF"/>
                <w:sz w:val="18"/>
              </w:rPr>
              <w:t>전략 목적</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Early Bird (선착순 70개)</w:t>
            </w:r>
          </w:p>
        </w:tc>
        <w:tc>
          <w:tcPr>
            <w:tcW w:type="dxa" w:w="3007"/>
            <w:shd w:fill="FFFFFF"/>
          </w:tcPr>
          <w:p>
            <w:pPr>
              <w:keepNext/>
              <w:spacing w:line="230" w:lineRule="exact" w:before="60" w:after="60"/>
            </w:pPr>
            <w:r>
              <w:rPr>
                <w:rFonts w:ascii="Arial" w:hAnsi="Arial" w:eastAsia="Noto Sans CJK KR"/>
                <w:b w:val="0"/>
                <w:color w:val="000000"/>
                <w:sz w:val="18"/>
              </w:rPr>
              <w:t>13,900원</w:t>
            </w:r>
          </w:p>
        </w:tc>
        <w:tc>
          <w:tcPr>
            <w:tcW w:type="dxa" w:w="3007"/>
            <w:shd w:fill="FFFFFF"/>
          </w:tcPr>
          <w:p>
            <w:pPr>
              <w:keepNext/>
              <w:spacing w:line="230" w:lineRule="exact" w:before="60" w:after="60"/>
            </w:pPr>
            <w:r>
              <w:rPr>
                <w:rFonts w:ascii="Arial" w:hAnsi="Arial" w:eastAsia="Noto Sans CJK KR"/>
                <w:b w:val="0"/>
                <w:color w:val="000000"/>
                <w:sz w:val="18"/>
              </w:rPr>
              <w:t>초기 참여 유도 및 빠른 목표 달성</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Early Bird Set (선착순 30개)</w:t>
            </w:r>
          </w:p>
        </w:tc>
        <w:tc>
          <w:tcPr>
            <w:tcW w:type="dxa" w:w="3007"/>
            <w:shd w:fill="F4F4F4"/>
          </w:tcPr>
          <w:p>
            <w:pPr>
              <w:keepNext/>
              <w:spacing w:line="230" w:lineRule="exact" w:before="60" w:after="60"/>
            </w:pPr>
            <w:r>
              <w:rPr>
                <w:rFonts w:ascii="Arial" w:hAnsi="Arial" w:eastAsia="Noto Sans CJK KR"/>
                <w:b w:val="0"/>
                <w:color w:val="000000"/>
                <w:sz w:val="18"/>
              </w:rPr>
              <w:t>25,900원</w:t>
            </w:r>
          </w:p>
        </w:tc>
        <w:tc>
          <w:tcPr>
            <w:tcW w:type="dxa" w:w="3007"/>
            <w:shd w:fill="F4F4F4"/>
          </w:tcPr>
          <w:p>
            <w:pPr>
              <w:keepNext/>
              <w:spacing w:line="230" w:lineRule="exact" w:before="60" w:after="60"/>
            </w:pPr>
            <w:r>
              <w:rPr>
                <w:rFonts w:ascii="Arial" w:hAnsi="Arial" w:eastAsia="Noto Sans CJK KR"/>
                <w:b w:val="0"/>
                <w:color w:val="000000"/>
                <w:sz w:val="18"/>
              </w:rPr>
              <w:t>핵심 타겟층 유입 확대</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일반 펀딩가</w:t>
            </w:r>
          </w:p>
        </w:tc>
        <w:tc>
          <w:tcPr>
            <w:tcW w:type="dxa" w:w="3007"/>
            <w:shd w:fill="FFFFFF"/>
          </w:tcPr>
          <w:p>
            <w:pPr>
              <w:keepNext/>
              <w:spacing w:line="230" w:lineRule="exact" w:before="60" w:after="60"/>
            </w:pPr>
            <w:r>
              <w:rPr>
                <w:rFonts w:ascii="Arial" w:hAnsi="Arial" w:eastAsia="Noto Sans CJK KR"/>
                <w:b w:val="0"/>
                <w:color w:val="000000"/>
                <w:sz w:val="18"/>
              </w:rPr>
              <w:t>14,900원</w:t>
            </w:r>
          </w:p>
        </w:tc>
        <w:tc>
          <w:tcPr>
            <w:tcW w:type="dxa" w:w="3007"/>
            <w:shd w:fill="FFFFFF"/>
          </w:tcPr>
          <w:p>
            <w:pPr>
              <w:keepNext/>
              <w:spacing w:line="230" w:lineRule="exact" w:before="60" w:after="60"/>
            </w:pPr>
            <w:r>
              <w:rPr>
                <w:rFonts w:ascii="Arial" w:hAnsi="Arial" w:eastAsia="Noto Sans CJK KR"/>
                <w:b w:val="0"/>
                <w:color w:val="000000"/>
                <w:sz w:val="18"/>
              </w:rPr>
              <w:t>시장 경쟁력 확보</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2개 세트 구성</w:t>
            </w:r>
          </w:p>
        </w:tc>
        <w:tc>
          <w:tcPr>
            <w:tcW w:type="dxa" w:w="3007"/>
            <w:shd w:fill="F4F4F4"/>
          </w:tcPr>
          <w:p>
            <w:pPr>
              <w:keepNext/>
              <w:spacing w:line="230" w:lineRule="exact" w:before="60" w:after="60"/>
            </w:pPr>
            <w:r>
              <w:rPr>
                <w:rFonts w:ascii="Arial" w:hAnsi="Arial" w:eastAsia="Noto Sans CJK KR"/>
                <w:b w:val="0"/>
                <w:color w:val="000000"/>
                <w:sz w:val="18"/>
              </w:rPr>
              <w:t>26,900원</w:t>
            </w:r>
          </w:p>
        </w:tc>
        <w:tc>
          <w:tcPr>
            <w:tcW w:type="dxa" w:w="3007"/>
            <w:shd w:fill="F4F4F4"/>
          </w:tcPr>
          <w:p>
            <w:pPr>
              <w:keepNext/>
              <w:spacing w:line="230" w:lineRule="exact" w:before="60" w:after="60"/>
            </w:pPr>
            <w:r>
              <w:rPr>
                <w:rFonts w:ascii="Arial" w:hAnsi="Arial" w:eastAsia="Noto Sans CJK KR"/>
                <w:b w:val="0"/>
                <w:color w:val="000000"/>
                <w:sz w:val="18"/>
              </w:rPr>
              <w:t>객단가 상승 및 선물 수요 유도</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펀딩 종료 후 정상가</w:t>
            </w:r>
          </w:p>
        </w:tc>
        <w:tc>
          <w:tcPr>
            <w:tcW w:type="dxa" w:w="3007"/>
            <w:shd w:fill="FFFFFF"/>
          </w:tcPr>
          <w:p>
            <w:pPr>
              <w:keepNext w:val="0"/>
              <w:spacing w:line="230" w:lineRule="exact" w:before="60" w:after="60"/>
            </w:pPr>
            <w:r>
              <w:rPr>
                <w:rFonts w:ascii="Arial" w:hAnsi="Arial" w:eastAsia="Noto Sans CJK KR"/>
                <w:b w:val="0"/>
                <w:color w:val="000000"/>
                <w:sz w:val="18"/>
              </w:rPr>
              <w:t>15,900원</w:t>
            </w:r>
          </w:p>
        </w:tc>
        <w:tc>
          <w:tcPr>
            <w:tcW w:type="dxa" w:w="3007"/>
            <w:shd w:fill="FFFFFF"/>
          </w:tcPr>
          <w:p>
            <w:pPr>
              <w:keepNext w:val="0"/>
              <w:spacing w:line="230" w:lineRule="exact" w:before="60" w:after="60"/>
            </w:pPr>
            <w:r>
              <w:rPr>
                <w:rFonts w:ascii="Arial" w:hAnsi="Arial" w:eastAsia="Noto Sans CJK KR"/>
                <w:b w:val="0"/>
                <w:color w:val="000000"/>
                <w:sz w:val="18"/>
              </w:rPr>
              <w:t>국내 정식 유통가 형성</w:t>
            </w:r>
          </w:p>
        </w:tc>
      </w:tr>
    </w:tbl>
    <w:p>
      <w:pPr>
        <w:pageBreakBefore w:val="0"/>
        <w:widowControl/>
        <w:spacing w:before="219"/>
      </w:pPr>
      <w:r>
        <w:rPr>
          <w:rFonts w:ascii="Arial" w:hAnsi="Arial" w:eastAsia="Noto Sans CJK KR"/>
          <w:b w:val="0"/>
          <w:sz w:val="20"/>
        </w:rPr>
        <w:t>예를 들어 일반 펀딩가 14,900원 기준 판매 시 플랫폼 이용 수수료(8.4%)와 결제·정산 수수료(3%)를 제외한 실수령 금액은 약 13,201원 수준이다. 여기에서 제품 원가와 물류·운영비(10,253원)를 차감하면 개당 약 2,948원의 기여이익이 발생한다. 또한 프로젝트 전체 정산 고정비 99,000원을 고려하더라도 일정 판매 수량 이상 확보 시 안정적인 손익 구조를 기대할 수 있다.</w:t>
      </w:r>
    </w:p>
    <w:p>
      <w:pPr>
        <w:pageBreakBefore w:val="0"/>
        <w:spacing w:before="80" w:line="205" w:lineRule="exact"/>
      </w:pPr>
      <w:r>
        <w:rPr>
          <w:rFonts w:ascii="Arial" w:hAnsi="Arial" w:eastAsia="Noto Sans CJK KR"/>
          <w:b w:val="0"/>
          <w:sz w:val="16"/>
        </w:rPr>
        <w:t>주: 위 표와 본문은 항목별 원 단위 반올림값을 합산한 것으로, 반올림 전 금액으로 계산한 도착원가 6,552.42원·공헌이익 약 2,949원과 소액의 반올림 차이가 있다.</w:t>
      </w:r>
    </w:p>
    <w:p>
      <w:pPr>
        <w:pageBreakBefore w:val="0"/>
        <w:widowControl/>
        <w:spacing w:before="241"/>
      </w:pPr>
      <w:r>
        <w:rPr>
          <w:rFonts w:ascii="Arial" w:hAnsi="Arial" w:eastAsia="Noto Sans CJK KR"/>
          <w:b w:val="0"/>
          <w:sz w:val="20"/>
        </w:rPr>
        <w:t>이는 단품 판매만으로 높은 수익을 극대화하기보다는, 초기 브랜드 인지도 확보와 국내 소비자 반응 검증, 향후 반복 구매 고객 확보를 목표로 하는 시장 진입형 가격 전략이라 할 수 있다. 특히 Early Bird 리워드와 세트 상품 구성을 통해 초기 펀딩 참여율을 높이고, 2개 세트 상품 및 후속 제품 판매를 통해 전체 수익성을 높이는 구조가 적절하다.</w:t>
      </w:r>
    </w:p>
    <w:p>
      <w:pPr>
        <w:pageBreakBefore w:val="0"/>
        <w:widowControl/>
        <w:spacing w:before="241"/>
      </w:pPr>
      <w:r>
        <w:rPr>
          <w:rFonts w:ascii="Arial" w:hAnsi="Arial" w:eastAsia="Noto Sans CJK KR"/>
          <w:b w:val="0"/>
          <w:sz w:val="20"/>
        </w:rPr>
        <w:t>종합하면 Cup Tie의 가격 전략은 단순 할인 판매가 아니라 초기 수요 확보, 펀딩 성공률 제고, 브랜드 인지도 형성, 이후 정상가 전환을 통한 지속 판매 구조 구축이라는 단계적 전략으로 설계되었다. 이는 Bone Collection이 국내 시장에 안정적으로 진입하기 위한 가장 현실적이고 효과적인 가격 전략이라 판단된다.</w:t>
      </w:r>
    </w:p>
    <w:p>
      <w:pPr>
        <w:pStyle w:val="Heading3"/>
        <w:pageBreakBefore w:val="0"/>
        <w:spacing w:before="241"/>
      </w:pPr>
      <w:r>
        <w:rPr>
          <w:rFonts w:ascii="Arial" w:hAnsi="Arial" w:eastAsia="Noto Sans CJK KR"/>
          <w:b/>
          <w:sz w:val="20"/>
        </w:rPr>
        <w:t>2) 유통 전략</w:t>
      </w:r>
    </w:p>
    <w:p>
      <w:pPr>
        <w:pageBreakBefore w:val="0"/>
        <w:widowControl/>
        <w:spacing w:before="241"/>
      </w:pPr>
      <w:r>
        <w:rPr>
          <w:rFonts w:ascii="Arial" w:hAnsi="Arial" w:eastAsia="Noto Sans CJK KR"/>
          <w:b w:val="0"/>
          <w:sz w:val="20"/>
        </w:rPr>
        <w:t>Bone Collection 제품은 해외 브랜드 제품이라는 특성을 고려할 때 기존 오프라인 도매 유통망보다 소비자에게 직접 판매하는 방식이 효율적이다. 따라서 본 연구는 와디즈 크라우드펀딩을 1차 유통 채널로 활용하고, 이후 판매 성과에 따라 온라인 유통망으로 확장하는 단계적 유통 전략을 수립하였다.</w:t>
      </w:r>
    </w:p>
    <w:p>
      <w:pPr>
        <w:pageBreakBefore w:val="0"/>
        <w:widowControl/>
        <w:spacing w:before="241"/>
      </w:pPr>
      <w:r>
        <w:rPr>
          <w:rFonts w:ascii="Arial" w:hAnsi="Arial" w:eastAsia="Noto Sans CJK KR"/>
          <w:b w:val="0"/>
          <w:sz w:val="20"/>
        </w:rPr>
        <w:t>우선 1단계에서는 와디즈를 활용한 선주문 방식으로 운영한다. 이는 국내 시장 반응을 사전에 검증하고, 실제 주문 수량을 확보한 뒤 본사에 발주할 수 있기 때문에 초기 재고 부담을 최소화할 수 있다는 장점이</w:t>
      </w:r>
    </w:p>
    <w:p>
      <w:pPr>
        <w:pageBreakBefore w:val="0"/>
        <w:widowControl/>
        <w:spacing w:before="0"/>
      </w:pPr>
      <w:r>
        <w:rPr>
          <w:rFonts w:ascii="Arial" w:hAnsi="Arial" w:eastAsia="Noto Sans CJK KR"/>
          <w:b w:val="0"/>
          <w:sz w:val="20"/>
        </w:rPr>
        <w:t>있다. 또한 펀딩 참여자 후기와 만족도 데이터를 확보함으로써 향후 일반 판매 단계에서 신뢰도 높은 마케팅 자료로 활용할 수 있다.</w:t>
      </w:r>
    </w:p>
    <w:p>
      <w:pPr>
        <w:pageBreakBefore w:val="0"/>
        <w:widowControl/>
        <w:spacing w:before="241"/>
      </w:pPr>
      <w:r>
        <w:rPr>
          <w:rFonts w:ascii="Arial" w:hAnsi="Arial" w:eastAsia="Noto Sans CJK KR"/>
          <w:b w:val="0"/>
          <w:sz w:val="20"/>
        </w:rPr>
        <w:t>기업 측에서 제공한 포장 단위 자료에 따르면 308개 주문 시 내부 박스 7개와 마스터 박스 4개, 528개 주문 시 내부 박스 12개와 마스터 박스 6개, 1,012개 주문 시 내부 박스 23개 규모로 출고가 가능하다. 내부 박스 규격은 57 x 24 x 13cm이며 무게는 0.35kg 수준으로 비교적 효율적인 적재가 가능하다. 특히 대량 주문 시 운송비가 낮아지는 구조이므로 일정 목표 수량 이상을 확보한 뒤 일괄 수입하여 국내 개별 배송하는 방식이 가장 경제적이라 판단된다.</w:t>
      </w:r>
    </w:p>
    <w:p>
      <w:pPr>
        <w:pageBreakBefore w:val="0"/>
        <w:widowControl/>
        <w:spacing w:before="241"/>
      </w:pPr>
      <w:r>
        <w:rPr>
          <w:rFonts w:ascii="Arial" w:hAnsi="Arial" w:eastAsia="Noto Sans CJK KR"/>
          <w:b w:val="0"/>
          <w:sz w:val="20"/>
        </w:rPr>
        <w:t>2단계에서는 펀딩 성공 이후 네이버 스마트스토어, 쿠팡, 자사몰 등 온라인 판매 채널로 확장하여 지속적인 판매 구조를 구축한다. 이후 브랜드 반응이 긍정적으로 나타날 경우 성수동, 홍대 등 20~30대 유동 인구가 많은 지역에서 팝업스토어를 운영하거나 친환경 라이프스타일 편집숍 입점을 추진할 수 있다.</w:t>
      </w:r>
    </w:p>
    <w:p>
      <w:pPr>
        <w:pageBreakBefore w:val="0"/>
        <w:widowControl/>
        <w:spacing w:before="241"/>
      </w:pPr>
      <w:r>
        <w:rPr>
          <w:rFonts w:ascii="Arial" w:hAnsi="Arial" w:eastAsia="Noto Sans CJK KR"/>
          <w:b w:val="0"/>
          <w:sz w:val="20"/>
        </w:rPr>
        <w:t>즉, 유통 전략의 핵심은 크라우드펀딩을 단순 판매 채널이 아닌 시장 검증 플랫폼으로 활용하고, 이후 온라인 중심 유통망으로 확장하는 구조라 할 수 있다.</w:t>
      </w:r>
    </w:p>
    <w:p>
      <w:pPr>
        <w:pStyle w:val="Heading3"/>
        <w:pageBreakBefore w:val="0"/>
        <w:spacing w:before="241"/>
      </w:pPr>
      <w:r>
        <w:rPr>
          <w:rFonts w:ascii="Arial" w:hAnsi="Arial" w:eastAsia="Noto Sans CJK KR"/>
          <w:b/>
          <w:sz w:val="20"/>
        </w:rPr>
        <w:t>3) 마케팅 전략</w:t>
      </w:r>
    </w:p>
    <w:p>
      <w:pPr>
        <w:pageBreakBefore w:val="0"/>
        <w:widowControl/>
        <w:spacing w:before="241"/>
      </w:pPr>
      <w:r>
        <w:rPr>
          <w:rFonts w:ascii="Arial" w:hAnsi="Arial" w:eastAsia="Noto Sans CJK KR"/>
          <w:b w:val="0"/>
          <w:sz w:val="20"/>
        </w:rPr>
        <w:t>: 인스타그램 계정 운영 및 와디즈 펀딩 연계 전략</w:t>
      </w:r>
    </w:p>
    <w:p>
      <w:pPr>
        <w:pageBreakBefore w:val="0"/>
        <w:widowControl/>
        <w:spacing w:before="241"/>
      </w:pPr>
      <w:r>
        <w:rPr>
          <w:rFonts w:ascii="Arial" w:hAnsi="Arial" w:eastAsia="Noto Sans CJK KR"/>
          <w:b w:val="0"/>
          <w:sz w:val="20"/>
        </w:rPr>
        <w:t>본 연구는 Bone Collection의 Cup Tie 2 제품이 국내 시장에서 성공적으로 안착하기 위해서는 한국 소비자가 직관적으로 이해하고 공감할 수 있는 현지화 전략이 필요하다고 판단하였다. 이에 따라 제품의 공식 명칭은 Bone Collection 본사의 요청에 따라 'Cup Tie 2'로 유지하되, 제품 옵션별 디자인 특성을 반영한 서브 네이밍 전략을 함께 적용하였다. 오리 디자인은 '꽥타이', 고양이 디자인은 '냥타이', 루돌프 디자인은 '루돌타이', 부엉이 디자인은 '부엉타이'로 명명하였다. 이는 단순 색상 구분 방식보다 소비자에게 더 직관적이고 재미있는 선택 경험을 제공하며, SNS 후기 작성 시 자발적 콘텐츠 생산이 가능하다는 점에서 바이럴 마케팅 효과를 기대할 수 있다.</w:t>
      </w:r>
    </w:p>
    <w:p>
      <w:pPr>
        <w:pageBreakBefore w:val="0"/>
        <w:widowControl/>
        <w:spacing w:before="241"/>
      </w:pPr>
      <w:r>
        <w:rPr>
          <w:rFonts w:ascii="Arial" w:hAnsi="Arial" w:eastAsia="Noto Sans CJK KR"/>
          <w:b w:val="0"/>
          <w:sz w:val="20"/>
        </w:rPr>
        <w:t>핵심 마케팅 채널로는 인스타그램을 선택하였다. 20~30대 감성 소비자를 핵심 타겟으로 설정한 본 연구팀은 Cup Tie 2 전용 인스타그램 계정(@cuptie2_korea)을 개설하고, 제품 홍보 콘텐츠를 꾸준히 게시하는 동시에 프로필 링크에 와디즈 펀딩 페이지 URL을 삽입하여 방문자가 자연스럽게 펀딩으로 유입될 수 있도록 동선을 구조화하였다. 계정 바이오에는 "당신의 일상을 가볍게, 손끝까지 / 대만 라이프스타일 브랜드 Bone Collection"이라는 문구를 배치하여 브랜드 정체성과 제품 감성을 동시에 전달하고자 하였다.</w:t>
      </w:r>
    </w:p>
    <w:p>
      <w:pPr>
        <w:pageBreakBefore w:val="0"/>
        <w:widowControl/>
        <w:spacing w:before="241"/>
      </w:pPr>
      <w:r>
        <w:rPr>
          <w:rFonts w:ascii="Arial" w:hAnsi="Arial" w:eastAsia="Noto Sans CJK KR"/>
          <w:b w:val="0"/>
          <w:sz w:val="20"/>
        </w:rPr>
        <w:t>콘텐츠 운영 방향은 크게 세 가지로 설정하였다. 첫째, Cup Tie 2를 실제 음료컵에 장착하는 과정과 손이 자유로워지는 장면을 담은 릴스 형식의 숏폼 영상을 제작하여 제품의 사용 편의성을 시각적으로 전달한다. 둘째, 4종 캐릭터를 각각 소개하는 이미지 콘텐츠를 통해 각 캐릭터의 감성 키워드와 서브 네임을 소비자에게 전달하고, 취향에 맞는 선택을 유도한다. 셋째, 와디즈 펀딩 상세페이지의 핵심 메시지를 요약한 카드뉴스 형태의 홍보 이미지를 게시하여 팔로워의 펀딩 참여를 직접적으로 유도한다.</w:t>
      </w:r>
    </w:p>
    <w:p>
      <w:pPr>
        <w:pageBreakBefore w:val="0"/>
        <w:widowControl/>
        <w:spacing w:before="241"/>
      </w:pPr>
      <w:r>
        <w:rPr>
          <w:rFonts w:ascii="Arial" w:hAnsi="Arial" w:eastAsia="Noto Sans CJK KR"/>
          <w:b w:val="0"/>
          <w:sz w:val="20"/>
        </w:rPr>
        <w:t>또한 현재 국내 시장에서 유사한 컵 스트랩 제품을 저가로 판매하는 판매자들이 존재하는 상황에서, 단순 기능 경쟁이나 가격 경쟁만으로는 차별화가 어렵다. 이에 따라 본 연구는 '대만 정식 브랜드 제품'이라는 점을 핵심 차별화 포인트로 활용하는 전략을 추진한다. Bone Collection은 20년 이상의 역사를 가진 대만 디자인 브랜드로, 자체 특허와 디자인권을 보유하고 있으며 친환경 실리콘 소재에 대한 인증도 갖추고 있다. 이러한 브랜드 신뢰성과 제품 완성도를 콘텐츠에 녹여내어 무브랜드 저가 제품과의 질적 차별화를 도모한다. 대만 여행 열풍 및 버블티 문화와 연계한 스토리텔링을 중심으로, "대만에서 먼저 사랑받은 컵 휴대 문화"라는 메시지를 인스타그램 릴스와 카드뉴스 콘텐츠를 통해 지속적으로 전달하고자 한다.</w:t>
      </w:r>
    </w:p>
    <w:p>
      <w:pPr>
        <w:pageBreakBefore w:val="0"/>
        <w:widowControl/>
        <w:spacing w:before="241"/>
      </w:pPr>
      <w:r>
        <w:rPr>
          <w:rFonts w:ascii="Arial" w:hAnsi="Arial" w:eastAsia="Noto Sans CJK KR"/>
          <w:b w:val="0"/>
          <w:sz w:val="20"/>
        </w:rPr>
        <w:t>더불어 와디즈 플랫폼 내에서는 펀딩 진행 중 새소식 업데이트 기능을 적극 활용하여 소비자와의 소통을 유지하고, 목표 금액 달성 시 이벤트 진행 등 참여 동기를 부여하는 방식으로 펀딩 기간 전반에 걸쳐 관심을 유지하고자 한다.</w:t>
      </w:r>
    </w:p>
    <w:p>
      <w:pPr>
        <w:pStyle w:val="Heading1"/>
        <w:pageBreakBefore/>
        <w:spacing w:before="0"/>
      </w:pPr>
      <w:r>
        <w:rPr>
          <w:rFonts w:ascii="Arial" w:hAnsi="Arial" w:eastAsia="Noto Sans CJK KR"/>
          <w:b/>
          <w:sz w:val="24"/>
        </w:rPr>
        <w:t>Ⅴ. 와디즈 펀딩 실행</w:t>
      </w:r>
    </w:p>
    <w:p>
      <w:pPr>
        <w:pStyle w:val="Heading2"/>
        <w:pageBreakBefore w:val="0"/>
        <w:spacing w:before="249"/>
      </w:pPr>
      <w:r>
        <w:rPr>
          <w:rFonts w:ascii="Arial" w:hAnsi="Arial" w:eastAsia="Noto Sans CJK KR"/>
          <w:b/>
          <w:sz w:val="22"/>
        </w:rPr>
        <w:t>5-1. 펀딩 상세페이지 구성</w:t>
      </w:r>
    </w:p>
    <w:p>
      <w:pPr>
        <w:pageBreakBefore w:val="0"/>
        <w:widowControl/>
        <w:spacing w:before="244"/>
      </w:pPr>
      <w:r>
        <w:rPr>
          <w:rFonts w:ascii="Arial" w:hAnsi="Arial" w:eastAsia="Noto Sans CJK KR"/>
          <w:b w:val="0"/>
          <w:sz w:val="20"/>
        </w:rPr>
        <w:t>최종 상세페이지의 첫 화면은 제품의 핵심 메시지를 직관적으로 전달하는 데 초점을 두었다. “올여름, 음료는 손에 들지 말고 가볍게 매세요”라는 문구를 전면에 배치하여 Cup Tie 2가 단지 액세서리가 아니라 여름철 음료 휴대 방식을 바꾸는 라이프스타일 아이템이라는 점을 강조하였다. 또한 제품명을 함께 제시하고, ‘손이 자유로운 휴대성’, ‘텀블러부터 테이크아웃 컵까지’, ‘세척 가능한 실리콘 소재’, ‘귀여운 4종 캐릭터’와 같은 핵심 특징을 아이콘 형태로 간략히 정리함으로써 소비자가 페이지에 진입하는 순간 제품의 성격을 빠르게 파악할 수 있도록 설계하였다. 이 과정에서 시각적 분위기는 밝고 따뜻한 색감으로 통일하여 여름 시즌 상품이라는 인상을 강화하였고, 컵에 실제 제품을 장착한 이미지를 표지에 함께 배치함으로써 제품 사용 결과를 직관적으로 보여주고자 하였다.</w:t>
      </w:r>
    </w:p>
    <w:p>
      <w:pPr>
        <w:pageBreakBefore w:val="0"/>
        <w:widowControl/>
        <w:spacing w:before="241"/>
      </w:pPr>
      <w:r>
        <w:rPr>
          <w:rFonts w:ascii="Arial" w:hAnsi="Arial" w:eastAsia="Noto Sans CJK KR"/>
          <w:b w:val="0"/>
          <w:sz w:val="20"/>
        </w:rPr>
        <w:t>이후 상세페이지는 소비자의 문제 인식에서 출발하는 구조로 전개되었다. 본 연구팀은 텀블러, 물병, 테이크아웃 컵 등을 일상적으로 휴대하는 소비자들이 한 손을 음료에 계속 할애해야 하는 불편함을 겪고 있다는 점에 주목하였다. 이에 따라 “왜 매번 손은 부족할까요?”라는 질문형 카피를 사용하여 공감을 유도하고, 휴대폰 사용, 카드 결제, 반려견 산책, 여행 이동, 운동 후 수분 섭취와 같은 구체적 상황을 예시 이미지로 제시하였다. 이러한 구성은 소비자가 자신의 일상 경험을 자연스럽게 대입하도록 만들며, 이후 Cup Tie 2를 문제 해결 수단으로 제시하기 위한 설득의 기반으로 작용하였다. 생소한 제품일수록 먼저 ‘왜 필요한가’를 납득시켜야 한다는 점에서, 본 연구팀은 문제 제기 파트를 상세페이지 초반부에 배치하는 것이 효과적이라고 보았다.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35"/>
        <w:gridCol w:w="4305"/>
      </w:tblGrid>
      <w:tr>
        <w:tc>
          <w:tcPr>
            <w:tcW w:type="dxa" w:w="4520"/>
          </w:tcPr>
          <w:p>
            <w:pPr>
              <w:spacing w:line="240" w:lineRule="auto" w:after="0"/>
            </w:pPr>
            <w:r>
              <w:drawing>
                <wp:inline xmlns:a="http://schemas.openxmlformats.org/drawingml/2006/main" xmlns:pic="http://schemas.openxmlformats.org/drawingml/2006/picture">
                  <wp:extent cx="2752725" cy="4890675"/>
                  <wp:docPr id="19" name="Picture 19"/>
                  <wp:cNvGraphicFramePr>
                    <a:graphicFrameLocks noChangeAspect="1"/>
                  </wp:cNvGraphicFramePr>
                  <a:graphic>
                    <a:graphicData uri="http://schemas.openxmlformats.org/drawingml/2006/picture">
                      <pic:pic>
                        <pic:nvPicPr>
                          <pic:cNvPr id="0" name="P17_01_source_216.jpg"/>
                          <pic:cNvPicPr/>
                        </pic:nvPicPr>
                        <pic:blipFill>
                          <a:blip r:embed="rId28"/>
                          <a:stretch>
                            <a:fillRect/>
                          </a:stretch>
                        </pic:blipFill>
                        <pic:spPr>
                          <a:xfrm>
                            <a:off x="0" y="0"/>
                            <a:ext cx="2752725" cy="4890675"/>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33675" cy="4856829"/>
                  <wp:docPr id="20" name="Picture 20"/>
                  <wp:cNvGraphicFramePr>
                    <a:graphicFrameLocks noChangeAspect="1"/>
                  </wp:cNvGraphicFramePr>
                  <a:graphic>
                    <a:graphicData uri="http://schemas.openxmlformats.org/drawingml/2006/picture">
                      <pic:pic>
                        <pic:nvPicPr>
                          <pic:cNvPr id="0" name="P17_02_source_215.jpg"/>
                          <pic:cNvPicPr/>
                        </pic:nvPicPr>
                        <pic:blipFill>
                          <a:blip r:embed="rId29"/>
                          <a:stretch>
                            <a:fillRect/>
                          </a:stretch>
                        </pic:blipFill>
                        <pic:spPr>
                          <a:xfrm>
                            <a:off x="0" y="0"/>
                            <a:ext cx="2733675" cy="4856829"/>
                          </a:xfrm>
                          <a:prstGeom prst="rect"/>
                        </pic:spPr>
                      </pic:pic>
                    </a:graphicData>
                  </a:graphic>
                </wp:inline>
              </w:drawing>
            </w:r>
          </w:p>
        </w:tc>
      </w:tr>
    </w:tbl>
    <w:p>
      <w:pPr>
        <w:pageBreakBefore w:val="0"/>
        <w:widowControl/>
        <w:spacing w:before="0"/>
      </w:pPr>
      <w:r>
        <w:rPr>
          <w:rFonts w:ascii="Arial" w:hAnsi="Arial" w:eastAsia="Noto Sans CJK KR"/>
          <w:b w:val="0"/>
          <w:sz w:val="20"/>
        </w:rPr>
        <w:t>문제 제기 이후에는 해결책으로서 Cup Tie 2를 소개하였다. 해당 구간에서는 제품이 컵에 끼워 사용하는 실리콘 컵 스트랩이라는 점을 설명하면서 손을 자유롭게 해 주는 실용적 아이템이라는 점을 강조하였다. 동시에 텀블러뿐 아니라 다양한 음료컵에 사용할 수 있다는 점, 가벼운 무게와 휴대성, 물세척 가능한 소재, 안정적인 고정력 등을 함께 제시함으로써 실용성과 편의성을 강조하였다. 또한 350ml에서 750ml까지의 컵에 호환된다는 정보를 시각적으로 정리하여, 제품 사용 범위에 대한 소비자의 궁금증을 초반 단계에서 해소하고자 하였다. 이는 단순한 디자인 상품이 아니라 실제 생활에서 반복적으로 사용할 수 있는 기능성 제품이라는 인식을 형성하는 데 목적이 있었다.</w:t>
      </w:r>
    </w:p>
    <w:p>
      <w:pPr>
        <w:pageBreakBefore w:val="0"/>
        <w:widowControl/>
        <w:spacing w:before="241"/>
      </w:pPr>
      <w:r>
        <w:rPr>
          <w:rFonts w:ascii="Arial" w:hAnsi="Arial" w:eastAsia="Noto Sans CJK KR"/>
          <w:b w:val="0"/>
          <w:sz w:val="20"/>
        </w:rPr>
        <w:t>상세페이지 중반부에서는 브랜드와 제품의 감성적 차별성을 보여주는 데 집중하였다. Bone Collection이 대만에서 시작된 라이프스타일 디자인 브랜드라는 점을 소개하고, 대만 MZ 감성을 반영한 소품 문화와 연결하여 제품의 배경을 설명하였다. 이는 일정한 브랜드 정체성과 디자인 철학을 가진 제품이라는 점을 전달하기 위한 장치였다. 더불어 4종 캐릭터 옵션을 각각 구분하여 소개하고, 각 캐릭터에 어울리는 감성 키워드와 사용 이미지를 함께 제시함으로써 소비자가 자신의 취향과 개성에 맞추어 제품을 고르는 경험을 할 수 있도록 구성하였다. 이러한 부분은 20~30대 소비자의 취향 소비 및 ‘꾸미는 소비’ 경향을 반영한 것으로, 제품을 실용품이면서 동시에 감성 소품으로 인식시키는 효과를 의도하였다.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275"/>
        <w:gridCol w:w="4275"/>
      </w:tblGrid>
      <w:tr>
        <w:tc>
          <w:tcPr>
            <w:tcW w:type="dxa" w:w="4520"/>
          </w:tcPr>
          <w:p>
            <w:pPr>
              <w:spacing w:line="240" w:lineRule="auto" w:after="0"/>
            </w:pPr>
            <w:r>
              <w:drawing>
                <wp:inline xmlns:a="http://schemas.openxmlformats.org/drawingml/2006/main" xmlns:pic="http://schemas.openxmlformats.org/drawingml/2006/picture">
                  <wp:extent cx="2714625" cy="4822984"/>
                  <wp:docPr id="21" name="Picture 21"/>
                  <wp:cNvGraphicFramePr>
                    <a:graphicFrameLocks noChangeAspect="1"/>
                  </wp:cNvGraphicFramePr>
                  <a:graphic>
                    <a:graphicData uri="http://schemas.openxmlformats.org/drawingml/2006/picture">
                      <pic:pic>
                        <pic:nvPicPr>
                          <pic:cNvPr id="0" name="P18_01_source_213.jpg"/>
                          <pic:cNvPicPr/>
                        </pic:nvPicPr>
                        <pic:blipFill>
                          <a:blip r:embed="rId30"/>
                          <a:stretch>
                            <a:fillRect/>
                          </a:stretch>
                        </pic:blipFill>
                        <pic:spPr>
                          <a:xfrm>
                            <a:off x="0" y="0"/>
                            <a:ext cx="2714625" cy="4822984"/>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14625" cy="4822984"/>
                  <wp:docPr id="22" name="Picture 22"/>
                  <wp:cNvGraphicFramePr>
                    <a:graphicFrameLocks noChangeAspect="1"/>
                  </wp:cNvGraphicFramePr>
                  <a:graphic>
                    <a:graphicData uri="http://schemas.openxmlformats.org/drawingml/2006/picture">
                      <pic:pic>
                        <pic:nvPicPr>
                          <pic:cNvPr id="0" name="P18_02_source_213.jpg"/>
                          <pic:cNvPicPr/>
                        </pic:nvPicPr>
                        <pic:blipFill>
                          <a:blip r:embed="rId31"/>
                          <a:stretch>
                            <a:fillRect/>
                          </a:stretch>
                        </pic:blipFill>
                        <pic:spPr>
                          <a:xfrm>
                            <a:off x="0" y="0"/>
                            <a:ext cx="2714625" cy="4822984"/>
                          </a:xfrm>
                          <a:prstGeom prst="rect"/>
                        </pic:spPr>
                      </pic:pic>
                    </a:graphicData>
                  </a:graphic>
                </wp:inline>
              </w:drawing>
            </w:r>
          </w:p>
        </w:tc>
      </w:tr>
    </w:tbl>
    <w:p>
      <w:pPr>
        <w:pageBreakBefore w:val="0"/>
        <w:widowControl/>
        <w:spacing w:before="283"/>
      </w:pPr>
      <w:r>
        <w:rPr>
          <w:rFonts w:ascii="Arial" w:hAnsi="Arial" w:eastAsia="Noto Sans CJK KR"/>
          <w:b w:val="0"/>
          <w:sz w:val="20"/>
        </w:rPr>
        <w:t>그다음으로는 실제 사용 장면을 중심으로 제품 활용도를 보여주었다. 카페, 산책, 운동, 여행 등 소비자가 자주 경험하는 상황을 구체적으로 제시하고, 각각의 장면에서 Cup Tie 2가 어떻게 손의 부담을 줄여주는지를 시각적으로 설명하였다. 이러한 구성은 추상적인 기능 설명보다 소비자가 제품 사용 상황을 더 쉽게 상상할 수 있도록 해 주며, ‘나도 이런 상황에서 쓸 수 있겠다’는 구매 동기를 자극하는 데 유효하였다. 특히 반려견 산책, 운동 후 음료 휴대, 여행 중 캐리어 이동과 같은 장면은 평소 음료를 손에 들고 다닐 때의 불편함이 상대적으로 크게 드러나는 사례이므로, 본 제품의 필요성을 설득하는 데 적합한 콘텐츠라고 판단하였다.</w:t>
      </w:r>
    </w:p>
    <w:p>
      <w:pPr>
        <w:pageBreakBefore w:val="0"/>
        <w:widowControl/>
        <w:spacing w:before="0"/>
      </w:pPr>
      <w:r>
        <w:rPr>
          <w:rFonts w:ascii="Arial" w:hAnsi="Arial" w:eastAsia="Noto Sans CJK KR"/>
          <w:b w:val="0"/>
          <w:sz w:val="20"/>
        </w:rPr>
        <w:t>후반부에서는 제품의 기능적 신뢰성을 높이기 위한 정보 제공에 중점을 두었다. 먼저 컵에 간단히 끼우는 방식, 물세척이 가능한 실리콘 소재, 가방이나 손목에 걸 수 있는 방식 등을 단계적으로 설명하여 사용법을 직관적으로 이해할 수 있게 하였다. 이어서 다양한 컵과의 호환 가능 여부를 보다 구체적으로 안내하고, 사용 가능한 예시와 사용 시 주의가 필요한 예시를 구분하여 제시하였다. 이는 제품에 대한 기대를 높이는 동시에, 호환성과 장착감이 컵의 형태에 따라 달라질 수 있다는 점을 투명하게 전달하려는 목적이었다. 또한 무게 22g, 제품 규격, 소재, 구성품 등을 명시하여 구매 전 확인이 필요한 기본 정보를 체계적으로 정리하였다. 와디즈 펀딩의 특성상 소비자는 온라인 정보만으로 제품을 판단해야 하므로, 이러한 기능·호환·규격 정보는 구매 불확실성을 낮추는 데 중요한 역할을 한다고 보았다.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005"/>
        <w:gridCol w:w="4005"/>
      </w:tblGrid>
      <w:tr>
        <w:tc>
          <w:tcPr>
            <w:tcW w:type="dxa" w:w="4520"/>
          </w:tcPr>
          <w:p>
            <w:pPr>
              <w:spacing w:line="240" w:lineRule="auto" w:after="0"/>
            </w:pPr>
            <w:r>
              <w:drawing>
                <wp:inline xmlns:a="http://schemas.openxmlformats.org/drawingml/2006/main" xmlns:pic="http://schemas.openxmlformats.org/drawingml/2006/picture">
                  <wp:extent cx="2543175" cy="4515548"/>
                  <wp:docPr id="23" name="Picture 23"/>
                  <wp:cNvGraphicFramePr>
                    <a:graphicFrameLocks noChangeAspect="1"/>
                  </wp:cNvGraphicFramePr>
                  <a:graphic>
                    <a:graphicData uri="http://schemas.openxmlformats.org/drawingml/2006/picture">
                      <pic:pic>
                        <pic:nvPicPr>
                          <pic:cNvPr id="0" name="P19_01_source_200.jpg"/>
                          <pic:cNvPicPr/>
                        </pic:nvPicPr>
                        <pic:blipFill>
                          <a:blip r:embed="rId32"/>
                          <a:stretch>
                            <a:fillRect/>
                          </a:stretch>
                        </pic:blipFill>
                        <pic:spPr>
                          <a:xfrm>
                            <a:off x="0" y="0"/>
                            <a:ext cx="2543175" cy="4515548"/>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543175" cy="4518374"/>
                  <wp:docPr id="24" name="Picture 24"/>
                  <wp:cNvGraphicFramePr>
                    <a:graphicFrameLocks noChangeAspect="1"/>
                  </wp:cNvGraphicFramePr>
                  <a:graphic>
                    <a:graphicData uri="http://schemas.openxmlformats.org/drawingml/2006/picture">
                      <pic:pic>
                        <pic:nvPicPr>
                          <pic:cNvPr id="0" name="P19_02_source_200.jpg"/>
                          <pic:cNvPicPr/>
                        </pic:nvPicPr>
                        <pic:blipFill>
                          <a:blip r:embed="rId33"/>
                          <a:stretch>
                            <a:fillRect/>
                          </a:stretch>
                        </pic:blipFill>
                        <pic:spPr>
                          <a:xfrm>
                            <a:off x="0" y="0"/>
                            <a:ext cx="2543175" cy="4518374"/>
                          </a:xfrm>
                          <a:prstGeom prst="rect"/>
                        </pic:spPr>
                      </pic:pic>
                    </a:graphicData>
                  </a:graphic>
                </wp:inline>
              </w:drawing>
            </w:r>
          </w:p>
        </w:tc>
      </w:tr>
    </w:tbl>
    <w:p>
      <w:pPr>
        <w:pageBreakBefore w:val="0"/>
        <w:widowControl/>
        <w:spacing w:before="283"/>
      </w:pPr>
      <w:r>
        <w:rPr>
          <w:rFonts w:ascii="Arial" w:hAnsi="Arial" w:eastAsia="Noto Sans CJK KR"/>
          <w:b w:val="0"/>
          <w:sz w:val="20"/>
        </w:rPr>
        <w:t>마지막 부분에서는 소비자 반응 포인트와 자주 묻는 질문(Q&amp;A)을 정리하여 상세페이지를 마무리하였다. 소비자 반응 포인트 구간에서는 ‘생각보다 편하다’, ‘카페 갈 때 매일 들고 나가게 된다’, ‘선물용으로도 반응이 좋다’, ‘반려견 산책 시 손이 자유로워 좋다’와 같은 표현을 활용하여, 기능적 효용이 실제 생활의 만족감으로 이어진다는 점을 강조하였다. 이어 Q&amp;A 구간에서는 어떤 컵에 사용할 수 있는지, 프랜차이즈 컵에도 호환되는지, 무거운 텀블러 사용이 가능한지, 세척이 가능한지, 컵이 빠질 위험은 없는지, 보관은 어떻게 하는지, 캐릭터 부분의 내구성은 어떠한지 등 소비자가 가질 수 있는 주요 질문을 사전에 정리하여 신뢰성을 높이고자 하였다. 특히 이 구간은 상세페이지를 끝까지 읽은 소비자들이 최종적으로 구매를 망설일 수 있는 부분을 해소하는 역할을 하며, 온라인 펀딩 환경에서 필수적인 정보 보완 장치로 기능하였다.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380"/>
        <w:gridCol w:w="4365"/>
      </w:tblGrid>
      <w:tr>
        <w:tc>
          <w:tcPr>
            <w:tcW w:type="dxa" w:w="4520"/>
          </w:tcPr>
          <w:p>
            <w:pPr>
              <w:spacing w:line="240" w:lineRule="auto" w:after="0"/>
            </w:pPr>
            <w:r>
              <w:drawing>
                <wp:inline xmlns:a="http://schemas.openxmlformats.org/drawingml/2006/main" xmlns:pic="http://schemas.openxmlformats.org/drawingml/2006/picture">
                  <wp:extent cx="2781300" cy="4941443"/>
                  <wp:docPr id="25" name="Picture 25"/>
                  <wp:cNvGraphicFramePr>
                    <a:graphicFrameLocks noChangeAspect="1"/>
                  </wp:cNvGraphicFramePr>
                  <a:graphic>
                    <a:graphicData uri="http://schemas.openxmlformats.org/drawingml/2006/picture">
                      <pic:pic>
                        <pic:nvPicPr>
                          <pic:cNvPr id="0" name="P20_01_source_219.jpg"/>
                          <pic:cNvPicPr/>
                        </pic:nvPicPr>
                        <pic:blipFill>
                          <a:blip r:embed="rId34"/>
                          <a:stretch>
                            <a:fillRect/>
                          </a:stretch>
                        </pic:blipFill>
                        <pic:spPr>
                          <a:xfrm>
                            <a:off x="0" y="0"/>
                            <a:ext cx="2781300" cy="4941443"/>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71775" cy="4924520"/>
                  <wp:docPr id="26" name="Picture 26"/>
                  <wp:cNvGraphicFramePr>
                    <a:graphicFrameLocks noChangeAspect="1"/>
                  </wp:cNvGraphicFramePr>
                  <a:graphic>
                    <a:graphicData uri="http://schemas.openxmlformats.org/drawingml/2006/picture">
                      <pic:pic>
                        <pic:nvPicPr>
                          <pic:cNvPr id="0" name="P20_02_source_218.jpg"/>
                          <pic:cNvPicPr/>
                        </pic:nvPicPr>
                        <pic:blipFill>
                          <a:blip r:embed="rId35"/>
                          <a:stretch>
                            <a:fillRect/>
                          </a:stretch>
                        </pic:blipFill>
                        <pic:spPr>
                          <a:xfrm>
                            <a:off x="0" y="0"/>
                            <a:ext cx="2771775" cy="4924520"/>
                          </a:xfrm>
                          <a:prstGeom prst="rect"/>
                        </pic:spPr>
                      </pic:pic>
                    </a:graphicData>
                  </a:graphic>
                </wp:inline>
              </w:drawing>
            </w:r>
          </w:p>
        </w:tc>
      </w:tr>
    </w:tbl>
    <w:p>
      <w:pPr>
        <w:pageBreakBefore w:val="0"/>
        <w:widowControl/>
        <w:spacing w:before="283"/>
      </w:pPr>
      <w:r>
        <w:rPr>
          <w:rFonts w:ascii="Arial" w:hAnsi="Arial" w:eastAsia="Noto Sans CJK KR"/>
          <w:b w:val="0"/>
          <w:sz w:val="20"/>
        </w:rPr>
        <w:t>한편 상세페이지 제작 과정에서는 최종안에 도달하기까지 여러 콘셉트의 초안을 검토하였다. 초기 시안 단계에서는 메시지 강조 방식, 브랜드 감성 표현 수준, 기능 설명의 배치 순서, 캐릭터 노출 비중 등에서 다양한 방향을 시도하였으나, 일부 초안은 제품의 실용성보다 감성적 이미지가 먼저 부각되거나, 반대로 기능 설명이 많아 시각적 흥미가 떨어지는 한계가 있었다. 또한 제품 자체가 국내 소비자에게 생소한 만큼, 브랜드 소개를 지나치게 앞세울 경우 제품의 필요성이 충분히 전달되지 않는 문제도 확인할 수 있었다. 이에 따라 ‘문제 제기 → 해결 제안 → 브랜드 및 캐릭터 소개 → 사용 장면 → 기능 및 호환 안내 → Q&amp;A’의 흐름으로 재정리하여, 소비자가 제품을 이해하고 신뢰하며 선택하는 과정을 보다 자연스럽게 설계하였다. 이와 같이 최종 상세페이지는 기능성과 감성, 브랜드성, 정보 전달성을 균형 있게 결합하려는 방향으로 완성되었다고 볼 수 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4245"/>
        <w:gridCol w:w="4275"/>
      </w:tblGrid>
      <w:tr>
        <w:tc>
          <w:tcPr>
            <w:tcW w:type="dxa" w:w="4520"/>
          </w:tcPr>
          <w:p>
            <w:pPr>
              <w:spacing w:line="240" w:lineRule="auto" w:after="0"/>
            </w:pPr>
            <w:r>
              <w:drawing>
                <wp:inline xmlns:a="http://schemas.openxmlformats.org/drawingml/2006/main" xmlns:pic="http://schemas.openxmlformats.org/drawingml/2006/picture">
                  <wp:extent cx="2695575" cy="4789138"/>
                  <wp:docPr id="27" name="Picture 27"/>
                  <wp:cNvGraphicFramePr>
                    <a:graphicFrameLocks noChangeAspect="1"/>
                  </wp:cNvGraphicFramePr>
                  <a:graphic>
                    <a:graphicData uri="http://schemas.openxmlformats.org/drawingml/2006/picture">
                      <pic:pic>
                        <pic:nvPicPr>
                          <pic:cNvPr id="0" name="P21_01_source_212.jpg"/>
                          <pic:cNvPicPr/>
                        </pic:nvPicPr>
                        <pic:blipFill>
                          <a:blip r:embed="rId36"/>
                          <a:stretch>
                            <a:fillRect/>
                          </a:stretch>
                        </pic:blipFill>
                        <pic:spPr>
                          <a:xfrm>
                            <a:off x="0" y="0"/>
                            <a:ext cx="2695575" cy="4789138"/>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714625" cy="4822984"/>
                  <wp:docPr id="28" name="Picture 28"/>
                  <wp:cNvGraphicFramePr>
                    <a:graphicFrameLocks noChangeAspect="1"/>
                  </wp:cNvGraphicFramePr>
                  <a:graphic>
                    <a:graphicData uri="http://schemas.openxmlformats.org/drawingml/2006/picture">
                      <pic:pic>
                        <pic:nvPicPr>
                          <pic:cNvPr id="0" name="P21_02_source_213.jpg"/>
                          <pic:cNvPicPr/>
                        </pic:nvPicPr>
                        <pic:blipFill>
                          <a:blip r:embed="rId37"/>
                          <a:stretch>
                            <a:fillRect/>
                          </a:stretch>
                        </pic:blipFill>
                        <pic:spPr>
                          <a:xfrm>
                            <a:off x="0" y="0"/>
                            <a:ext cx="2714625" cy="4822984"/>
                          </a:xfrm>
                          <a:prstGeom prst="rect"/>
                        </pic:spPr>
                      </pic:pic>
                    </a:graphicData>
                  </a:graphic>
                </wp:inline>
              </w:drawing>
            </w:r>
          </w:p>
        </w:tc>
      </w:tr>
    </w:tbl>
    <w:p>
      <w:pPr>
        <w:pageBreakBefore w:val="0"/>
        <w:widowControl/>
        <w:spacing w:before="283"/>
      </w:pPr>
      <w:r>
        <w:rPr>
          <w:rFonts w:ascii="Arial" w:hAnsi="Arial" w:eastAsia="Noto Sans CJK KR"/>
          <w:b w:val="0"/>
          <w:sz w:val="20"/>
        </w:rPr>
        <w:t>종합하면, 본 연구팀의 와디즈 상세페이지는 생소한 제품을 국내 소비자에게 효과적으로 소개하기 위해 문제 공감형 서사와 시각 중심 구성을 결합한 형태로 설계되었다. 표지에서는 여름철 라이프스타일 아이템이라는 인상을 강조하고, 중반부에서는 제품의 감성적 매력과 사용 장면을 보여주며, 후반부에서는 기능·호환성·규격·Q&amp;A를 체계적으로 정리함으로써 제품 이해도와 신뢰도를 높이고자 하였다. 다만 실제 펀딩 성과를 고려할 때, 상세페이지 구성만으로 구매 전환을 충분히 끌어내기에는 브랜드 인지도, 가격 인식, 외부 유입 규모 등 추가적인 요인 역시 함께 작용했을 가능성이 있으며, 이는 다음 절의 펀딩 운영 및 결과 분석에서 보다 구체적으로 검토하고자 한다.</w:t>
      </w:r>
    </w:p>
    <w:p>
      <w:pPr>
        <w:pStyle w:val="Heading2"/>
        <w:pageBreakBefore w:val="0"/>
        <w:spacing w:before="0"/>
      </w:pPr>
      <w:r>
        <w:rPr>
          <w:rFonts w:ascii="Arial" w:hAnsi="Arial" w:eastAsia="Noto Sans CJK KR"/>
          <w:b/>
          <w:sz w:val="22"/>
        </w:rPr>
        <w:t>5-2. SNS 마케팅 및 펀딩 운영</w:t>
      </w:r>
    </w:p>
    <w:p>
      <w:pPr>
        <w:pStyle w:val="Heading3"/>
        <w:pageBreakBefore w:val="0"/>
        <w:spacing w:before="244"/>
      </w:pPr>
      <w:r>
        <w:rPr>
          <w:rFonts w:ascii="Arial" w:hAnsi="Arial" w:eastAsia="Noto Sans CJK KR"/>
          <w:b/>
          <w:sz w:val="20"/>
        </w:rPr>
        <w:t>1) 인스타그램 운영 결과</w:t>
      </w:r>
    </w:p>
    <w:p>
      <w:pPr>
        <w:pageBreakBefore w:val="0"/>
        <w:widowControl/>
        <w:spacing w:before="241"/>
      </w:pPr>
      <w:r>
        <w:rPr>
          <w:rFonts w:ascii="Arial" w:hAnsi="Arial" w:eastAsia="Noto Sans CJK KR"/>
          <w:b w:val="0"/>
          <w:sz w:val="20"/>
        </w:rPr>
        <w:t>본 연구팀은 Cup Tie 2 전용 인스타그램 계정(@cuptie2_korea)을 개설하고 펀딩 기간과 병행하여 콘텐츠를 운영하였다. 계정 바이오에 와디즈 펀딩 링크를 삽입하여 방문자가 펀딩 페이지로 자연스럽게 이동할 수 있도록 동선을 구성하였다.</w:t>
      </w:r>
    </w:p>
    <w:p>
      <w:pPr>
        <w:spacing w:line="240" w:lineRule="auto" w:after="0"/>
        <w:ind w:left="30"/>
      </w:pPr>
      <w:r>
        <w:drawing>
          <wp:inline xmlns:a="http://schemas.openxmlformats.org/drawingml/2006/main" xmlns:pic="http://schemas.openxmlformats.org/drawingml/2006/picture">
            <wp:extent cx="5727700" cy="2240448"/>
            <wp:docPr id="29" name="Picture 29"/>
            <wp:cNvGraphicFramePr>
              <a:graphicFrameLocks noChangeAspect="1"/>
            </wp:cNvGraphicFramePr>
            <a:graphic>
              <a:graphicData uri="http://schemas.openxmlformats.org/drawingml/2006/picture">
                <pic:pic>
                  <pic:nvPicPr>
                    <pic:cNvPr id="0" name="M28_01_source_451.jpg"/>
                    <pic:cNvPicPr/>
                  </pic:nvPicPr>
                  <pic:blipFill>
                    <a:blip r:embed="rId38"/>
                    <a:stretch>
                      <a:fillRect/>
                    </a:stretch>
                  </pic:blipFill>
                  <pic:spPr>
                    <a:xfrm>
                      <a:off x="0" y="0"/>
                      <a:ext cx="5727700" cy="2240448"/>
                    </a:xfrm>
                    <a:prstGeom prst="rect"/>
                  </pic:spPr>
                </pic:pic>
              </a:graphicData>
            </a:graphic>
          </wp:inline>
        </w:drawing>
      </w:r>
    </w:p>
    <w:p>
      <w:pPr>
        <w:pageBreakBefore w:val="0"/>
        <w:widowControl/>
        <w:spacing w:before="283"/>
      </w:pPr>
      <w:r>
        <w:rPr>
          <w:rFonts w:ascii="Arial" w:hAnsi="Arial" w:eastAsia="Noto Sans CJK KR"/>
          <w:b w:val="0"/>
          <w:sz w:val="20"/>
        </w:rPr>
        <w:t>운영 결과, 2026년 5월 27일부터 6월 25일까지의 인스타그램 인사이트 기준으로 계정 조회수 3,450회, 콘텐츠 반응 186건, 신규 팔로워 304명, 공유 콘텐츠 수 4건을 기록하였다. 최종 팔로워 수는 약 280명 수준으로 형성되었다. 게시된 게시물은 각각 1,920회, 릴스 두 가지는 각각 1,047회, 435회의 조회수를 기록하며 일정 수준의 유기적 노출을 확보하였다. 이를 통해 와디즈 펀딩 링크 접속을 유도하였고, 42명의 사람들이 펀딩 링크로 접속하였음을 알 수 있었다.</w:t>
      </w:r>
    </w:p>
    <w:p>
      <w:pPr>
        <w:spacing w:line="240" w:lineRule="auto" w:after="0"/>
        <w:ind w:left="30"/>
      </w:pPr>
      <w:r>
        <w:drawing>
          <wp:inline xmlns:a="http://schemas.openxmlformats.org/drawingml/2006/main" xmlns:pic="http://schemas.openxmlformats.org/drawingml/2006/picture">
            <wp:extent cx="4267200" cy="2194271"/>
            <wp:docPr id="30" name="Picture 30"/>
            <wp:cNvGraphicFramePr>
              <a:graphicFrameLocks noChangeAspect="1"/>
            </wp:cNvGraphicFramePr>
            <a:graphic>
              <a:graphicData uri="http://schemas.openxmlformats.org/drawingml/2006/picture">
                <pic:pic>
                  <pic:nvPicPr>
                    <pic:cNvPr id="0" name="M28_02_source_336.jpg"/>
                    <pic:cNvPicPr/>
                  </pic:nvPicPr>
                  <pic:blipFill>
                    <a:blip r:embed="rId39"/>
                    <a:stretch>
                      <a:fillRect/>
                    </a:stretch>
                  </pic:blipFill>
                  <pic:spPr>
                    <a:xfrm>
                      <a:off x="0" y="0"/>
                      <a:ext cx="4267200" cy="2194271"/>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5334000" cy="2126140"/>
            <wp:docPr id="31" name="Picture 31"/>
            <wp:cNvGraphicFramePr>
              <a:graphicFrameLocks noChangeAspect="1"/>
            </wp:cNvGraphicFramePr>
            <a:graphic>
              <a:graphicData uri="http://schemas.openxmlformats.org/drawingml/2006/picture">
                <pic:pic>
                  <pic:nvPicPr>
                    <pic:cNvPr id="0" name="M28_03_source_420.jpg"/>
                    <pic:cNvPicPr/>
                  </pic:nvPicPr>
                  <pic:blipFill>
                    <a:blip r:embed="rId40"/>
                    <a:stretch>
                      <a:fillRect/>
                    </a:stretch>
                  </pic:blipFill>
                  <pic:spPr>
                    <a:xfrm>
                      <a:off x="0" y="0"/>
                      <a:ext cx="5334000" cy="2126140"/>
                    </a:xfrm>
                    <a:prstGeom prst="rect"/>
                  </pic:spPr>
                </pic:pic>
              </a:graphicData>
            </a:graphic>
          </wp:inline>
        </w:drawing>
      </w:r>
    </w:p>
    <w:p>
      <w:pPr>
        <w:spacing w:line="240" w:lineRule="auto" w:after="0"/>
        <w:ind w:left="30"/>
      </w:pPr>
      <w:r>
        <w:drawing>
          <wp:inline xmlns:a="http://schemas.openxmlformats.org/drawingml/2006/main" xmlns:pic="http://schemas.openxmlformats.org/drawingml/2006/picture">
            <wp:extent cx="1971675" cy="1585072"/>
            <wp:docPr id="32" name="Picture 32"/>
            <wp:cNvGraphicFramePr>
              <a:graphicFrameLocks noChangeAspect="1"/>
            </wp:cNvGraphicFramePr>
            <a:graphic>
              <a:graphicData uri="http://schemas.openxmlformats.org/drawingml/2006/picture">
                <pic:pic>
                  <pic:nvPicPr>
                    <pic:cNvPr id="0" name="M29_01_source_155.jpg"/>
                    <pic:cNvPicPr/>
                  </pic:nvPicPr>
                  <pic:blipFill>
                    <a:blip r:embed="rId41"/>
                    <a:stretch>
                      <a:fillRect/>
                    </a:stretch>
                  </pic:blipFill>
                  <pic:spPr>
                    <a:xfrm>
                      <a:off x="0" y="0"/>
                      <a:ext cx="1971675" cy="1585072"/>
                    </a:xfrm>
                    <a:prstGeom prst="rect"/>
                  </pic:spPr>
                </pic:pic>
              </a:graphicData>
            </a:graphic>
          </wp:inline>
        </w:drawing>
      </w:r>
    </w:p>
    <w:p>
      <w:pPr>
        <w:pageBreakBefore w:val="0"/>
        <w:widowControl/>
        <w:spacing w:before="283"/>
      </w:pPr>
      <w:r>
        <w:rPr>
          <w:rFonts w:ascii="Arial" w:hAnsi="Arial" w:eastAsia="Noto Sans CJK KR"/>
          <w:b w:val="0"/>
          <w:sz w:val="20"/>
        </w:rPr>
        <w:t>다만 계정 운영이 펀딩 시작과 거의 동시에 이루어진 탓에 사전 팔로워 기반이 충분히 형성되지 않은 상태였다. 팔로워 284명 규모는 와디즈 외부 유입을 의미 있는 수준으로 이끌어내기에 한계가 있었으며, 이는 펀딩 기간 중 외부 유입 비중이 31.3%에 그친 원인 중 하나로 작용하였다.</w:t>
      </w:r>
    </w:p>
    <w:p>
      <w:pPr>
        <w:pStyle w:val="Heading3"/>
        <w:pageBreakBefore w:val="0"/>
        <w:spacing w:before="241"/>
      </w:pPr>
      <w:r>
        <w:rPr>
          <w:rFonts w:ascii="Arial" w:hAnsi="Arial" w:eastAsia="Noto Sans CJK KR"/>
          <w:b/>
          <w:sz w:val="20"/>
        </w:rPr>
        <w:t>2) 와디즈 새소식 업데이트 운영</w:t>
      </w:r>
    </w:p>
    <w:p>
      <w:pPr>
        <w:pageBreakBefore w:val="0"/>
        <w:widowControl/>
        <w:spacing w:before="241"/>
      </w:pPr>
      <w:r>
        <w:rPr>
          <w:rFonts w:ascii="Arial" w:hAnsi="Arial" w:eastAsia="Noto Sans CJK KR"/>
          <w:b w:val="0"/>
          <w:sz w:val="20"/>
        </w:rPr>
        <w:t>연구팀은 펀딩 기간 중 와디즈 새소식 기능을 활용하여 서포터 및 알림신청자와의 소통을 이어갔다. 주요 새소식 업데이트 내용은 다음과 같다.</w:t>
      </w:r>
    </w:p>
    <w:p>
      <w:pPr>
        <w:pageBreakBefore w:val="0"/>
        <w:widowControl/>
        <w:spacing w:before="241"/>
      </w:pPr>
      <w:r>
        <w:rPr>
          <w:rFonts w:ascii="Arial" w:hAnsi="Arial" w:eastAsia="Noto Sans CJK KR"/>
          <w:b w:val="0"/>
          <w:sz w:val="20"/>
        </w:rPr>
        <w:t>[목표금액 100만원 달성 이벤트 안내] – 2026년 6월 3일</w:t>
      </w:r>
    </w:p>
    <w:p>
      <w:pPr>
        <w:pageBreakBefore w:val="0"/>
        <w:widowControl/>
        <w:spacing w:before="241"/>
      </w:pPr>
      <w:r>
        <w:rPr>
          <w:rFonts w:ascii="Arial" w:hAnsi="Arial" w:eastAsia="Noto Sans CJK KR"/>
          <w:b w:val="0"/>
          <w:sz w:val="20"/>
        </w:rPr>
        <w:t>연구팀은 펀딩 초반 관심을 확인한 이후 서포터들의 참여 동기를 높이기 위한 이벤트를 기획하고 새소식을 통해 공지하였다. 목표금액 100만원 달성 시 펀딩에 참여한 서포터를 대상으로 추첨을 통해 Cup Tie 2 추가 증정(1명), 스타벅스 아메리카노 기프티콘(5명)을 경품으로 제공하는 이벤트를 안내하였다. 당첨자 발표는 프로젝트 종료 후 새소식을 통해 진행하겠다는 내용도 함께 공지하였다. 이 이벤트는 서포터들이 주변에 펀딩을 자발적으로 공유하도록 유도하기 위한 목적으로 기획되었으나, 목표금액 달성에 이르지 못하여 실제 이벤트 진행으로는 이어지지 않았다.</w:t>
      </w:r>
    </w:p>
    <w:p>
      <w:pPr>
        <w:spacing w:line="240" w:lineRule="auto" w:after="0"/>
        <w:ind w:left="30"/>
      </w:pPr>
      <w:r>
        <w:drawing>
          <wp:inline xmlns:a="http://schemas.openxmlformats.org/drawingml/2006/main" xmlns:pic="http://schemas.openxmlformats.org/drawingml/2006/picture">
            <wp:extent cx="3695700" cy="3162741"/>
            <wp:docPr id="33" name="Picture 33"/>
            <wp:cNvGraphicFramePr>
              <a:graphicFrameLocks noChangeAspect="1"/>
            </wp:cNvGraphicFramePr>
            <a:graphic>
              <a:graphicData uri="http://schemas.openxmlformats.org/drawingml/2006/picture">
                <pic:pic>
                  <pic:nvPicPr>
                    <pic:cNvPr id="0" name="M29_02_source_291.jpg"/>
                    <pic:cNvPicPr/>
                  </pic:nvPicPr>
                  <pic:blipFill>
                    <a:blip r:embed="rId42"/>
                    <a:stretch>
                      <a:fillRect/>
                    </a:stretch>
                  </pic:blipFill>
                  <pic:spPr>
                    <a:xfrm>
                      <a:off x="0" y="0"/>
                      <a:ext cx="3695700" cy="3162741"/>
                    </a:xfrm>
                    <a:prstGeom prst="rect"/>
                  </pic:spPr>
                </pic:pic>
              </a:graphicData>
            </a:graphic>
          </wp:inline>
        </w:drawing>
      </w:r>
    </w:p>
    <w:p>
      <w:pPr>
        <w:pageBreakBefore w:val="0"/>
        <w:widowControl/>
        <w:spacing w:before="283"/>
      </w:pPr>
      <w:r>
        <w:rPr>
          <w:rFonts w:ascii="Arial" w:hAnsi="Arial" w:eastAsia="Noto Sans CJK KR"/>
          <w:b w:val="0"/>
          <w:sz w:val="20"/>
        </w:rPr>
        <w:t>전반적으로 와디즈 새소식 업데이트는 서포터와의 소통 창구로서 기능하였으나, 업데이트 횟수와 콘텐츠 다양성 측면에서 소비자의 지속적인 관심을 유지하기에는 충분하지 않았다. 향후에는 펀딩 기간 중 정기적인 새소식 업데이트, 사용 후기 공유, Q&amp;A 대응 등을 통해 프로젝트의 활기를 유지하는 것이 중요한 개선 과제로 남는다.</w:t>
      </w:r>
    </w:p>
    <w:p>
      <w:pPr>
        <w:pStyle w:val="Heading2"/>
        <w:pageBreakBefore w:val="0"/>
        <w:spacing w:before="0"/>
      </w:pPr>
      <w:r>
        <w:rPr>
          <w:rFonts w:ascii="Arial" w:hAnsi="Arial" w:eastAsia="Noto Sans CJK KR"/>
          <w:b/>
          <w:sz w:val="22"/>
        </w:rPr>
        <w:t>5-3. 펀딩 결과 분석</w:t>
      </w:r>
    </w:p>
    <w:p>
      <w:pPr>
        <w:pageBreakBefore w:val="0"/>
        <w:widowControl/>
        <w:spacing w:before="244"/>
      </w:pPr>
      <w:r>
        <w:rPr>
          <w:rFonts w:ascii="Arial" w:hAnsi="Arial" w:eastAsia="Noto Sans CJK KR"/>
          <w:b w:val="0"/>
          <w:sz w:val="20"/>
        </w:rPr>
        <w:t>본 연구팀이 진행한 와디즈 펀딩 캠페인은 2026년 6월 27일 기준 누적 예약결제액 437,900원을 기록하였으며, 목표 금액 대비 달성률은 8%로 나타났다. 누적 예약결제 수는 총 7건이었고, 평균 객단가는 62,557원으로 집계되었다. 프로젝트는 목표 금액을 달성하지는 못했으나, 전체 유입자 수 547명을 확보하였다는 점에서 Cup Tie 2에 대한 한국 소비자의 초기 노출과 관심 수준을 확인할 수 있었다. 특히 이번 펀딩은 판매 성과 자체보다도 방문자 유입, 예약결제 전환, 고객 특성, 유입 경로별 반응을 확인하는 시장 테스트의 성격이 강했다는 점에서 의미가 있다.</w:t>
      </w:r>
    </w:p>
    <w:p>
      <w:pPr>
        <w:spacing w:line="240" w:lineRule="auto" w:after="0"/>
        <w:ind w:left="30"/>
      </w:pPr>
      <w:r>
        <w:drawing>
          <wp:inline xmlns:a="http://schemas.openxmlformats.org/drawingml/2006/main" xmlns:pic="http://schemas.openxmlformats.org/drawingml/2006/picture">
            <wp:extent cx="5727700" cy="2745850"/>
            <wp:docPr id="34" name="Picture 34"/>
            <wp:cNvGraphicFramePr>
              <a:graphicFrameLocks noChangeAspect="1"/>
            </wp:cNvGraphicFramePr>
            <a:graphic>
              <a:graphicData uri="http://schemas.openxmlformats.org/drawingml/2006/picture">
                <pic:pic>
                  <pic:nvPicPr>
                    <pic:cNvPr id="0" name="M30_01_source_451.jpg"/>
                    <pic:cNvPicPr/>
                  </pic:nvPicPr>
                  <pic:blipFill>
                    <a:blip r:embed="rId43"/>
                    <a:stretch>
                      <a:fillRect/>
                    </a:stretch>
                  </pic:blipFill>
                  <pic:spPr>
                    <a:xfrm>
                      <a:off x="0" y="0"/>
                      <a:ext cx="5727700" cy="2745850"/>
                    </a:xfrm>
                    <a:prstGeom prst="rect"/>
                  </pic:spPr>
                </pic:pic>
              </a:graphicData>
            </a:graphic>
          </wp:inline>
        </w:drawing>
      </w:r>
    </w:p>
    <w:p>
      <w:pPr>
        <w:pageBreakBefore w:val="0"/>
        <w:widowControl/>
        <w:spacing w:before="283"/>
      </w:pPr>
      <w:r>
        <w:rPr>
          <w:rFonts w:ascii="Arial" w:hAnsi="Arial" w:eastAsia="Noto Sans CJK KR"/>
          <w:b w:val="0"/>
          <w:sz w:val="20"/>
        </w:rPr>
        <w:t>전체 성과를 전환 관점에서 살펴보면, 유입자 547명 중 실제 예약결제로 이어진 건수는 7건이었다. 이를 기준으로 단순 계산한 방문자 대비 예약결제 전환율은 약 1.3% 수준이다. 즉, 프로젝트 페이지까지 유입된 소비자 중 일부는 제품에 관심을 보였으나, 실제 예약결제 단계까지 이어진 비율은 낮게 나타났다. 이는 Cup Tie 2가 국내 소비자에게 생소한 제품군이었고, Bone Collection이라는 브랜드 역시 한국 시장에서 인지도가 충분히 형성되지 않은 상태였기 때문에, 제품에 대한 호기심이 즉각적인 구매 행동으로 전환되는 데 한계가 있었음을 보여준다. 다만 평균 객단가가 62,557원으로 나타났다는 점은 예약참여자들이 단품 1개 구매에 그치기보다 세트 구성이나 복수 구매 형태로 참여했을 가능성을 보여준다.</w:t>
      </w:r>
    </w:p>
    <w:p>
      <w:pPr>
        <w:pageBreakBefore w:val="0"/>
        <w:widowControl/>
        <w:spacing w:before="241"/>
      </w:pPr>
      <w:r>
        <w:rPr>
          <w:rFonts w:ascii="Arial" w:hAnsi="Arial" w:eastAsia="Noto Sans CJK KR"/>
          <w:b w:val="0"/>
          <w:sz w:val="20"/>
        </w:rPr>
        <w:t>유입 구조를 보면 전체 유입자 547명 중 와디즈 내부 탐색 비중은 68.7%, 와디즈 외부 유입 비중은 31.3%로 나타났다. 이는 프로젝트 방문자의 상당수가 와디즈 플랫폼 내부에서 발생했음을 의미한다. 와디즈 내부 유입 비중이 높다는 것은 플랫폼 자체 노출을 통해 일정 수준의 방문자를 확보했다는 점에서는 긍정적이다. 그러나 외부 유입 비중이 31.3%에 그쳤다는 점은 SNS, 외부 광고, 지인 공유, 검색 등 플랫폼 외부에서의 확산 효과가 제한적이었다는 점도 함께 보여준다. 크라우드펀딩은 프로젝트 초반 외부 유입과 사전 관심 확보가 성과에 큰 영향을 미치기 때문에, 이번 캠페인은 와디즈 내부 노출에 대한 의존도가 상대적으로 높았던 것으로 해석할 수 있다.</w:t>
      </w:r>
    </w:p>
    <w:p>
      <w:pPr>
        <w:pageBreakBefore w:val="0"/>
        <w:widowControl/>
        <w:spacing w:before="241"/>
      </w:pPr>
      <w:r>
        <w:rPr>
          <w:rFonts w:ascii="Arial" w:hAnsi="Arial" w:eastAsia="Noto Sans CJK KR"/>
          <w:b w:val="0"/>
          <w:sz w:val="20"/>
        </w:rPr>
        <w:t>유입 추이를 일별로 살펴보면, 알림신청자 발생은 프로젝트 초반인 5월 18일과 5월 19일에 집중되는 양상을 보였다. 이후 5월 20일 이후부터는 대부분의 유입 경로에서 알림신청 발생이 급격히 감소하였다. 이는 펀딩 초반 노출과 관심 형성이 비교적 중요하게 작용했으나, 시간이 지날수록 추가적인 관심 유입을 지속적으로 만들어내는 데에는 한계가 있었음을 보여준다. 따라서 이번 캠페인의 유입 흐름은 초반 집중형 구조를 보였으며, 펀딩 기간 전반에 걸쳐 일정한 관심을 유지하는 확산형 구조로 이어지지 못했다고 볼 수 있다.</w:t>
      </w:r>
    </w:p>
    <w:p>
      <w:pPr>
        <w:spacing w:line="240" w:lineRule="auto" w:after="0"/>
        <w:ind w:left="30"/>
      </w:pPr>
      <w:r>
        <w:drawing>
          <wp:inline xmlns:a="http://schemas.openxmlformats.org/drawingml/2006/main" xmlns:pic="http://schemas.openxmlformats.org/drawingml/2006/picture">
            <wp:extent cx="5553075" cy="3324465"/>
            <wp:docPr id="35" name="Picture 35"/>
            <wp:cNvGraphicFramePr>
              <a:graphicFrameLocks noChangeAspect="1"/>
            </wp:cNvGraphicFramePr>
            <a:graphic>
              <a:graphicData uri="http://schemas.openxmlformats.org/drawingml/2006/picture">
                <pic:pic>
                  <pic:nvPicPr>
                    <pic:cNvPr id="0" name="M31_01_source_437.jpg"/>
                    <pic:cNvPicPr/>
                  </pic:nvPicPr>
                  <pic:blipFill>
                    <a:blip r:embed="rId44"/>
                    <a:stretch>
                      <a:fillRect/>
                    </a:stretch>
                  </pic:blipFill>
                  <pic:spPr>
                    <a:xfrm>
                      <a:off x="0" y="0"/>
                      <a:ext cx="5553075" cy="3324465"/>
                    </a:xfrm>
                    <a:prstGeom prst="rect"/>
                  </pic:spPr>
                </pic:pic>
              </a:graphicData>
            </a:graphic>
          </wp:inline>
        </w:drawing>
      </w:r>
    </w:p>
    <w:p>
      <w:pPr>
        <w:pageBreakBefore w:val="0"/>
        <w:widowControl/>
        <w:spacing w:before="283"/>
      </w:pPr>
      <w:r>
        <w:rPr>
          <w:rFonts w:ascii="Arial" w:hAnsi="Arial" w:eastAsia="Noto Sans CJK KR"/>
          <w:b w:val="0"/>
          <w:sz w:val="20"/>
        </w:rPr>
        <w:t>유입 경로별 예약결제 및 행동 데이터를 보면, 예약결제 성과는 특정 경로에 집중되어 나타났다. ‘오픈 알림 신청’ 경로는 방문자 수 40명으로 규모는 크지 않았지만, 누적 예약결제액 286,300원, 평균 예약결제액 95,433원, 예약결제 전환율 7.5%를 기록하였다. 전체 예약참여자 중 42.9%가 해당 경로에서 발생했다는 점에서, 사전에 관심을 보인 소비자가 실제 예약결제로 이어질 가능성이 상대적으로 높다는 점을 확인할 수 있다. 반면 ‘와디즈 직접 유입’은 방문자 수 534명으로 가장 큰 유입 규모를 보였으나, 예약결제 전환율은 0.2%에 그쳤다. 이는 단순 방문 규모가 크다고 해서 반드시 구매 성과로 이어지는 것은 아니며, 사전 관심도와 구매 의향이 형성된 유입의 질이 더 중요할 수 있음을 보여준다.</w:t>
      </w:r>
    </w:p>
    <w:p>
      <w:pPr>
        <w:spacing w:line="240" w:lineRule="auto" w:after="0"/>
        <w:ind w:left="30"/>
      </w:pPr>
      <w:r>
        <w:drawing>
          <wp:inline xmlns:a="http://schemas.openxmlformats.org/drawingml/2006/main" xmlns:pic="http://schemas.openxmlformats.org/drawingml/2006/picture">
            <wp:extent cx="5727700" cy="2762210"/>
            <wp:docPr id="36" name="Picture 36"/>
            <wp:cNvGraphicFramePr>
              <a:graphicFrameLocks noChangeAspect="1"/>
            </wp:cNvGraphicFramePr>
            <a:graphic>
              <a:graphicData uri="http://schemas.openxmlformats.org/drawingml/2006/picture">
                <pic:pic>
                  <pic:nvPicPr>
                    <pic:cNvPr id="0" name="M31_02_source_451.jpg"/>
                    <pic:cNvPicPr/>
                  </pic:nvPicPr>
                  <pic:blipFill>
                    <a:blip r:embed="rId45"/>
                    <a:stretch>
                      <a:fillRect/>
                    </a:stretch>
                  </pic:blipFill>
                  <pic:spPr>
                    <a:xfrm>
                      <a:off x="0" y="0"/>
                      <a:ext cx="5727700" cy="2762210"/>
                    </a:xfrm>
                    <a:prstGeom prst="rect"/>
                  </pic:spPr>
                </pic:pic>
              </a:graphicData>
            </a:graphic>
          </wp:inline>
        </w:drawing>
      </w:r>
    </w:p>
    <w:p>
      <w:pPr>
        <w:pageBreakBefore w:val="0"/>
        <w:widowControl/>
        <w:spacing w:before="283"/>
      </w:pPr>
      <w:r>
        <w:rPr>
          <w:rFonts w:ascii="Arial" w:hAnsi="Arial" w:eastAsia="Noto Sans CJK KR"/>
          <w:b w:val="0"/>
          <w:sz w:val="20"/>
        </w:rPr>
        <w:t>그 외 경로에서는 카카오 광고가 방문자 수 15명, 예약결제 전환율 6.7%, 누적 예약결제액 52,900원을 기록하였고, 와디즈 앱 메인 팝업 광고는 방문자 수 17명, 예약결제 전환율 5.9%, 누적 예약결제액 28,900원을 기록하였다. 와디즈 공유하기 경로는 방문자 수 76명으로 비교적 높은 유입을 만들었으나 예약결제 전환율은 1.3%로 나타났다. 한편 메타 광고, 와디즈 배너, 와디즈 문자 광고, mkt_fb_insta_catalog/cpc 등 일부 경로는 방문자는 발생했지만 실제 예약결제액은 발생하지 않았다. 이를 통해 이번 캠페인에서는 단순 노출형 유입보다 사전 관심 기반 유입이나 특정 광고 접점에서 발생한 소규모 유입이 상대적으로 높은 전환</w:t>
      </w:r>
    </w:p>
    <w:p>
      <w:pPr>
        <w:pageBreakBefore w:val="0"/>
        <w:widowControl/>
        <w:spacing w:before="0"/>
      </w:pPr>
      <w:r>
        <w:rPr>
          <w:rFonts w:ascii="Arial" w:hAnsi="Arial" w:eastAsia="Noto Sans CJK KR"/>
          <w:b w:val="0"/>
          <w:sz w:val="20"/>
        </w:rPr>
        <w:t>효율을 보였음을 확인할 수 있다. 다만 유입 경로별 방문자 수는 각 경로 기준으로 집계되는 값이므로, 전체 유입자 수와 단순 합산하여 해석하기보다는 경로별 상대적 효율을 비교하는 자료로 활용하는 것이 적절하다.</w:t>
      </w:r>
    </w:p>
    <w:p>
      <w:pPr>
        <w:pageBreakBefore w:val="0"/>
        <w:widowControl/>
        <w:spacing w:before="241"/>
      </w:pPr>
      <w:r>
        <w:rPr>
          <w:rFonts w:ascii="Arial" w:hAnsi="Arial" w:eastAsia="Noto Sans CJK KR"/>
          <w:b w:val="0"/>
          <w:sz w:val="20"/>
        </w:rPr>
        <w:t>고객 특성을 살펴보면 알림신청자 기준 여성 비중은 58.4%, 남성 비중은 41.6%로 나타났다. 여성 비중이 상대적으로 높게 나타난 것은 Cup Tie 2의 귀여운 캐릭터 디자인, 감성적 상세페이지 구성, 선물용 가능성 등이 여성 소비자에게 비교적 더 직관적으로 전달되었기 때문으로 해석할 수 있다. 그러나 남성 비중 역시 40%를 넘었다는 점에서, 해당 제품이 특정 성별에만 한정되는 상품이라기보다는 음료 휴대 편의성을 제공하는 생활 액세서리로 일정한 범용성을 가질 수 있음을 보여준다.</w:t>
      </w:r>
    </w:p>
    <w:p>
      <w:pPr>
        <w:pageBreakBefore w:val="0"/>
        <w:widowControl/>
        <w:spacing w:before="241"/>
      </w:pPr>
      <w:r>
        <w:rPr>
          <w:rFonts w:ascii="Arial" w:hAnsi="Arial" w:eastAsia="Noto Sans CJK KR"/>
          <w:b w:val="0"/>
          <w:sz w:val="20"/>
        </w:rPr>
        <w:t>연령대별로는 35~44세와 45~54세 구간에서 상대적으로 높은 관심이 확인되었다. 이는 본 연구팀이 사전 기획 단계에서 설정했던 20~30대 MZ세대 중심 타겟과는 다소 차이가 있는 결과이다. 상세페이지에서는 ‘대만 MZ 감성’, ‘귀여운 캐릭터’, ‘여름철 라이프스타일 아이템’이라는 이미지를 강조했지만, 실제 데이터에서는 35~54세 연령층의 반응이 두드러졌다. 이는 Cup Tie 2가 젊은 층의 감성 소품으로만 받아들여진 것이 아니라, 카페 이용, 산책, 여행, 외출 등 일상적 상황에서 손을 자유롭게 해주는 실용 제품으로도 인식되었을 가능성을 보여준다. 따라서 이번 데이터는 제품에 대한 관심층이 초기 예상보다 넓게 형성될 수 있음을 보여주는 자료라고 할 수 있다.</w:t>
      </w:r>
    </w:p>
    <w:p>
      <w:pPr>
        <w:spacing w:line="240" w:lineRule="auto" w:after="0"/>
        <w:ind w:left="30"/>
      </w:pPr>
      <w:r>
        <w:drawing>
          <wp:inline xmlns:a="http://schemas.openxmlformats.org/drawingml/2006/main" xmlns:pic="http://schemas.openxmlformats.org/drawingml/2006/picture">
            <wp:extent cx="5727700" cy="3043079"/>
            <wp:docPr id="37" name="Picture 37"/>
            <wp:cNvGraphicFramePr>
              <a:graphicFrameLocks noChangeAspect="1"/>
            </wp:cNvGraphicFramePr>
            <a:graphic>
              <a:graphicData uri="http://schemas.openxmlformats.org/drawingml/2006/picture">
                <pic:pic>
                  <pic:nvPicPr>
                    <pic:cNvPr id="0" name="M32_01_source_451.jpg"/>
                    <pic:cNvPicPr/>
                  </pic:nvPicPr>
                  <pic:blipFill>
                    <a:blip r:embed="rId46"/>
                    <a:stretch>
                      <a:fillRect/>
                    </a:stretch>
                  </pic:blipFill>
                  <pic:spPr>
                    <a:xfrm>
                      <a:off x="0" y="0"/>
                      <a:ext cx="5727700" cy="3043079"/>
                    </a:xfrm>
                    <a:prstGeom prst="rect"/>
                  </pic:spPr>
                </pic:pic>
              </a:graphicData>
            </a:graphic>
          </wp:inline>
        </w:drawing>
      </w:r>
    </w:p>
    <w:p>
      <w:pPr>
        <w:pageBreakBefore w:val="0"/>
        <w:widowControl/>
        <w:spacing w:before="283"/>
      </w:pPr>
      <w:r>
        <w:rPr>
          <w:rFonts w:ascii="Arial" w:hAnsi="Arial" w:eastAsia="Noto Sans CJK KR"/>
          <w:b w:val="0"/>
          <w:sz w:val="20"/>
        </w:rPr>
        <w:t>또한 알림신청자 데이터에서 팔로워 비중은 5.1%에 그쳤다. 이는 프로젝트에 관심을 보인 소비자 대부분이 기존 브랜드 팬이나 기존 팔로워가 아니라, 이번 펀딩을 통해 새롭게 유입된 소비자였음을 의미한다. 이러한 결과는 Bone Collection의 국내 브랜드 기반이 아직 약하다는 점을 보여주는 동시에, 와디즈 내 노출을 통해 신규 소비자를 유입시키는 데에는 일정한 효과가 있었음을 보여준다. 다만 기존 팬층이나 충성 고객 기반이 거의 없는 상태였기 때문에, 제품 신뢰도와 구매 확신을 형성하는 데에는 추가적인 설득 과정이 필요했을 것으로 판단된다.</w:t>
      </w:r>
    </w:p>
    <w:p>
      <w:pPr>
        <w:pageBreakBefore w:val="0"/>
        <w:widowControl/>
        <w:spacing w:before="241"/>
      </w:pPr>
      <w:r>
        <w:rPr>
          <w:rFonts w:ascii="Arial" w:hAnsi="Arial" w:eastAsia="Noto Sans CJK KR"/>
          <w:b w:val="0"/>
          <w:sz w:val="20"/>
        </w:rPr>
        <w:t>프로젝트 참여도 측면에서는 응원·의견·체험리뷰가 0건, 새소식 댓글이 0건, 앵콜 요청 서포터 수가 0명으로 나타났다. 지지서명 참여자는 7명으로 실제 예약결제 수와 동일하게 집계되었다. 이는 예약참여자 외의 소비자 참여나 커뮤니티 반응이 활발하게 형성되지는 못했음을 보여준다. 와디즈 펀딩에서는 댓글, 응원, 체험 리뷰, 새소식 반응 등이 프로젝트의 신뢰도와 활기를 보여주는 요소로 작용할 수 있는데, 이번 캠페인에서는 이러한 상호작용 지표가 낮게 나타났다. 따라서 제품 페이지 방문과 예약결제는 일부 발생했으나, 소비자들이 프로젝트에 적극적으로 의견을 남기거나 주변에 확산시키는 수준의 참여까지는 이어지지 않았다고 볼 수 있다.</w:t>
      </w:r>
    </w:p>
    <w:p>
      <w:pPr>
        <w:pageBreakBefore w:val="0"/>
        <w:widowControl/>
        <w:spacing w:before="0"/>
      </w:pPr>
      <w:r>
        <w:rPr>
          <w:rFonts w:ascii="Arial" w:hAnsi="Arial" w:eastAsia="Noto Sans CJK KR"/>
          <w:b w:val="0"/>
          <w:sz w:val="20"/>
        </w:rPr>
        <w:t>종합하면, 이번 와디즈 펀딩은 목표 금액 달성에는 실패했지만, 수치상으로는 한국 시장에서 Cup Tie 2에 대한 초기 관심과 구매 전환의 한계를 동시에 확인한 사례였다. 전체 유입자 547명, 누적 예약결제액 437,900원, 예약결제 수 7건, 달성률 8%라는 결과는 판매 성과 측면에서는 제한적이었으나, 유입 경로별 전환율과 고객 특성 분석을 통해 의미 있는 데이터를 제공하였다. 특히 오픈 알림 신청 경로의 전환율이 높게 나타난 반면, 와디즈 직접 유입은 방문자 수가 많았음에도 전환율이 낮았다는 점은 유입 규모와 구매 전환력이 반드시 일치하지 않는다는 점을 보여준다. 또한 여성 소비자와 35~54세 연령층의 관심이 상대적으로 높게 나타났다는 점은 향후 종합 분석 및 전략적 제언에서 타겟 소비자와 마케팅 방향을 재검토하는 데 중요한 기초 자료로 활용될 수 있다.</w:t>
      </w:r>
    </w:p>
    <w:p>
      <w:pPr>
        <w:pStyle w:val="Heading2"/>
        <w:pageBreakBefore w:val="0"/>
        <w:spacing w:before="160"/>
      </w:pPr>
      <w:r>
        <w:rPr>
          <w:rFonts w:ascii="Arial" w:hAnsi="Arial" w:eastAsia="Noto Sans CJK KR"/>
          <w:b/>
          <w:sz w:val="22"/>
        </w:rPr>
        <w:t>5-4. 공급조건과 비용 구조를 반영한 수입 실행 가능성</w:t>
      </w:r>
    </w:p>
    <w:p>
      <w:pPr>
        <w:pStyle w:val="Heading3"/>
        <w:pageBreakBefore w:val="0"/>
        <w:spacing w:before="160"/>
      </w:pPr>
      <w:r>
        <w:rPr>
          <w:rFonts w:ascii="Arial" w:hAnsi="Arial" w:eastAsia="Noto Sans CJK KR"/>
          <w:b/>
          <w:sz w:val="20"/>
        </w:rPr>
        <w:t>1) 공급단가와 국제운송비를 함께 고려한 가격 경쟁력</w:t>
      </w:r>
    </w:p>
    <w:p>
      <w:pPr>
        <w:pageBreakBefore w:val="0"/>
        <w:spacing w:before="180"/>
      </w:pPr>
      <w:r>
        <w:rPr>
          <w:rFonts w:ascii="Arial" w:hAnsi="Arial" w:eastAsia="Noto Sans CJK KR"/>
          <w:b w:val="0"/>
          <w:sz w:val="20"/>
        </w:rPr>
        <w:t>앞서 살펴본 펀딩 결과는 Cup Tie 2가 국내 소비자의 관심을 일부 확보했으나, 예약 참여를 충분히 이끌어내지는 못했음을 보여준다. 이를 실제 수입·판매의 관점에서 평가하려면 마케팅 성과와 함께 제품을 확보하고 배송하는 데 필요한 비용을 검토해야 한다. 특히 공급가격은 주문량에 따라 낮아지지만, 적은 물량에 국제운송비와 국내 배송비가 배분되면 최종 판매가격을 낮추기 어려워진다.</w:t>
      </w:r>
    </w:p>
    <w:p>
      <w:pPr>
        <w:pageBreakBefore w:val="0"/>
        <w:spacing w:before="180"/>
      </w:pPr>
      <w:r>
        <w:rPr>
          <w:rFonts w:ascii="Arial" w:hAnsi="Arial" w:eastAsia="Noto Sans CJK KR"/>
          <w:b w:val="0"/>
          <w:sz w:val="20"/>
        </w:rPr>
        <w:t>본사 제시 조건에 따르면 308개 주문 시 제품 단가는 3.8달러, DDP 기준 운송 견적은 총 210달러였다. 달러당 1,462원을 적용하면 제품 대금과 국제운송비는 총 2,018,145원이며, 제품당 도착원가는 약 6,552원이다. 여기에 국내 배송과 포장, 플랫폼 비용을 더해야 국내 소비자에게 판매할 수 있다.</w:t>
      </w:r>
    </w:p>
    <w:p>
      <w:pPr>
        <w:pStyle w:val="Heading3"/>
        <w:pageBreakBefore w:val="0"/>
        <w:spacing w:before="160"/>
      </w:pPr>
      <w:r>
        <w:rPr>
          <w:rFonts w:ascii="Arial" w:hAnsi="Arial" w:eastAsia="Noto Sans CJK KR"/>
          <w:b/>
          <w:sz w:val="20"/>
        </w:rPr>
        <w:t>표. 발주 수량별 제품 대금과 국제운송비</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항목</w:t>
            </w:r>
          </w:p>
        </w:tc>
        <w:tc>
          <w:tcPr>
            <w:tcW w:type="dxa" w:w="3007"/>
            <w:shd w:fill="222222"/>
          </w:tcPr>
          <w:p>
            <w:pPr>
              <w:keepNext/>
              <w:spacing w:line="230" w:lineRule="exact" w:before="60" w:after="60"/>
            </w:pPr>
            <w:r>
              <w:rPr>
                <w:rFonts w:ascii="Arial" w:hAnsi="Arial" w:eastAsia="Noto Sans CJK KR"/>
                <w:b/>
                <w:color w:val="FFFFFF"/>
                <w:sz w:val="18"/>
              </w:rPr>
              <w:t>308개 발주</w:t>
            </w:r>
          </w:p>
        </w:tc>
        <w:tc>
          <w:tcPr>
            <w:tcW w:type="dxa" w:w="3007"/>
            <w:shd w:fill="222222"/>
          </w:tcPr>
          <w:p>
            <w:pPr>
              <w:keepNext/>
              <w:spacing w:line="230" w:lineRule="exact" w:before="60" w:after="60"/>
            </w:pPr>
            <w:r>
              <w:rPr>
                <w:rFonts w:ascii="Arial" w:hAnsi="Arial" w:eastAsia="Noto Sans CJK KR"/>
                <w:b/>
                <w:color w:val="FFFFFF"/>
                <w:sz w:val="18"/>
              </w:rPr>
              <w:t>528개 발주</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제품 단가</w:t>
            </w:r>
          </w:p>
        </w:tc>
        <w:tc>
          <w:tcPr>
            <w:tcW w:type="dxa" w:w="3007"/>
            <w:shd w:fill="FFFFFF"/>
          </w:tcPr>
          <w:p>
            <w:pPr>
              <w:keepNext/>
              <w:spacing w:line="230" w:lineRule="exact" w:before="60" w:after="60"/>
            </w:pPr>
            <w:r>
              <w:rPr>
                <w:rFonts w:ascii="Arial" w:hAnsi="Arial" w:eastAsia="Noto Sans CJK KR"/>
                <w:b w:val="0"/>
                <w:color w:val="000000"/>
                <w:sz w:val="18"/>
              </w:rPr>
              <w:t>3.8달러</w:t>
            </w:r>
          </w:p>
        </w:tc>
        <w:tc>
          <w:tcPr>
            <w:tcW w:type="dxa" w:w="3007"/>
            <w:shd w:fill="FFFFFF"/>
          </w:tcPr>
          <w:p>
            <w:pPr>
              <w:keepNext/>
              <w:spacing w:line="230" w:lineRule="exact" w:before="60" w:after="60"/>
            </w:pPr>
            <w:r>
              <w:rPr>
                <w:rFonts w:ascii="Arial" w:hAnsi="Arial" w:eastAsia="Noto Sans CJK KR"/>
                <w:b w:val="0"/>
                <w:color w:val="000000"/>
                <w:sz w:val="18"/>
              </w:rPr>
              <w:t>3.5달러</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제품 대금</w:t>
            </w:r>
          </w:p>
        </w:tc>
        <w:tc>
          <w:tcPr>
            <w:tcW w:type="dxa" w:w="3007"/>
            <w:shd w:fill="F4F4F4"/>
          </w:tcPr>
          <w:p>
            <w:pPr>
              <w:keepNext/>
              <w:spacing w:line="230" w:lineRule="exact" w:before="60" w:after="60"/>
            </w:pPr>
            <w:r>
              <w:rPr>
                <w:rFonts w:ascii="Arial" w:hAnsi="Arial" w:eastAsia="Noto Sans CJK KR"/>
                <w:b w:val="0"/>
                <w:color w:val="000000"/>
                <w:sz w:val="18"/>
              </w:rPr>
              <w:t>1,711,125원</w:t>
            </w:r>
          </w:p>
        </w:tc>
        <w:tc>
          <w:tcPr>
            <w:tcW w:type="dxa" w:w="3007"/>
            <w:shd w:fill="F4F4F4"/>
          </w:tcPr>
          <w:p>
            <w:pPr>
              <w:keepNext/>
              <w:spacing w:line="230" w:lineRule="exact" w:before="60" w:after="60"/>
            </w:pPr>
            <w:r>
              <w:rPr>
                <w:rFonts w:ascii="Arial" w:hAnsi="Arial" w:eastAsia="Noto Sans CJK KR"/>
                <w:b w:val="0"/>
                <w:color w:val="000000"/>
                <w:sz w:val="18"/>
              </w:rPr>
              <w:t>2,701,776원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국제운송 견적</w:t>
            </w:r>
          </w:p>
        </w:tc>
        <w:tc>
          <w:tcPr>
            <w:tcW w:type="dxa" w:w="3007"/>
            <w:shd w:fill="FFFFFF"/>
          </w:tcPr>
          <w:p>
            <w:pPr>
              <w:keepNext/>
              <w:spacing w:line="230" w:lineRule="exact" w:before="60" w:after="60"/>
            </w:pPr>
            <w:r>
              <w:rPr>
                <w:rFonts w:ascii="Arial" w:hAnsi="Arial" w:eastAsia="Noto Sans CJK KR"/>
                <w:b w:val="0"/>
                <w:color w:val="000000"/>
                <w:sz w:val="18"/>
              </w:rPr>
              <w:t>307,020원</w:t>
            </w:r>
          </w:p>
        </w:tc>
        <w:tc>
          <w:tcPr>
            <w:tcW w:type="dxa" w:w="3007"/>
            <w:shd w:fill="FFFFFF"/>
          </w:tcPr>
          <w:p>
            <w:pPr>
              <w:keepNext/>
              <w:spacing w:line="230" w:lineRule="exact" w:before="60" w:after="60"/>
            </w:pPr>
            <w:r>
              <w:rPr>
                <w:rFonts w:ascii="Arial" w:hAnsi="Arial" w:eastAsia="Noto Sans CJK KR"/>
                <w:b w:val="0"/>
                <w:color w:val="000000"/>
                <w:sz w:val="18"/>
              </w:rPr>
              <w:t>771,936원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합계</w:t>
            </w:r>
          </w:p>
        </w:tc>
        <w:tc>
          <w:tcPr>
            <w:tcW w:type="dxa" w:w="3007"/>
            <w:shd w:fill="F4F4F4"/>
          </w:tcPr>
          <w:p>
            <w:pPr>
              <w:keepNext/>
              <w:spacing w:line="230" w:lineRule="exact" w:before="60" w:after="60"/>
            </w:pPr>
            <w:r>
              <w:rPr>
                <w:rFonts w:ascii="Arial" w:hAnsi="Arial" w:eastAsia="Noto Sans CJK KR"/>
                <w:b w:val="0"/>
                <w:color w:val="000000"/>
                <w:sz w:val="18"/>
              </w:rPr>
              <w:t>2,018,145원</w:t>
            </w:r>
          </w:p>
        </w:tc>
        <w:tc>
          <w:tcPr>
            <w:tcW w:type="dxa" w:w="3007"/>
            <w:shd w:fill="F4F4F4"/>
          </w:tcPr>
          <w:p>
            <w:pPr>
              <w:keepNext/>
              <w:spacing w:line="230" w:lineRule="exact" w:before="60" w:after="60"/>
            </w:pPr>
            <w:r>
              <w:rPr>
                <w:rFonts w:ascii="Arial" w:hAnsi="Arial" w:eastAsia="Noto Sans CJK KR"/>
                <w:b w:val="0"/>
                <w:color w:val="000000"/>
                <w:sz w:val="18"/>
              </w:rPr>
              <w:t>3,473,712원</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제품당 도착원가</w:t>
            </w:r>
          </w:p>
        </w:tc>
        <w:tc>
          <w:tcPr>
            <w:tcW w:type="dxa" w:w="3007"/>
            <w:shd w:fill="FFFFFF"/>
          </w:tcPr>
          <w:p>
            <w:pPr>
              <w:keepNext w:val="0"/>
              <w:spacing w:line="230" w:lineRule="exact" w:before="60" w:after="60"/>
            </w:pPr>
            <w:r>
              <w:rPr>
                <w:rFonts w:ascii="Arial" w:hAnsi="Arial" w:eastAsia="Noto Sans CJK KR"/>
                <w:b w:val="0"/>
                <w:color w:val="000000"/>
                <w:sz w:val="18"/>
              </w:rPr>
              <w:t>6,552원</w:t>
            </w:r>
          </w:p>
        </w:tc>
        <w:tc>
          <w:tcPr>
            <w:tcW w:type="dxa" w:w="3007"/>
            <w:shd w:fill="FFFFFF"/>
          </w:tcPr>
          <w:p>
            <w:pPr>
              <w:keepNext w:val="0"/>
              <w:spacing w:line="230" w:lineRule="exact" w:before="60" w:after="60"/>
            </w:pPr>
            <w:r>
              <w:rPr>
                <w:rFonts w:ascii="Arial" w:hAnsi="Arial" w:eastAsia="Noto Sans CJK KR"/>
                <w:b w:val="0"/>
                <w:color w:val="000000"/>
                <w:sz w:val="18"/>
              </w:rPr>
              <w:t>6,579원</w:t>
            </w:r>
          </w:p>
        </w:tc>
      </w:tr>
    </w:tbl>
    <w:p>
      <w:pPr>
        <w:pageBreakBefore w:val="0"/>
        <w:spacing w:before="100" w:line="205" w:lineRule="exact"/>
      </w:pPr>
      <w:r>
        <w:rPr>
          <w:rFonts w:ascii="Arial" w:hAnsi="Arial" w:eastAsia="Noto Sans CJK KR"/>
          <w:b w:val="0"/>
          <w:sz w:val="16"/>
        </w:rPr>
        <w:t>자료: 본사 제시 견적을 바탕으로 계산. DDP 견적은 원자료의 세금 포함 조건을 적용하였다. 금액은 원 단위 반올림이며, 계산에는 반올림 전 값을 사용하였다.</w:t>
      </w:r>
    </w:p>
    <w:p>
      <w:pPr>
        <w:pageBreakBefore w:val="0"/>
        <w:spacing w:before="180"/>
      </w:pPr>
      <w:r>
        <w:rPr>
          <w:rFonts w:ascii="Arial" w:hAnsi="Arial" w:eastAsia="Noto Sans CJK KR"/>
          <w:b w:val="0"/>
          <w:sz w:val="20"/>
        </w:rPr>
        <w:t>주문량이 늘어나면 제품 단가는 낮아지지만, 제시된 528개 운송 견적을 적용할 경우 제품당 도착원가는 오히려 소폭 높아진다. 따라서 본 사례에서는 공급단가 할인만으로 대량 발주의 경제성을 판단하기 어렵다. 운송 방식·포장 규격·비용 포함 범위를 같은 기준으로 확인하고, 특히 수량별 운송 견적의 차이를 본사 및 포워더와 다시 협의할 필요가 있다.</w:t>
      </w:r>
    </w:p>
    <w:p>
      <w:pPr>
        <w:pageBreakBefore w:val="0"/>
        <w:spacing w:before="180"/>
      </w:pPr>
      <w:r>
        <w:rPr>
          <w:rFonts w:ascii="Arial" w:hAnsi="Arial" w:eastAsia="Noto Sans CJK KR"/>
          <w:b w:val="0"/>
          <w:sz w:val="20"/>
        </w:rPr>
        <w:t>일반 펀딩가 14,900원에서 변동 수수료 11.4%를 제외하면 주문당 약 13,201원이 남는다. 단품 주문의 국내 배송비 3,000원과 포장·운영비 700원, 도착원가를 차감한 공헌이익은 약 2,949원이다. 308개를 모두 판매하면 고정비 99,000원을 제외한 잔액은 약 809,286원으로 계산된다. 이는 광고비·인건비·반품 및 세무 정산 등을 반영하기 전의 예상치다.</w:t>
      </w:r>
    </w:p>
    <w:p>
      <w:pPr>
        <w:pageBreakBefore w:val="0"/>
        <w:spacing w:before="180"/>
      </w:pPr>
      <w:r>
        <w:rPr>
          <w:rFonts w:ascii="Arial" w:hAnsi="Arial" w:eastAsia="Noto Sans CJK KR"/>
          <w:b w:val="0"/>
          <w:sz w:val="20"/>
        </w:rPr>
        <w:t>국내 저가형 컵홀더나 무료 캐리어와 비교하면 판매가격을 설명할 수 있는 차별성이 필요하다. 반면 앞선 브랜드 사례처럼 소재·기능·디자인과 거래 편의를 구체적으로 전달한다면 다른 가격대에서 경쟁할 가능성도 있다. 따라서 가격 인하와 함께, 현재 비용 구조에서 유지할 수 있는 가격과 소비자가 인정하는 가치를 함께 확인해야 한다.</w:t>
      </w:r>
    </w:p>
    <w:p>
      <w:pPr>
        <w:pStyle w:val="Heading3"/>
        <w:pageBreakBefore/>
        <w:spacing w:before="160"/>
      </w:pPr>
      <w:r>
        <w:rPr>
          <w:rFonts w:ascii="Arial" w:hAnsi="Arial" w:eastAsia="Noto Sans CJK KR"/>
          <w:b/>
          <w:sz w:val="20"/>
        </w:rPr>
        <w:t>2) 초기 자금과 미판매 재고의 부담</w:t>
      </w:r>
    </w:p>
    <w:p>
      <w:pPr>
        <w:pageBreakBefore w:val="0"/>
        <w:spacing w:before="180"/>
      </w:pPr>
      <w:r>
        <w:rPr>
          <w:rFonts w:ascii="Arial" w:hAnsi="Arial" w:eastAsia="Noto Sans CJK KR"/>
          <w:b w:val="0"/>
          <w:sz w:val="20"/>
        </w:rPr>
        <w:t>판매 한 건에서 이익이 남는 구조라도 수입 물량이 충분히 판매되지 않으면 투자한 현금을 회수하기 어렵다. 본사 주문은 44개 단위이며 수량별 할인도 적용되므로, 낮은 공급가를 확보하려는 선택이 초기 자금과 재고 부담을 늘릴 수 있다. 이 점은 소규모 수입판매자가 크라우드펀딩을 활용할 때 특히 주의해야 할 조건이다.</w:t>
      </w:r>
    </w:p>
    <w:p>
      <w:pPr>
        <w:pageBreakBefore w:val="0"/>
        <w:spacing w:before="180"/>
      </w:pPr>
      <w:r>
        <w:rPr>
          <w:rFonts w:ascii="Arial" w:hAnsi="Arial" w:eastAsia="Noto Sans CJK KR"/>
          <w:b w:val="0"/>
          <w:sz w:val="20"/>
        </w:rPr>
        <w:t>308개를 먼저 매입하고 단품 14,900원으로 판매하는 경우, 제품 대금·국제운송비와 고정비를 회수하려면 223개가 판매되어야 한다. 이는 판매한 제품의 원가를 배분한 뒤 고정비를 충당하는 약 34개와는 다른 기준이다. 발주 전체의 현금지출을 고려하면 다음과 같이 판매 수량에 따라 자금 부담이 달라진다.</w:t>
      </w:r>
    </w:p>
    <w:p>
      <w:pPr>
        <w:pStyle w:val="Heading3"/>
        <w:pageBreakBefore w:val="0"/>
        <w:spacing w:before="160"/>
      </w:pPr>
      <w:r>
        <w:rPr>
          <w:rFonts w:ascii="Arial" w:hAnsi="Arial" w:eastAsia="Noto Sans CJK KR"/>
          <w:b/>
          <w:sz w:val="20"/>
        </w:rPr>
        <w:t>표. 308개 발주 후 판매 수량별 현금 회수와 재고</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판매 수량</w:t>
            </w:r>
          </w:p>
        </w:tc>
        <w:tc>
          <w:tcPr>
            <w:tcW w:type="dxa" w:w="3007"/>
            <w:shd w:fill="222222"/>
          </w:tcPr>
          <w:p>
            <w:pPr>
              <w:keepNext/>
              <w:spacing w:line="230" w:lineRule="exact" w:before="60" w:after="60"/>
            </w:pPr>
            <w:r>
              <w:rPr>
                <w:rFonts w:ascii="Arial" w:hAnsi="Arial" w:eastAsia="Noto Sans CJK KR"/>
                <w:b/>
                <w:color w:val="FFFFFF"/>
                <w:sz w:val="18"/>
              </w:rPr>
              <w:t>남은 재고</w:t>
            </w:r>
          </w:p>
        </w:tc>
        <w:tc>
          <w:tcPr>
            <w:tcW w:type="dxa" w:w="3007"/>
            <w:shd w:fill="222222"/>
          </w:tcPr>
          <w:p>
            <w:pPr>
              <w:keepNext/>
              <w:spacing w:line="230" w:lineRule="exact" w:before="60" w:after="60"/>
            </w:pPr>
            <w:r>
              <w:rPr>
                <w:rFonts w:ascii="Arial" w:hAnsi="Arial" w:eastAsia="Noto Sans CJK KR"/>
                <w:b/>
                <w:color w:val="FFFFFF"/>
                <w:sz w:val="18"/>
              </w:rPr>
              <w:t>누적 현금 잔액</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44개</w:t>
            </w:r>
          </w:p>
        </w:tc>
        <w:tc>
          <w:tcPr>
            <w:tcW w:type="dxa" w:w="3007"/>
            <w:shd w:fill="FFFFFF"/>
          </w:tcPr>
          <w:p>
            <w:pPr>
              <w:keepNext/>
              <w:spacing w:line="230" w:lineRule="exact" w:before="60" w:after="60"/>
            </w:pPr>
            <w:r>
              <w:rPr>
                <w:rFonts w:ascii="Arial" w:hAnsi="Arial" w:eastAsia="Noto Sans CJK KR"/>
                <w:b w:val="0"/>
                <w:color w:val="000000"/>
                <w:sz w:val="18"/>
              </w:rPr>
              <w:t>264개</w:t>
            </w:r>
          </w:p>
        </w:tc>
        <w:tc>
          <w:tcPr>
            <w:tcW w:type="dxa" w:w="3007"/>
            <w:shd w:fill="FFFFFF"/>
          </w:tcPr>
          <w:p>
            <w:pPr>
              <w:keepNext/>
              <w:spacing w:line="230" w:lineRule="exact" w:before="60" w:after="60"/>
            </w:pPr>
            <w:r>
              <w:rPr>
                <w:rFonts w:ascii="Arial" w:hAnsi="Arial" w:eastAsia="Noto Sans CJK KR"/>
                <w:b w:val="0"/>
                <w:color w:val="000000"/>
                <w:sz w:val="18"/>
              </w:rPr>
              <w:t>−1,699,083원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88개</w:t>
            </w:r>
          </w:p>
        </w:tc>
        <w:tc>
          <w:tcPr>
            <w:tcW w:type="dxa" w:w="3007"/>
            <w:shd w:fill="F4F4F4"/>
          </w:tcPr>
          <w:p>
            <w:pPr>
              <w:keepNext/>
              <w:spacing w:line="230" w:lineRule="exact" w:before="60" w:after="60"/>
            </w:pPr>
            <w:r>
              <w:rPr>
                <w:rFonts w:ascii="Arial" w:hAnsi="Arial" w:eastAsia="Noto Sans CJK KR"/>
                <w:b w:val="0"/>
                <w:color w:val="000000"/>
                <w:sz w:val="18"/>
              </w:rPr>
              <w:t>220개</w:t>
            </w:r>
          </w:p>
        </w:tc>
        <w:tc>
          <w:tcPr>
            <w:tcW w:type="dxa" w:w="3007"/>
            <w:shd w:fill="F4F4F4"/>
          </w:tcPr>
          <w:p>
            <w:pPr>
              <w:keepNext/>
              <w:spacing w:line="230" w:lineRule="exact" w:before="60" w:after="60"/>
            </w:pPr>
            <w:r>
              <w:rPr>
                <w:rFonts w:ascii="Arial" w:hAnsi="Arial" w:eastAsia="Noto Sans CJK KR"/>
                <w:b w:val="0"/>
                <w:color w:val="000000"/>
                <w:sz w:val="18"/>
              </w:rPr>
              <w:t>−1,281,022원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132개</w:t>
            </w:r>
          </w:p>
        </w:tc>
        <w:tc>
          <w:tcPr>
            <w:tcW w:type="dxa" w:w="3007"/>
            <w:shd w:fill="FFFFFF"/>
          </w:tcPr>
          <w:p>
            <w:pPr>
              <w:keepNext/>
              <w:spacing w:line="230" w:lineRule="exact" w:before="60" w:after="60"/>
            </w:pPr>
            <w:r>
              <w:rPr>
                <w:rFonts w:ascii="Arial" w:hAnsi="Arial" w:eastAsia="Noto Sans CJK KR"/>
                <w:b w:val="0"/>
                <w:color w:val="000000"/>
                <w:sz w:val="18"/>
              </w:rPr>
              <w:t>176개</w:t>
            </w:r>
          </w:p>
        </w:tc>
        <w:tc>
          <w:tcPr>
            <w:tcW w:type="dxa" w:w="3007"/>
            <w:shd w:fill="FFFFFF"/>
          </w:tcPr>
          <w:p>
            <w:pPr>
              <w:keepNext/>
              <w:spacing w:line="230" w:lineRule="exact" w:before="60" w:after="60"/>
            </w:pPr>
            <w:r>
              <w:rPr>
                <w:rFonts w:ascii="Arial" w:hAnsi="Arial" w:eastAsia="Noto Sans CJK KR"/>
                <w:b w:val="0"/>
                <w:color w:val="000000"/>
                <w:sz w:val="18"/>
              </w:rPr>
              <w:t>−862,960원</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220개</w:t>
            </w:r>
          </w:p>
        </w:tc>
        <w:tc>
          <w:tcPr>
            <w:tcW w:type="dxa" w:w="3007"/>
            <w:shd w:fill="F4F4F4"/>
          </w:tcPr>
          <w:p>
            <w:pPr>
              <w:keepNext/>
              <w:spacing w:line="230" w:lineRule="exact" w:before="60" w:after="60"/>
            </w:pPr>
            <w:r>
              <w:rPr>
                <w:rFonts w:ascii="Arial" w:hAnsi="Arial" w:eastAsia="Noto Sans CJK KR"/>
                <w:b w:val="0"/>
                <w:color w:val="000000"/>
                <w:sz w:val="18"/>
              </w:rPr>
              <w:t>88개</w:t>
            </w:r>
          </w:p>
        </w:tc>
        <w:tc>
          <w:tcPr>
            <w:tcW w:type="dxa" w:w="3007"/>
            <w:shd w:fill="F4F4F4"/>
          </w:tcPr>
          <w:p>
            <w:pPr>
              <w:keepNext/>
              <w:spacing w:line="230" w:lineRule="exact" w:before="60" w:after="60"/>
            </w:pPr>
            <w:r>
              <w:rPr>
                <w:rFonts w:ascii="Arial" w:hAnsi="Arial" w:eastAsia="Noto Sans CJK KR"/>
                <w:b w:val="0"/>
                <w:color w:val="000000"/>
                <w:sz w:val="18"/>
              </w:rPr>
              <w:t>−26,837원</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223개</w:t>
            </w:r>
          </w:p>
        </w:tc>
        <w:tc>
          <w:tcPr>
            <w:tcW w:type="dxa" w:w="3007"/>
            <w:shd w:fill="FFFFFF"/>
          </w:tcPr>
          <w:p>
            <w:pPr>
              <w:keepNext/>
              <w:spacing w:line="230" w:lineRule="exact" w:before="60" w:after="60"/>
            </w:pPr>
            <w:r>
              <w:rPr>
                <w:rFonts w:ascii="Arial" w:hAnsi="Arial" w:eastAsia="Noto Sans CJK KR"/>
                <w:b w:val="0"/>
                <w:color w:val="000000"/>
                <w:sz w:val="18"/>
              </w:rPr>
              <w:t>85개</w:t>
            </w:r>
          </w:p>
        </w:tc>
        <w:tc>
          <w:tcPr>
            <w:tcW w:type="dxa" w:w="3007"/>
            <w:shd w:fill="FFFFFF"/>
          </w:tcPr>
          <w:p>
            <w:pPr>
              <w:keepNext/>
              <w:spacing w:line="230" w:lineRule="exact" w:before="60" w:after="60"/>
            </w:pPr>
            <w:r>
              <w:rPr>
                <w:rFonts w:ascii="Arial" w:hAnsi="Arial" w:eastAsia="Noto Sans CJK KR"/>
                <w:b w:val="0"/>
                <w:color w:val="000000"/>
                <w:sz w:val="18"/>
              </w:rPr>
              <w:t>1,667원</w:t>
            </w:r>
          </w:p>
        </w:tc>
      </w:tr>
      <w:tr>
        <w:trPr>
          <w:cantSplit/>
        </w:trPr>
        <w:tc>
          <w:tcPr>
            <w:tcW w:type="dxa" w:w="3007"/>
            <w:shd w:fill="F4F4F4"/>
          </w:tcPr>
          <w:p>
            <w:pPr>
              <w:keepNext w:val="0"/>
              <w:spacing w:line="230" w:lineRule="exact" w:before="60" w:after="60"/>
            </w:pPr>
            <w:r>
              <w:rPr>
                <w:rFonts w:ascii="Arial" w:hAnsi="Arial" w:eastAsia="Noto Sans CJK KR"/>
                <w:b w:val="0"/>
                <w:color w:val="000000"/>
                <w:sz w:val="18"/>
              </w:rPr>
              <w:t>308개</w:t>
            </w:r>
          </w:p>
        </w:tc>
        <w:tc>
          <w:tcPr>
            <w:tcW w:type="dxa" w:w="3007"/>
            <w:shd w:fill="F4F4F4"/>
          </w:tcPr>
          <w:p>
            <w:pPr>
              <w:keepNext w:val="0"/>
              <w:spacing w:line="230" w:lineRule="exact" w:before="60" w:after="60"/>
            </w:pPr>
            <w:r>
              <w:rPr>
                <w:rFonts w:ascii="Arial" w:hAnsi="Arial" w:eastAsia="Noto Sans CJK KR"/>
                <w:b w:val="0"/>
                <w:color w:val="000000"/>
                <w:sz w:val="18"/>
              </w:rPr>
              <w:t>0개</w:t>
            </w:r>
          </w:p>
        </w:tc>
        <w:tc>
          <w:tcPr>
            <w:tcW w:type="dxa" w:w="3007"/>
            <w:shd w:fill="F4F4F4"/>
          </w:tcPr>
          <w:p>
            <w:pPr>
              <w:keepNext w:val="0"/>
              <w:spacing w:line="230" w:lineRule="exact" w:before="60" w:after="60"/>
            </w:pPr>
            <w:r>
              <w:rPr>
                <w:rFonts w:ascii="Arial" w:hAnsi="Arial" w:eastAsia="Noto Sans CJK KR"/>
                <w:b w:val="0"/>
                <w:color w:val="000000"/>
                <w:sz w:val="18"/>
              </w:rPr>
              <w:t>809,286원</w:t>
            </w:r>
          </w:p>
        </w:tc>
      </w:tr>
    </w:tbl>
    <w:p>
      <w:pPr>
        <w:pageBreakBefore w:val="0"/>
        <w:spacing w:before="100" w:line="205" w:lineRule="exact"/>
      </w:pPr>
      <w:r>
        <w:rPr>
          <w:rFonts w:ascii="Arial" w:hAnsi="Arial" w:eastAsia="Noto Sans CJK KR"/>
          <w:b w:val="0"/>
          <w:sz w:val="16"/>
        </w:rPr>
        <w:t>주: 판매자 부담 배송비·포장비와 변동 수수료를 적용한 단품 판매 시나리오. 음수는 해당 시점까지 회수하지 못한 현금을 뜻하며, 남은 재고의 가치가 모두 사라졌다는 의미는 아니다.</w:t>
      </w:r>
    </w:p>
    <w:p>
      <w:pPr>
        <w:pageBreakBefore w:val="0"/>
        <w:spacing w:before="180"/>
      </w:pPr>
      <w:r>
        <w:rPr>
          <w:rFonts w:ascii="Arial" w:hAnsi="Arial" w:eastAsia="Noto Sans CJK KR"/>
          <w:b w:val="0"/>
          <w:sz w:val="20"/>
        </w:rPr>
        <w:t>세트 구성은 주문당 배송비를 분산할 수 있다는 장점이 있다. 예를 들어 2개 일반 세트 26,900원으로 308개를 모두 판매하면 154건의 국내 배송이 발생하며, 같은 배송·포장비 가정에서 예상 잔액은 약 983,399원이다. 다만 실제 세트 포장비와 수요는 확인이 필요하다. 세트 판매를 늘리는 전략은 비용상 이점뿐 아니라 소비자가 두 개를 구매할 이유와 함께 설계해야 한다.</w:t>
      </w:r>
    </w:p>
    <w:p>
      <w:pPr>
        <w:pageBreakBefore w:val="0"/>
        <w:spacing w:before="180"/>
      </w:pPr>
      <w:r>
        <w:rPr>
          <w:rFonts w:ascii="Arial" w:hAnsi="Arial" w:eastAsia="Noto Sans CJK KR"/>
          <w:b w:val="0"/>
          <w:sz w:val="20"/>
        </w:rPr>
        <w:t>환율도 자금 부담을 바꾼다. 기준 환율보다 10% 상승하면 308개 제품 대금과 국제운송 지출은 약 20.2만 원 증가한다. 판매가격이 그대로라면 그만큼 잔액이 줄어든다. 이에 견적 시점과 결제 시점의 환율 차이, 송금 비용 및 예비 운영자금을 가격 결정에 반영할 필요가 있다.</w:t>
      </w:r>
    </w:p>
    <w:p>
      <w:pPr>
        <w:pageBreakBefore w:val="0"/>
        <w:spacing w:before="180"/>
      </w:pPr>
      <w:r>
        <w:rPr>
          <w:rFonts w:ascii="Arial" w:hAnsi="Arial" w:eastAsia="Noto Sans CJK KR"/>
          <w:b w:val="0"/>
          <w:sz w:val="20"/>
        </w:rPr>
        <w:t>한편 308개는 운송 견적이 확보된 비교 시나리오이며 최소 발주 규모 자체를 의미하지는 않는다. 실제로는 44개·88개와 같은 소량 주문의 운송비를 확보하여, 단가 할인보다 재고와 현금 부담을 줄이는 선택이 유리한지도 비교해야 한다.</w:t>
      </w:r>
    </w:p>
    <w:p>
      <w:pPr>
        <w:pStyle w:val="Heading3"/>
        <w:pageBreakBefore/>
        <w:spacing w:before="160"/>
      </w:pPr>
      <w:r>
        <w:rPr>
          <w:rFonts w:ascii="Arial" w:hAnsi="Arial" w:eastAsia="Noto Sans CJK KR"/>
          <w:b/>
          <w:sz w:val="20"/>
        </w:rPr>
        <w:t>3) 예약 수요를 실제 발주로 연결하기 위한 조건</w:t>
      </w:r>
    </w:p>
    <w:p>
      <w:pPr>
        <w:pageBreakBefore w:val="0"/>
        <w:spacing w:before="180"/>
      </w:pPr>
      <w:r>
        <w:rPr>
          <w:rFonts w:ascii="Arial" w:hAnsi="Arial" w:eastAsia="Noto Sans CJK KR"/>
          <w:b w:val="0"/>
          <w:sz w:val="20"/>
        </w:rPr>
        <w:t>본 프로젝트의 알림신청자 157명과 예약결제는 같은 집단을 추적한 자료이다. 알림신청자 수에 대한 예약 7건의 비율은 약 4.46%로, 초기 관심이 예약 참여로 연결되는 데 한계가 있었다. 전체 방문자 547명 대비 예약 건수 비율은 약 1.28%다. 두 비율은 각각 사전 관심층과 전체 방문자라는 서로 다른 기준에서 참여 수준을 보여준다.</w:t>
      </w:r>
    </w:p>
    <w:p>
      <w:pPr>
        <w:pStyle w:val="Heading3"/>
        <w:pageBreakBefore w:val="0"/>
        <w:spacing w:before="160"/>
      </w:pPr>
      <w:r>
        <w:rPr>
          <w:rFonts w:ascii="Arial" w:hAnsi="Arial" w:eastAsia="Noto Sans CJK KR"/>
          <w:b/>
          <w:sz w:val="20"/>
        </w:rPr>
        <w:t>표. 관심·예약 수요와 수입 실행의 연결</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단계</w:t>
            </w:r>
          </w:p>
        </w:tc>
        <w:tc>
          <w:tcPr>
            <w:tcW w:type="dxa" w:w="3007"/>
            <w:shd w:fill="222222"/>
          </w:tcPr>
          <w:p>
            <w:pPr>
              <w:keepNext/>
              <w:spacing w:line="230" w:lineRule="exact" w:before="60" w:after="60"/>
            </w:pPr>
            <w:r>
              <w:rPr>
                <w:rFonts w:ascii="Arial" w:hAnsi="Arial" w:eastAsia="Noto Sans CJK KR"/>
                <w:b/>
                <w:color w:val="FFFFFF"/>
                <w:sz w:val="18"/>
              </w:rPr>
              <w:t>확인된 결과·조건</w:t>
            </w:r>
          </w:p>
        </w:tc>
        <w:tc>
          <w:tcPr>
            <w:tcW w:type="dxa" w:w="3007"/>
            <w:shd w:fill="222222"/>
          </w:tcPr>
          <w:p>
            <w:pPr>
              <w:keepNext/>
              <w:spacing w:line="230" w:lineRule="exact" w:before="60" w:after="60"/>
            </w:pPr>
            <w:r>
              <w:rPr>
                <w:rFonts w:ascii="Arial" w:hAnsi="Arial" w:eastAsia="Noto Sans CJK KR"/>
                <w:b/>
                <w:color w:val="FFFFFF"/>
                <w:sz w:val="18"/>
              </w:rPr>
              <w:t>실행을 위해 보완할 사항</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관심</w:t>
            </w:r>
          </w:p>
        </w:tc>
        <w:tc>
          <w:tcPr>
            <w:tcW w:type="dxa" w:w="3007"/>
            <w:shd w:fill="FFFFFF"/>
          </w:tcPr>
          <w:p>
            <w:pPr>
              <w:keepNext/>
              <w:spacing w:line="230" w:lineRule="exact" w:before="60" w:after="60"/>
            </w:pPr>
            <w:r>
              <w:rPr>
                <w:rFonts w:ascii="Arial" w:hAnsi="Arial" w:eastAsia="Noto Sans CJK KR"/>
                <w:b w:val="0"/>
                <w:color w:val="000000"/>
                <w:sz w:val="18"/>
              </w:rPr>
              <w:t>알림신청 157명</w:t>
            </w:r>
          </w:p>
        </w:tc>
        <w:tc>
          <w:tcPr>
            <w:tcW w:type="dxa" w:w="3007"/>
            <w:shd w:fill="FFFFFF"/>
          </w:tcPr>
          <w:p>
            <w:pPr>
              <w:keepNext/>
              <w:spacing w:line="230" w:lineRule="exact" w:before="60" w:after="60"/>
            </w:pPr>
            <w:r>
              <w:rPr>
                <w:rFonts w:ascii="Arial" w:hAnsi="Arial" w:eastAsia="Noto Sans CJK KR"/>
                <w:b w:val="0"/>
                <w:color w:val="000000"/>
                <w:sz w:val="18"/>
              </w:rPr>
              <w:t>제품의 필요성·가격·배송 대기 의견 확인</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예약</w:t>
            </w:r>
          </w:p>
        </w:tc>
        <w:tc>
          <w:tcPr>
            <w:tcW w:type="dxa" w:w="3007"/>
            <w:shd w:fill="F4F4F4"/>
          </w:tcPr>
          <w:p>
            <w:pPr>
              <w:keepNext/>
              <w:spacing w:line="230" w:lineRule="exact" w:before="60" w:after="60"/>
            </w:pPr>
            <w:r>
              <w:rPr>
                <w:rFonts w:ascii="Arial" w:hAnsi="Arial" w:eastAsia="Noto Sans CJK KR"/>
                <w:b w:val="0"/>
                <w:color w:val="000000"/>
                <w:sz w:val="18"/>
              </w:rPr>
              <w:t>7건·437,900원</w:t>
            </w:r>
          </w:p>
        </w:tc>
        <w:tc>
          <w:tcPr>
            <w:tcW w:type="dxa" w:w="3007"/>
            <w:shd w:fill="F4F4F4"/>
          </w:tcPr>
          <w:p>
            <w:pPr>
              <w:keepNext/>
              <w:spacing w:line="230" w:lineRule="exact" w:before="60" w:after="60"/>
            </w:pPr>
            <w:r>
              <w:rPr>
                <w:rFonts w:ascii="Arial" w:hAnsi="Arial" w:eastAsia="Noto Sans CJK KR"/>
                <w:b w:val="0"/>
                <w:color w:val="000000"/>
                <w:sz w:val="18"/>
              </w:rPr>
              <w:t>예약별 리워드와 제품 수량 파악</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조달</w:t>
            </w:r>
          </w:p>
        </w:tc>
        <w:tc>
          <w:tcPr>
            <w:tcW w:type="dxa" w:w="3007"/>
            <w:shd w:fill="FFFFFF"/>
          </w:tcPr>
          <w:p>
            <w:pPr>
              <w:keepNext/>
              <w:spacing w:line="230" w:lineRule="exact" w:before="60" w:after="60"/>
            </w:pPr>
            <w:r>
              <w:rPr>
                <w:rFonts w:ascii="Arial" w:hAnsi="Arial" w:eastAsia="Noto Sans CJK KR"/>
                <w:b w:val="0"/>
                <w:color w:val="000000"/>
                <w:sz w:val="18"/>
              </w:rPr>
              <w:t>44개 포장 단위·수량별 공급가</w:t>
            </w:r>
          </w:p>
        </w:tc>
        <w:tc>
          <w:tcPr>
            <w:tcW w:type="dxa" w:w="3007"/>
            <w:shd w:fill="FFFFFF"/>
          </w:tcPr>
          <w:p>
            <w:pPr>
              <w:keepNext/>
              <w:spacing w:line="230" w:lineRule="exact" w:before="60" w:after="60"/>
            </w:pPr>
            <w:r>
              <w:rPr>
                <w:rFonts w:ascii="Arial" w:hAnsi="Arial" w:eastAsia="Noto Sans CJK KR"/>
                <w:b w:val="0"/>
                <w:color w:val="000000"/>
                <w:sz w:val="18"/>
              </w:rPr>
              <w:t>소량 운송 견적과 옵션별 주문 조건 확보</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자금</w:t>
            </w:r>
          </w:p>
        </w:tc>
        <w:tc>
          <w:tcPr>
            <w:tcW w:type="dxa" w:w="3007"/>
            <w:shd w:fill="F4F4F4"/>
          </w:tcPr>
          <w:p>
            <w:pPr>
              <w:keepNext/>
              <w:spacing w:line="230" w:lineRule="exact" w:before="60" w:after="60"/>
            </w:pPr>
            <w:r>
              <w:rPr>
                <w:rFonts w:ascii="Arial" w:hAnsi="Arial" w:eastAsia="Noto Sans CJK KR"/>
                <w:b w:val="0"/>
                <w:color w:val="000000"/>
                <w:sz w:val="18"/>
              </w:rPr>
              <w:t>308개 시나리오 약 201.8만 원</w:t>
            </w:r>
          </w:p>
        </w:tc>
        <w:tc>
          <w:tcPr>
            <w:tcW w:type="dxa" w:w="3007"/>
            <w:shd w:fill="F4F4F4"/>
          </w:tcPr>
          <w:p>
            <w:pPr>
              <w:keepNext/>
              <w:spacing w:line="230" w:lineRule="exact" w:before="60" w:after="60"/>
            </w:pPr>
            <w:r>
              <w:rPr>
                <w:rFonts w:ascii="Arial" w:hAnsi="Arial" w:eastAsia="Noto Sans CJK KR"/>
                <w:b w:val="0"/>
                <w:color w:val="000000"/>
                <w:sz w:val="18"/>
              </w:rPr>
              <w:t>공급처 지급일과 플랫폼 정산일 연결</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국내 유통</w:t>
            </w:r>
          </w:p>
        </w:tc>
        <w:tc>
          <w:tcPr>
            <w:tcW w:type="dxa" w:w="3007"/>
            <w:shd w:fill="FFFFFF"/>
          </w:tcPr>
          <w:p>
            <w:pPr>
              <w:keepNext w:val="0"/>
              <w:spacing w:line="230" w:lineRule="exact" w:before="60" w:after="60"/>
            </w:pPr>
            <w:r>
              <w:rPr>
                <w:rFonts w:ascii="Arial" w:hAnsi="Arial" w:eastAsia="Noto Sans CJK KR"/>
                <w:b w:val="0"/>
                <w:color w:val="000000"/>
                <w:sz w:val="18"/>
              </w:rPr>
              <w:t>배송·교환·문의 대응 필요</w:t>
            </w:r>
          </w:p>
        </w:tc>
        <w:tc>
          <w:tcPr>
            <w:tcW w:type="dxa" w:w="3007"/>
            <w:shd w:fill="FFFFFF"/>
          </w:tcPr>
          <w:p>
            <w:pPr>
              <w:keepNext w:val="0"/>
              <w:spacing w:line="230" w:lineRule="exact" w:before="60" w:after="60"/>
            </w:pPr>
            <w:r>
              <w:rPr>
                <w:rFonts w:ascii="Arial" w:hAnsi="Arial" w:eastAsia="Noto Sans CJK KR"/>
                <w:b w:val="0"/>
                <w:color w:val="000000"/>
                <w:sz w:val="18"/>
              </w:rPr>
              <w:t>국내 운영 주체와 비용 구체화</w:t>
            </w:r>
          </w:p>
        </w:tc>
      </w:tr>
    </w:tbl>
    <w:p>
      <w:pPr>
        <w:pageBreakBefore w:val="0"/>
        <w:spacing w:before="180"/>
      </w:pPr>
      <w:r>
        <w:rPr>
          <w:rFonts w:ascii="Arial" w:hAnsi="Arial" w:eastAsia="Noto Sans CJK KR"/>
          <w:b w:val="0"/>
          <w:sz w:val="20"/>
        </w:rPr>
        <w:t>예약액 437,900원은 308개 매입·국제운송 지출의 약 21.7% 수준이다. 이는 규모의 비교이며, 펀딩이 목표에 미달한 상황에서 예약액이 실제 발주 자금으로 지급되었다는 뜻은 아니다. 또한 예약 7건을 제품 7개로 볼 수 없으므로 예약별 구성과 수량을 확인한 뒤 44개 단위 발주와 비교해야 한다.</w:t>
      </w:r>
    </w:p>
    <w:p>
      <w:pPr>
        <w:pageBreakBefore w:val="0"/>
        <w:spacing w:before="180"/>
      </w:pPr>
      <w:r>
        <w:rPr>
          <w:rFonts w:ascii="Arial" w:hAnsi="Arial" w:eastAsia="Noto Sans CJK KR"/>
          <w:b w:val="0"/>
          <w:sz w:val="20"/>
        </w:rPr>
        <w:t>결국 본 사례의 제약은 관심 소비자의 수를 늘리는 문제와 확보된 수요에 맞는 조달 조건을 만드는 문제가 함께 존재했다는 데 있다. 국내 판매가격을 낮추기 위해 발주량을 늘리면 자금과 재고 부담이 커지고, 발주량을 줄이면 단가와 운송비가 높아질 수 있다. 제품의 가치 전달과 함께 이 상충 관계를 조정해야 실제 수입·판매를 추진할 수 있다.</w:t>
      </w:r>
    </w:p>
    <w:p>
      <w:pPr>
        <w:pageBreakBefore w:val="0"/>
        <w:spacing w:before="180"/>
      </w:pPr>
      <w:r>
        <w:rPr>
          <w:rFonts w:ascii="Arial" w:hAnsi="Arial" w:eastAsia="Noto Sans CJK KR"/>
          <w:b w:val="0"/>
          <w:sz w:val="20"/>
        </w:rPr>
        <w:t>후속 운영에서는 먼저 소량 견적과 공급처 대금 지급 조건을 확보하고, 실제 조달 가능한 수량에 맞춰 리워드와 목표금액을 설정하는 것이 필요하다. 이어 알림신청자와 예약참여자의 의견을 바탕으로 사용 장면·가격·배송 안내를 보완하고, 작은 규모의 판매와 고객지원 경험을 축적한 뒤 유통 채널을 확장하는 방향이 적절하다.</w:t>
      </w:r>
    </w:p>
    <w:p>
      <w:pPr>
        <w:pageBreakBefore w:val="0"/>
        <w:spacing w:before="100" w:line="205" w:lineRule="exact"/>
      </w:pPr>
      <w:r>
        <w:rPr>
          <w:rFonts w:ascii="Arial" w:hAnsi="Arial" w:eastAsia="Noto Sans CJK KR"/>
          <w:b w:val="0"/>
          <w:sz w:val="16"/>
        </w:rPr>
        <w:t>주: 본 절은 국내 배송비 주문당 3,000원, 포장·운영비 주문당 700원, 변동 수수료 11.4%, 고정비 99,000원을 공통 가정으로 계산하였다. 기존 가격표의 항목별 반올림값과는 약 1원의 차이가 있을 수 있다. 실제 수입·판매가 완료되지 않았으므로 제시 금액은 예상치이며, 소비자 행동에 관한 원인의 판단에는 추가 조사가 필요하다.</w:t>
      </w:r>
    </w:p>
    <w:p>
      <w:pPr>
        <w:pStyle w:val="Heading1"/>
        <w:pageBreakBefore/>
        <w:spacing w:before="360"/>
      </w:pPr>
      <w:r>
        <w:rPr>
          <w:rFonts w:ascii="Arial" w:hAnsi="Arial" w:eastAsia="Noto Sans CJK KR"/>
          <w:b/>
          <w:sz w:val="24"/>
        </w:rPr>
        <w:t>Ⅵ. 대만 현지 조사</w:t>
      </w:r>
    </w:p>
    <w:p>
      <w:pPr>
        <w:pStyle w:val="Heading2"/>
        <w:pageBreakBefore w:val="0"/>
        <w:spacing w:before="249"/>
      </w:pPr>
      <w:r>
        <w:rPr>
          <w:rFonts w:ascii="Arial" w:hAnsi="Arial" w:eastAsia="Noto Sans CJK KR"/>
          <w:b/>
          <w:sz w:val="22"/>
        </w:rPr>
        <w:t>6-1. 현지 매장 조사 및 실제 현장 관찰 사례</w:t>
      </w:r>
    </w:p>
    <w:p>
      <w:pPr>
        <w:pageBreakBefore w:val="0"/>
        <w:widowControl/>
        <w:spacing w:before="245"/>
      </w:pPr>
      <w:r>
        <w:rPr>
          <w:rFonts w:ascii="Arial" w:hAnsi="Arial" w:eastAsia="Noto Sans CJK KR"/>
          <w:b w:val="0"/>
          <w:sz w:val="20"/>
        </w:rPr>
        <w:t>본 연구팀은 2026년 6월 대만 현지 방문 기간 중 타이베이 주요 상권 내 다양한 유형의 매장을 직접 방문하여 컵캐리어 관련 제품의 현지 유통 현황, 가격대, 디자인 트렌드를 조사하였다. 아울러 매장 조사와 병행하여 시먼딩 일대 거리 및 대중교통 이용 환경에서 뻬이따이를 실제로 사용 중인 소비자를 직접 관찰함으로써 현지 소비 문화의 실태를 파악하고자 하였다.</w:t>
      </w:r>
    </w:p>
    <w:p>
      <w:pPr>
        <w:pageBreakBefore w:val="0"/>
        <w:widowControl/>
        <w:spacing w:before="241"/>
      </w:pPr>
      <w:r>
        <w:rPr>
          <w:rFonts w:ascii="Arial" w:hAnsi="Arial" w:eastAsia="Noto Sans CJK KR"/>
          <w:b w:val="0"/>
          <w:sz w:val="20"/>
        </w:rPr>
        <w:t>시먼딩 및 지하철 일대 거리에서는 뻬이따이를 실제로 사용 중인 소비자를 복수 관찰할 수 있었다. 확인된 사용자는 대만 거주 외국인으로 추정되는 성인 여성 1인과, 10대 초·중반으로 보이는 대만인 여성 소비자 등이 있었다. 이들은 버블티 등 대용량 음료를 뻬이따이에 넣어 이동 중에 자연스럽게 휴대하고 있었으며, 해당 제품을 일상적인 외출 아이템으로 활용하는 모습이 관찰되었다. 이를 통해 뻬이따이 사용 문화가 특정 연령대나 국적에 국한되지 않고 현지 생활 전반에 걸쳐 자연스럽게 정착되어 있음을 확인할 수 있었다.</w:t>
      </w:r>
    </w:p>
    <w:p>
      <w:pPr>
        <w:spacing w:line="240" w:lineRule="auto" w:after="0"/>
        <w:ind w:left="1431"/>
      </w:pPr>
      <w:r>
        <w:drawing>
          <wp:inline xmlns:a="http://schemas.openxmlformats.org/drawingml/2006/main" xmlns:pic="http://schemas.openxmlformats.org/drawingml/2006/picture">
            <wp:extent cx="5305983" cy="7074644"/>
            <wp:docPr id="38" name="Picture 38"/>
            <wp:cNvGraphicFramePr>
              <a:graphicFrameLocks noChangeAspect="1"/>
            </wp:cNvGraphicFramePr>
            <a:graphic>
              <a:graphicData uri="http://schemas.openxmlformats.org/drawingml/2006/picture">
                <pic:pic>
                  <pic:nvPicPr>
                    <pic:cNvPr id="0" name="M33_02_source_417.jpg"/>
                    <pic:cNvPicPr/>
                  </pic:nvPicPr>
                  <pic:blipFill>
                    <a:blip r:embed="rId47"/>
                    <a:stretch>
                      <a:fillRect/>
                    </a:stretch>
                  </pic:blipFill>
                  <pic:spPr>
                    <a:xfrm>
                      <a:off x="0" y="0"/>
                      <a:ext cx="5305983" cy="7074644"/>
                    </a:xfrm>
                    <a:prstGeom prst="rect"/>
                  </pic:spPr>
                </pic:pic>
              </a:graphicData>
            </a:graphic>
          </wp:inline>
        </w:drawing>
      </w:r>
    </w:p>
    <w:p>
      <w:pPr>
        <w:spacing w:line="240" w:lineRule="auto" w:after="0"/>
        <w:ind w:left="0"/>
      </w:pPr>
      <w:r>
        <w:drawing>
          <wp:inline xmlns:a="http://schemas.openxmlformats.org/drawingml/2006/main" xmlns:pic="http://schemas.openxmlformats.org/drawingml/2006/picture">
            <wp:extent cx="3038475" cy="4051300"/>
            <wp:docPr id="39" name="Picture 39"/>
            <wp:cNvGraphicFramePr>
              <a:graphicFrameLocks noChangeAspect="1"/>
            </wp:cNvGraphicFramePr>
            <a:graphic>
              <a:graphicData uri="http://schemas.openxmlformats.org/drawingml/2006/picture">
                <pic:pic>
                  <pic:nvPicPr>
                    <pic:cNvPr id="0" name="M33_01_source_239.jpg"/>
                    <pic:cNvPicPr/>
                  </pic:nvPicPr>
                  <pic:blipFill>
                    <a:blip r:embed="rId48"/>
                    <a:stretch>
                      <a:fillRect/>
                    </a:stretch>
                  </pic:blipFill>
                  <pic:spPr>
                    <a:xfrm>
                      <a:off x="0" y="0"/>
                      <a:ext cx="3038475" cy="4051300"/>
                    </a:xfrm>
                    <a:prstGeom prst="rect"/>
                  </pic:spPr>
                </pic:pic>
              </a:graphicData>
            </a:graphic>
          </wp:inline>
        </w:drawing>
      </w:r>
    </w:p>
    <w:p>
      <w:pPr>
        <w:pStyle w:val="Heading3"/>
        <w:pageBreakBefore w:val="0"/>
        <w:spacing w:before="0"/>
      </w:pPr>
      <w:r>
        <w:rPr>
          <w:rFonts w:ascii="Arial" w:hAnsi="Arial" w:eastAsia="Noto Sans CJK KR"/>
          <w:b/>
          <w:sz w:val="20"/>
        </w:rPr>
        <w:t>1) 관광 상권 내 잡화점: 캐릭터·대만 감성 디자인 중심 (시먼딩 근처)</w:t>
      </w:r>
    </w:p>
    <w:p>
      <w:pPr>
        <w:pageBreakBefore w:val="0"/>
        <w:widowControl/>
        <w:spacing w:before="0"/>
      </w:pPr>
      <w:r>
        <w:rPr>
          <w:rFonts w:ascii="Arial" w:hAnsi="Arial" w:eastAsia="Noto Sans CJK KR"/>
          <w:b w:val="0"/>
          <w:sz w:val="20"/>
        </w:rPr>
        <w:t>관광객 유동 인구가 많은 상권에 위치한 잡화점에서는 뻬이따이(袋走, Bag to Go) 형태의 음료 토트백이 매장 내 핵심 상품으로 대형 진열대를 차지하며 전면에 배치되어 있었다. 이는 뻬이따이가 관광 기념품 및 라이프스타일 소품으로서 소비되고 있음을 시사한다. 디자인에 따라 가격이 달랐으나, 일반 천이나 canvas 재질의 뻬이따이는 NT$100~120(약 4,200~5,000원) 수준이었으며, 산리오나 짱구와 같이 대중적인 인지도를 가진 캐릭터 뻬이따이의 경우 NT$180~200(약 7,500~8,400원) 수준으로 관찰되었다. 캐릭터 IP 적용 여부에 따라 가격이 약 1.5~2배 차이를 보였으며, 이는 소비자들이 디자인 및 브랜드 요소에 상당한 가격 프리미엄을 지불할 의향이 있음을 보여준다.</w:t>
      </w:r>
    </w:p>
    <w:p>
      <w:pPr>
        <w:spacing w:line="240" w:lineRule="auto" w:after="0"/>
        <w:ind w:left="4481"/>
      </w:pPr>
      <w:r>
        <w:drawing>
          <wp:inline xmlns:a="http://schemas.openxmlformats.org/drawingml/2006/main" xmlns:pic="http://schemas.openxmlformats.org/drawingml/2006/picture">
            <wp:extent cx="2238375" cy="2984500"/>
            <wp:docPr id="40" name="Picture 40"/>
            <wp:cNvGraphicFramePr>
              <a:graphicFrameLocks noChangeAspect="1"/>
            </wp:cNvGraphicFramePr>
            <a:graphic>
              <a:graphicData uri="http://schemas.openxmlformats.org/drawingml/2006/picture">
                <pic:pic>
                  <pic:nvPicPr>
                    <pic:cNvPr id="0" name="M34_02_source_176.jpg"/>
                    <pic:cNvPicPr/>
                  </pic:nvPicPr>
                  <pic:blipFill>
                    <a:blip r:embed="rId49"/>
                    <a:stretch>
                      <a:fillRect/>
                    </a:stretch>
                  </pic:blipFill>
                  <pic:spPr>
                    <a:xfrm>
                      <a:off x="0" y="0"/>
                      <a:ext cx="2238375" cy="2984500"/>
                    </a:xfrm>
                    <a:prstGeom prst="rect"/>
                  </pic:spPr>
                </pic:pic>
              </a:graphicData>
            </a:graphic>
          </wp:inline>
        </w:drawing>
      </w:r>
    </w:p>
    <w:p>
      <w:pPr>
        <w:spacing w:line="240" w:lineRule="auto" w:after="0"/>
        <w:ind w:left="86"/>
      </w:pPr>
      <w:r>
        <w:drawing>
          <wp:inline xmlns:a="http://schemas.openxmlformats.org/drawingml/2006/main" xmlns:pic="http://schemas.openxmlformats.org/drawingml/2006/picture">
            <wp:extent cx="2752725" cy="2064544"/>
            <wp:docPr id="41" name="Picture 41"/>
            <wp:cNvGraphicFramePr>
              <a:graphicFrameLocks noChangeAspect="1"/>
            </wp:cNvGraphicFramePr>
            <a:graphic>
              <a:graphicData uri="http://schemas.openxmlformats.org/drawingml/2006/picture">
                <pic:pic>
                  <pic:nvPicPr>
                    <pic:cNvPr id="0" name="M34_01_source_216.jpg"/>
                    <pic:cNvPicPr/>
                  </pic:nvPicPr>
                  <pic:blipFill>
                    <a:blip r:embed="rId50"/>
                    <a:stretch>
                      <a:fillRect/>
                    </a:stretch>
                  </pic:blipFill>
                  <pic:spPr>
                    <a:xfrm>
                      <a:off x="0" y="0"/>
                      <a:ext cx="2752725" cy="2064544"/>
                    </a:xfrm>
                    <a:prstGeom prst="rect"/>
                  </pic:spPr>
                </pic:pic>
              </a:graphicData>
            </a:graphic>
          </wp:inline>
        </w:drawing>
      </w:r>
    </w:p>
    <w:p>
      <w:pPr>
        <w:pageBreakBefore w:val="0"/>
        <w:widowControl/>
        <w:spacing w:before="0"/>
      </w:pPr>
      <w:r>
        <w:rPr>
          <w:rFonts w:ascii="Arial" w:hAnsi="Arial" w:eastAsia="Noto Sans CJK KR"/>
          <w:b w:val="0"/>
          <w:sz w:val="20"/>
        </w:rPr>
        <w:t>디자인 측면에서는 대만을 상징하는 그래픽 요소와 캐릭터를 결합한 제품이 주류를 이루고 있었다. 특히 눈에 띄었던 점은 지브리 스튜디오의 '가오나시(얼굴없는 남자)' 캐릭터가 적용된 뻬이따이가 다수 진열되어 있었고, 고양이 일러스트, 버블티를 들고 있는 고양이 캐릭터 등 귀여운 동물 그래픽이 대만 풍경·랜드마크 그래픽과 함께 주요 디자인 요소로 활용되고 있었다. 또한 "WELCOME TO TAIWAN", "I ♥ TAIWAN" 등의 문구가 삽입된 관광 기념품 성격의 제품도 다수 확인되었다. 소재는 대부분 면 소재의 캔버스백 형태였으며, 세탁 후 반복 사용이 가능한 구조였다.</w:t>
      </w:r>
    </w:p>
    <w:p>
      <w:pPr>
        <w:pageBreakBefore w:val="0"/>
        <w:widowControl/>
        <w:spacing w:before="241"/>
      </w:pPr>
      <w:r>
        <w:rPr>
          <w:rFonts w:ascii="Arial" w:hAnsi="Arial" w:eastAsia="Noto Sans CJK KR"/>
          <w:b w:val="0"/>
          <w:sz w:val="20"/>
        </w:rPr>
        <w:t>이처럼 관광 상권에서의 뻬이따이는 음료 휴대 기능보다 대만 여행의 기념품·굿즈적 성격이 강하게 부여되어 있으며, 인지도 있는 캐릭터 IP나 대만 고유의 그래픽 요소가 구매를 이끄는 핵심 요소로 작용하고 있었다.</w:t>
      </w:r>
    </w:p>
    <w:p>
      <w:pPr>
        <w:pStyle w:val="Heading3"/>
        <w:pageBreakBefore w:val="0"/>
        <w:spacing w:before="241"/>
      </w:pPr>
      <w:r>
        <w:rPr>
          <w:rFonts w:ascii="Arial" w:hAnsi="Arial" w:eastAsia="Noto Sans CJK KR"/>
          <w:b/>
          <w:sz w:val="20"/>
        </w:rPr>
        <w:t>2) 생활 소품 전문점: 다양한 소재와 디자인의 음료 캐리어 (융캉제 거리)</w:t>
      </w:r>
    </w:p>
    <w:p>
      <w:pPr>
        <w:pageBreakBefore w:val="0"/>
        <w:widowControl/>
        <w:spacing w:before="241"/>
      </w:pPr>
      <w:r>
        <w:rPr>
          <w:rFonts w:ascii="Arial" w:hAnsi="Arial" w:eastAsia="Noto Sans CJK KR"/>
          <w:b w:val="0"/>
          <w:sz w:val="20"/>
        </w:rPr>
        <w:t>생활 소품 전문점 내에서는 대표적으로 WU studio 브랜드의 아크릴 소재 컵홀더 키체인(Acrylic Drink Cup Holder Keychain)이 NT$450(약 20,000원) 수준에 판매되고 있었으며, 음료컵에 끼워 어깨에 메거나 손목에 걸 수 있는 구조로 Cup Tie 2와 유사한 기능을 수행하는 제품이었다. 해당 제품은 투명 아크릴 소재에 웨이브·불꽃 등 감각적인 그래픽 형태로 제작되어 있어 기능성보다 디자인 오브제적 성격이 강하게 부각되었다.</w:t>
      </w:r>
    </w:p>
    <w:p>
      <w:pPr>
        <w:spacing w:line="240" w:lineRule="auto" w:after="0"/>
        <w:ind w:left="30"/>
      </w:pPr>
      <w:r>
        <w:drawing>
          <wp:inline xmlns:a="http://schemas.openxmlformats.org/drawingml/2006/main" xmlns:pic="http://schemas.openxmlformats.org/drawingml/2006/picture">
            <wp:extent cx="5705475" cy="3208011"/>
            <wp:docPr id="42" name="Picture 42"/>
            <wp:cNvGraphicFramePr>
              <a:graphicFrameLocks noChangeAspect="1"/>
            </wp:cNvGraphicFramePr>
            <a:graphic>
              <a:graphicData uri="http://schemas.openxmlformats.org/drawingml/2006/picture">
                <pic:pic>
                  <pic:nvPicPr>
                    <pic:cNvPr id="0" name="M34_03_source_449.jpg"/>
                    <pic:cNvPicPr/>
                  </pic:nvPicPr>
                  <pic:blipFill>
                    <a:blip r:embed="rId51"/>
                    <a:stretch>
                      <a:fillRect/>
                    </a:stretch>
                  </pic:blipFill>
                  <pic:spPr>
                    <a:xfrm>
                      <a:off x="0" y="0"/>
                      <a:ext cx="5705475" cy="3208011"/>
                    </a:xfrm>
                    <a:prstGeom prst="rect"/>
                  </pic:spPr>
                </pic:pic>
              </a:graphicData>
            </a:graphic>
          </wp:inline>
        </w:drawing>
      </w:r>
    </w:p>
    <w:p>
      <w:pPr>
        <w:pageBreakBefore w:val="0"/>
        <w:widowControl/>
        <w:spacing w:before="283"/>
      </w:pPr>
      <w:r>
        <w:rPr>
          <w:rFonts w:ascii="Arial" w:hAnsi="Arial" w:eastAsia="Noto Sans CJK KR"/>
          <w:b w:val="0"/>
          <w:sz w:val="20"/>
        </w:rPr>
        <w:t>또한, 동물 캐릭터를 활용한 음료 캐리어가 TOP 1, TOP 3 등의 베스트셀러 표시와 함께 진열되어 있었다. 해당 매장에서는 袋走(Bag to Go) 브랜드의 음료 캐리어 제품이 플라밍고, 오리, 거북이, 강아지 등 동물 캐릭터 디자인을 적용하여 NT$380~NT$490(약 16,000~20,000원) 수준에 판매되고 있었다.</w:t>
      </w:r>
    </w:p>
    <w:p>
      <w:pPr>
        <w:pageBreakBefore w:val="0"/>
        <w:widowControl/>
        <w:spacing w:before="0"/>
      </w:pPr>
      <w:r>
        <w:rPr>
          <w:rFonts w:ascii="Arial" w:hAnsi="Arial" w:eastAsia="Noto Sans CJK KR"/>
          <w:b w:val="0"/>
          <w:sz w:val="20"/>
        </w:rPr>
        <w:t>흥미로운 점은 일부 제품에 "Korean Favorite"이라는 표시가 부착되어 있었다는 점으로, 이는 한국 관광객의 구매 선호도가 현지 매장의 제품 진열 전략에도 반영되고 있음을 보여주는 사례였다.</w:t>
      </w:r>
    </w:p>
    <w:p>
      <w:pPr>
        <w:pageBreakBefore w:val="0"/>
        <w:widowControl/>
        <w:spacing w:before="208"/>
      </w:pPr>
      <w:r>
        <w:rPr>
          <w:rFonts w:ascii="Arial" w:hAnsi="Arial" w:eastAsia="Noto Sans CJK KR"/>
          <w:b w:val="0"/>
          <w:sz w:val="20"/>
        </w:rPr>
        <w:t>수박 패턴이 적용된 패브릭 소재의 뻬이따이(饮料提袋, Reusable Drink Carrier)가 NT$340(약 14,000원)에 진열되어 있었으며, 재사용 가능한 소재임을 강조하는 방식으로 환경 친화적 소비 가치와도 연결하여 마케팅되고 있었다.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945"/>
        <w:gridCol w:w="4890"/>
      </w:tblGrid>
      <w:tr>
        <w:tc>
          <w:tcPr>
            <w:tcW w:type="dxa" w:w="4520"/>
          </w:tcPr>
          <w:p>
            <w:pPr>
              <w:spacing w:line="240" w:lineRule="auto" w:after="0"/>
            </w:pPr>
            <w:r>
              <w:drawing>
                <wp:inline xmlns:a="http://schemas.openxmlformats.org/drawingml/2006/main" xmlns:pic="http://schemas.openxmlformats.org/drawingml/2006/picture">
                  <wp:extent cx="2505075" cy="1408409"/>
                  <wp:docPr id="43" name="Picture 43"/>
                  <wp:cNvGraphicFramePr>
                    <a:graphicFrameLocks noChangeAspect="1"/>
                  </wp:cNvGraphicFramePr>
                  <a:graphic>
                    <a:graphicData uri="http://schemas.openxmlformats.org/drawingml/2006/picture">
                      <pic:pic>
                        <pic:nvPicPr>
                          <pic:cNvPr id="0" name="M35_01_source_197.jpg"/>
                          <pic:cNvPicPr/>
                        </pic:nvPicPr>
                        <pic:blipFill>
                          <a:blip r:embed="rId52"/>
                          <a:stretch>
                            <a:fillRect/>
                          </a:stretch>
                        </pic:blipFill>
                        <pic:spPr>
                          <a:xfrm>
                            <a:off x="0" y="0"/>
                            <a:ext cx="2505075" cy="1408409"/>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813050" cy="5000978"/>
                  <wp:docPr id="44" name="Picture 44"/>
                  <wp:cNvGraphicFramePr>
                    <a:graphicFrameLocks noChangeAspect="1"/>
                  </wp:cNvGraphicFramePr>
                  <a:graphic>
                    <a:graphicData uri="http://schemas.openxmlformats.org/drawingml/2006/picture">
                      <pic:pic>
                        <pic:nvPicPr>
                          <pic:cNvPr id="0" name="M35_02_source_221.jpg"/>
                          <pic:cNvPicPr/>
                        </pic:nvPicPr>
                        <pic:blipFill>
                          <a:blip r:embed="rId53"/>
                          <a:stretch>
                            <a:fillRect/>
                          </a:stretch>
                        </pic:blipFill>
                        <pic:spPr>
                          <a:xfrm>
                            <a:off x="0" y="0"/>
                            <a:ext cx="2813050" cy="5000978"/>
                          </a:xfrm>
                          <a:prstGeom prst="rect"/>
                        </pic:spPr>
                      </pic:pic>
                    </a:graphicData>
                  </a:graphic>
                </wp:inline>
              </w:drawing>
            </w:r>
          </w:p>
        </w:tc>
      </w:tr>
    </w:tbl>
    <w:p>
      <w:pPr>
        <w:pStyle w:val="Heading3"/>
        <w:pageBreakBefore w:val="0"/>
        <w:spacing w:before="283"/>
      </w:pPr>
      <w:r>
        <w:rPr>
          <w:rFonts w:ascii="Arial" w:hAnsi="Arial" w:eastAsia="Noto Sans CJK KR"/>
          <w:b/>
          <w:sz w:val="20"/>
        </w:rPr>
        <w:t>3) 현지 매장 조사 종합 시사점</w:t>
      </w:r>
    </w:p>
    <w:p>
      <w:pPr>
        <w:pageBreakBefore w:val="0"/>
        <w:widowControl/>
        <w:spacing w:before="241"/>
      </w:pPr>
      <w:r>
        <w:rPr>
          <w:rFonts w:ascii="Arial" w:hAnsi="Arial" w:eastAsia="Noto Sans CJK KR"/>
          <w:b w:val="0"/>
          <w:sz w:val="20"/>
        </w:rPr>
        <w:t>종합적으로, 대만 현지 매장 조사를 통해 컵캐리어 제품이 유통되는 방향을 확인할 수 있었다. 관광 상권(시먼딩)과 생활 상권(융캉제) 모두에서 음료 캐리어가 일상 소품으로 유통되고 있었으며, 유통 채널에 따라 제품의 디자인 방향과 가격대가 상이하게 나타났다. 특히 캐릭터 IP 적용 여부가 가격 프리미엄을 결정하는 핵심 변수로 작용하고 있었으며, 일반 디자인 대비 1.5~2배의 가격 차이가 관찰되었다. 동물 캐릭터 디자인 제품이 베스트셀러로 진열되고 일부 제품에 "Korean Favorite" 표시가 부착된 점은 한국 소비자의 구매 선호가 현지 매장 전략에도 반영될 만큼 뚜렷함을 보여준다. 이러한 현지 시장의 흐름은 Cup Tie 2의 한국 시장 진입 시 캐릭터 브랜딩과 친환경 소재를 결합한 차별화 전략의 유효성을 뒷받침한다.</w:t>
      </w:r>
    </w:p>
    <w:p>
      <w:pPr>
        <w:pStyle w:val="Heading2"/>
        <w:pageBreakBefore w:val="0"/>
        <w:spacing w:before="360"/>
      </w:pPr>
      <w:r>
        <w:rPr>
          <w:rFonts w:ascii="Arial" w:hAnsi="Arial" w:eastAsia="Noto Sans CJK KR"/>
          <w:b/>
          <w:sz w:val="22"/>
        </w:rPr>
        <w:t>6-2. 기업 본사 미팅 (Bone Collection)</w:t>
      </w:r>
    </w:p>
    <w:p>
      <w:pPr>
        <w:pageBreakBefore w:val="0"/>
        <w:widowControl/>
        <w:spacing w:before="244"/>
      </w:pPr>
      <w:r>
        <w:rPr>
          <w:rFonts w:ascii="Arial" w:hAnsi="Arial" w:eastAsia="Noto Sans CJK KR"/>
          <w:b w:val="0"/>
          <w:sz w:val="20"/>
        </w:rPr>
        <w:t>본 연구팀은 2026년 6월 23일 대만 현지에서 Bone Collection 본사 관계자와 대면 미팅을 진행하였다. 이번 미팅은 사전에 이메일과 화상 미팅을 통해 논의했던 협력 내용을 바탕으로, Bone Collection의 브랜드 철학과 제품 개발 방향을 직접 확인하고, 연구팀이 진행한 와디즈 펀딩 결과를 공유하며, 향후 한국 시장 진입 가능성에 대한 의견을 듣기 위해 이루어졌다. 미팅은 약 40분간 진행되었으며, Bone Collection 측에서는 회사 소개 자료와 브랜드 영상을 통해 기업의 설립 배경, 제품 개발 방식, 주요 제품군, 글로벌 협업 사례 등을 설명하였다.</w:t>
      </w:r>
    </w:p>
    <w:p>
      <w:pPr>
        <w:pageBreakBefore w:val="0"/>
        <w:widowControl/>
        <w:spacing w:before="241"/>
      </w:pPr>
      <w:r>
        <w:rPr>
          <w:rFonts w:ascii="Arial" w:hAnsi="Arial" w:eastAsia="Noto Sans CJK KR"/>
          <w:b w:val="0"/>
          <w:sz w:val="20"/>
        </w:rPr>
        <w:t>Bone Collection 측은 회사가 2005년 설립된 이후 단순 제조가 아니라 자체 디자인과 제품 기획을 중심으로 성장해 왔다고 설명하였다. 브랜드 영상에서는 “일상 속 문제를 발견하고 이를 디자인으로 해결한다”는 철학이 강조되었으며, 기술·환경·사람이 연결된 생활 속에서 실용적이고 친환경적인 디자인을 추구한다는 점이 소개되었다. 이는 본 연구팀이 사전 조사에서 파악했던 Bone Collection의 브랜드 정체성과도 일치하는 내용이었다. 특히 Bone Collection은 제품을 자체적으로 아이디어를 발굴하고 디자인을 개발하며, 일부 제품의 경우 특허와 디자인권을 확보하여 차별성을 유지하고 있다는 점을 강조하였다.</w:t>
      </w:r>
    </w:p>
    <w:p>
      <w:pPr>
        <w:spacing w:line="240" w:lineRule="auto" w:after="0"/>
        <w:ind w:left="30"/>
      </w:pPr>
      <w:r>
        <w:drawing>
          <wp:inline xmlns:a="http://schemas.openxmlformats.org/drawingml/2006/main" xmlns:pic="http://schemas.openxmlformats.org/drawingml/2006/picture">
            <wp:extent cx="5000625" cy="3752227"/>
            <wp:docPr id="45" name="Picture 45"/>
            <wp:cNvGraphicFramePr>
              <a:graphicFrameLocks noChangeAspect="1"/>
            </wp:cNvGraphicFramePr>
            <a:graphic>
              <a:graphicData uri="http://schemas.openxmlformats.org/drawingml/2006/picture">
                <pic:pic>
                  <pic:nvPicPr>
                    <pic:cNvPr id="0" name="M36_01_source_393.jpg"/>
                    <pic:cNvPicPr/>
                  </pic:nvPicPr>
                  <pic:blipFill>
                    <a:blip r:embed="rId54"/>
                    <a:stretch>
                      <a:fillRect/>
                    </a:stretch>
                  </pic:blipFill>
                  <pic:spPr>
                    <a:xfrm>
                      <a:off x="0" y="0"/>
                      <a:ext cx="5000625" cy="3752227"/>
                    </a:xfrm>
                    <a:prstGeom prst="rect"/>
                  </pic:spPr>
                </pic:pic>
              </a:graphicData>
            </a:graphic>
          </wp:inline>
        </w:drawing>
      </w:r>
    </w:p>
    <w:p>
      <w:pPr>
        <w:pageBreakBefore w:val="0"/>
        <w:widowControl/>
        <w:spacing w:before="283"/>
      </w:pPr>
      <w:r>
        <w:rPr>
          <w:rFonts w:ascii="Arial" w:hAnsi="Arial" w:eastAsia="Noto Sans CJK KR"/>
          <w:b w:val="0"/>
          <w:sz w:val="20"/>
        </w:rPr>
        <w:t>기업 소개 과정에서 Bone Collection은 초기 MP3 액세서리와 USB 관련 제품에서 출발하여, 이후 스마트폰 액세서리, 자전거 및 스포츠 액세서리, 생활용품, 컵 스트랩 등으로 제품군을 확장해 왔다고 설명하였다. 또한 2007~2008년경부터 해외 시장 판매를 시작하였고, 2010년에는 중국 둥관에 생산 공장을 확보하며 제품 생산 기반을 강화하였다. 현재는 스포츠 제품군과 라이프스타일 제품군을 함께 운영하고 있으며, Cup Tie 시리즈는 생활 속 편의성을 높이는 라이프스타일 제품군에 속한다고 볼 수 있다. 이러한 설명을 통해 연구팀은 Cup Tie 2가 단순한 일회성 아이디어 상품이 아니라, Bone Collection이 지속적으로 개발해 온 생활 밀착형 디자인 제품 라인 안에서 이해될 수 있음을 확인하였다.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720"/>
        <w:gridCol w:w="4200"/>
      </w:tblGrid>
      <w:tr>
        <w:tc>
          <w:tcPr>
            <w:tcW w:type="dxa" w:w="4520"/>
          </w:tcPr>
          <w:p>
            <w:pPr>
              <w:spacing w:line="240" w:lineRule="auto" w:after="0"/>
            </w:pPr>
            <w:r>
              <w:drawing>
                <wp:inline xmlns:a="http://schemas.openxmlformats.org/drawingml/2006/main" xmlns:pic="http://schemas.openxmlformats.org/drawingml/2006/picture">
                  <wp:extent cx="2362200" cy="1771650"/>
                  <wp:docPr id="46" name="Picture 46"/>
                  <wp:cNvGraphicFramePr>
                    <a:graphicFrameLocks noChangeAspect="1"/>
                  </wp:cNvGraphicFramePr>
                  <a:graphic>
                    <a:graphicData uri="http://schemas.openxmlformats.org/drawingml/2006/picture">
                      <pic:pic>
                        <pic:nvPicPr>
                          <pic:cNvPr id="0" name="M36_02_source_186.jpg"/>
                          <pic:cNvPicPr/>
                        </pic:nvPicPr>
                        <pic:blipFill>
                          <a:blip r:embed="rId55"/>
                          <a:stretch>
                            <a:fillRect/>
                          </a:stretch>
                        </pic:blipFill>
                        <pic:spPr>
                          <a:xfrm>
                            <a:off x="0" y="0"/>
                            <a:ext cx="2362200" cy="1771650"/>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667000" cy="3556000"/>
                  <wp:docPr id="47" name="Picture 47"/>
                  <wp:cNvGraphicFramePr>
                    <a:graphicFrameLocks noChangeAspect="1"/>
                  </wp:cNvGraphicFramePr>
                  <a:graphic>
                    <a:graphicData uri="http://schemas.openxmlformats.org/drawingml/2006/picture">
                      <pic:pic>
                        <pic:nvPicPr>
                          <pic:cNvPr id="0" name="M36_03_source_210.jpg"/>
                          <pic:cNvPicPr/>
                        </pic:nvPicPr>
                        <pic:blipFill>
                          <a:blip r:embed="rId56"/>
                          <a:stretch>
                            <a:fillRect/>
                          </a:stretch>
                        </pic:blipFill>
                        <pic:spPr>
                          <a:xfrm>
                            <a:off x="0" y="0"/>
                            <a:ext cx="2667000" cy="3556000"/>
                          </a:xfrm>
                          <a:prstGeom prst="rect"/>
                        </pic:spPr>
                      </pic:pic>
                    </a:graphicData>
                  </a:graphic>
                </wp:inline>
              </w:drawing>
            </w:r>
          </w:p>
        </w:tc>
      </w:tr>
    </w:tbl>
    <w:p>
      <w:pPr>
        <w:pageBreakBefore w:val="0"/>
        <w:widowControl/>
        <w:spacing w:before="0"/>
      </w:pPr>
      <w:r>
        <w:rPr>
          <w:rFonts w:ascii="Arial" w:hAnsi="Arial" w:eastAsia="Noto Sans CJK KR"/>
          <w:b w:val="0"/>
          <w:sz w:val="20"/>
        </w:rPr>
        <w:t>Bone Collection 측은 자사 제품의 주요 특징으로 ‘유니버설 디자인’을 제시하였다. 이는 하나의 제품이 특정 모델이나 특정 규격에만 한정되지 않고, 다양한 기기나 사용 환경에 적용될 수 있도록 설계하는 방식이다. 예를 들어 스마트폰 액세서리의 경우 아이폰과 삼성 등 다양한 기종에 대응할 수 있도록 탄성 소재와 범용 구조를 활용한다고 설명하였다. Cup Tie 2 역시 이러한 제품 철학과 연결된다. 다양한 테이크아웃 컵과 텀블러에 적용할 수 있도록 설계되었고, 사용자가 일상 속에서 별도의 복잡한 조작 없이 편리하게 사용할 수 있다는 점에서 Bone Collection의 유니버설 디자인 방향성을 반영한 제품이라고 볼 수 있다.</w:t>
      </w:r>
    </w:p>
    <w:p>
      <w:pPr>
        <w:pageBreakBefore w:val="0"/>
        <w:widowControl/>
        <w:spacing w:before="241"/>
      </w:pPr>
      <w:r>
        <w:rPr>
          <w:rFonts w:ascii="Arial" w:hAnsi="Arial" w:eastAsia="Noto Sans CJK KR"/>
          <w:b w:val="0"/>
          <w:sz w:val="20"/>
        </w:rPr>
        <w:t>또한 Bone Collection은 자체 캐릭터 제품뿐 아니라 7-Eleven, Disney, Pokémon 등 외부 브랜드와의 협업 사례도 소개하였다. 특히 포켓몬과 같은 유명 IP가 적용된 제품은 소비자 주목도가 높고 판매에도 긍정적 영향을 줄 수 있지만, 동시에 라이선스 비용과 계약 조건, 최소 보장금 등의 부담이 크다는 점도 함께 설명하였다. 연구팀은 한국 시장에서도 캐릭터 IP가 적용된 제품의 반응 가능성이 높을 수 있다고 보았으나, Bone Collection 측은 한국에서 포켓몬 제품을 판매하기 위해서는 별도의 권리사와 협의해야 하며, 라이선스 계약 비용과 최소 보장 조건이 존재하기 때문에 진입 장벽이 높다고 설명하였다. 이를 통해 연구팀은 캐릭터 IP 제품이 시장성 측면에서는 매력적일 수 있지만, 실제 유통 단계에서는 권리 확보와 비용 구조를 함께 고려해야 한다는 점을 확인하였다.</w:t>
      </w:r>
    </w:p>
    <w:p>
      <w:pPr>
        <w:spacing w:line="240" w:lineRule="auto" w:after="0"/>
        <w:ind w:left="0"/>
      </w:pPr>
      <w:r>
        <w:drawing>
          <wp:inline xmlns:a="http://schemas.openxmlformats.org/drawingml/2006/main" xmlns:pic="http://schemas.openxmlformats.org/drawingml/2006/picture">
            <wp:extent cx="3946512" cy="2961643"/>
            <wp:docPr id="48" name="Picture 48"/>
            <wp:cNvGraphicFramePr>
              <a:graphicFrameLocks noChangeAspect="1"/>
            </wp:cNvGraphicFramePr>
            <a:graphic>
              <a:graphicData uri="http://schemas.openxmlformats.org/drawingml/2006/picture">
                <pic:pic>
                  <pic:nvPicPr>
                    <pic:cNvPr id="0" name="M37_01_source_310.jpg"/>
                    <pic:cNvPicPr/>
                  </pic:nvPicPr>
                  <pic:blipFill>
                    <a:blip r:embed="rId57"/>
                    <a:stretch>
                      <a:fillRect/>
                    </a:stretch>
                  </pic:blipFill>
                  <pic:spPr>
                    <a:xfrm>
                      <a:off x="0" y="0"/>
                      <a:ext cx="3946512" cy="2961643"/>
                    </a:xfrm>
                    <a:prstGeom prst="rect"/>
                  </pic:spPr>
                </pic:pic>
              </a:graphicData>
            </a:graphic>
          </wp:inline>
        </w:drawing>
      </w:r>
    </w:p>
    <w:p>
      <w:pPr>
        <w:spacing w:line="240" w:lineRule="auto" w:after="0"/>
        <w:ind w:left="3506"/>
      </w:pPr>
      <w:r>
        <w:drawing>
          <wp:inline xmlns:a="http://schemas.openxmlformats.org/drawingml/2006/main" xmlns:pic="http://schemas.openxmlformats.org/drawingml/2006/picture">
            <wp:extent cx="2400300" cy="1800225"/>
            <wp:docPr id="49" name="Picture 49"/>
            <wp:cNvGraphicFramePr>
              <a:graphicFrameLocks noChangeAspect="1"/>
            </wp:cNvGraphicFramePr>
            <a:graphic>
              <a:graphicData uri="http://schemas.openxmlformats.org/drawingml/2006/picture">
                <pic:pic>
                  <pic:nvPicPr>
                    <pic:cNvPr id="0" name="M37_02_source_189.jpg"/>
                    <pic:cNvPicPr/>
                  </pic:nvPicPr>
                  <pic:blipFill>
                    <a:blip r:embed="rId58"/>
                    <a:stretch>
                      <a:fillRect/>
                    </a:stretch>
                  </pic:blipFill>
                  <pic:spPr>
                    <a:xfrm>
                      <a:off x="0" y="0"/>
                      <a:ext cx="2400300" cy="1800225"/>
                    </a:xfrm>
                    <a:prstGeom prst="rect"/>
                  </pic:spPr>
                </pic:pic>
              </a:graphicData>
            </a:graphic>
          </wp:inline>
        </w:drawing>
      </w:r>
    </w:p>
    <w:p>
      <w:pPr>
        <w:pageBreakBefore w:val="0"/>
        <w:widowControl/>
        <w:spacing w:before="0"/>
      </w:pPr>
      <w:r>
        <w:rPr>
          <w:rFonts w:ascii="Arial" w:hAnsi="Arial" w:eastAsia="Noto Sans CJK KR"/>
          <w:b w:val="0"/>
          <w:sz w:val="20"/>
        </w:rPr>
        <w:t>이후 연구팀은 한국에서 진행한 와디즈 펀딩 결과를 Bone Collection 측에 공유하였다. 연구팀은 캠페인의 총 펀딩액이 437,900원이었고, 목표 금액 대비 달성률은 8%, 실제 예약결제 건수는 7건, 평균 객단가는 62,557원이었다고 설명하였다. 또한 전체 방문자는 547명, 알림신청자는 157명으로 나타났으며, 유입 경로는 와디즈 내부 유입 68.7%, 외부 유입 31.3%로 구성되었다고 공유하였다. 고객 특성 측면에서는 여성 비중이 58.4%, 남성 비중이 41.6%였고, 주요 관심 연령대가 35~54세로 나타났다는 점도 함께 설명하였다.</w:t>
      </w:r>
    </w:p>
    <w:p>
      <w:pPr>
        <w:spacing w:line="240" w:lineRule="auto" w:after="0"/>
        <w:ind w:left="30"/>
      </w:pPr>
      <w:r>
        <w:drawing>
          <wp:inline xmlns:a="http://schemas.openxmlformats.org/drawingml/2006/main" xmlns:pic="http://schemas.openxmlformats.org/drawingml/2006/picture">
            <wp:extent cx="4181475" cy="2957629"/>
            <wp:docPr id="50" name="Picture 50"/>
            <wp:cNvGraphicFramePr>
              <a:graphicFrameLocks noChangeAspect="1"/>
            </wp:cNvGraphicFramePr>
            <a:graphic>
              <a:graphicData uri="http://schemas.openxmlformats.org/drawingml/2006/picture">
                <pic:pic>
                  <pic:nvPicPr>
                    <pic:cNvPr id="0" name="M37_03_source_329.jpg"/>
                    <pic:cNvPicPr/>
                  </pic:nvPicPr>
                  <pic:blipFill>
                    <a:blip r:embed="rId59"/>
                    <a:stretch>
                      <a:fillRect/>
                    </a:stretch>
                  </pic:blipFill>
                  <pic:spPr>
                    <a:xfrm>
                      <a:off x="0" y="0"/>
                      <a:ext cx="4181475" cy="2957629"/>
                    </a:xfrm>
                    <a:prstGeom prst="rect"/>
                  </pic:spPr>
                </pic:pic>
              </a:graphicData>
            </a:graphic>
          </wp:inline>
        </w:drawing>
      </w:r>
    </w:p>
    <w:p>
      <w:pPr>
        <w:pageBreakBefore w:val="0"/>
        <w:widowControl/>
        <w:spacing w:before="283"/>
      </w:pPr>
      <w:r>
        <w:rPr>
          <w:rFonts w:ascii="Arial" w:hAnsi="Arial" w:eastAsia="Noto Sans CJK KR"/>
          <w:b w:val="0"/>
          <w:sz w:val="20"/>
        </w:rPr>
        <w:t>Bone Collection 측은 펀딩 결과에 대해 목표 달성에는 실패했지만, 한국 시장에서 일정한 관심을 확인한 출발점으로 볼 수 있다는 의견을 제시하였다. 특히 알림신청자 수가 157명이었음에도 실제 예약결제 전환이 7건에 그쳤다는 점에 대해, 제품 자체에 대한 관심은 있었으나 구매 전환을 이끌기 위한 홍보와 노출이 부족했을 가능성을 언급하였다. 또한 35~54세 연령층이 주요 관심층으로 나타난 점에 대해서는, 실제 광고 채널과 콘텐츠가 해당 연령층에게 충분히 도달했는지 검토할 필요가 있다고 보았다. 예를 들어 인스타그램 중심의 홍보가 50대 소비자에게 효과적으로 전달되었는지, 제품 이미지와 영상이 해당 연령층의 관심을 끌 수 있었는지에 대한 점검이 필요하다는 의견을 제시하였다.</w:t>
      </w:r>
    </w:p>
    <w:p>
      <w:pPr>
        <w:spacing w:line="240" w:lineRule="auto" w:after="0"/>
        <w:ind w:left="30"/>
      </w:pPr>
      <w:r>
        <w:drawing>
          <wp:inline xmlns:a="http://schemas.openxmlformats.org/drawingml/2006/main" xmlns:pic="http://schemas.openxmlformats.org/drawingml/2006/picture">
            <wp:extent cx="5124450" cy="3626155"/>
            <wp:docPr id="51" name="Picture 51"/>
            <wp:cNvGraphicFramePr>
              <a:graphicFrameLocks noChangeAspect="1"/>
            </wp:cNvGraphicFramePr>
            <a:graphic>
              <a:graphicData uri="http://schemas.openxmlformats.org/drawingml/2006/picture">
                <pic:pic>
                  <pic:nvPicPr>
                    <pic:cNvPr id="0" name="M38_01_source_403.jpg"/>
                    <pic:cNvPicPr/>
                  </pic:nvPicPr>
                  <pic:blipFill>
                    <a:blip r:embed="rId60"/>
                    <a:stretch>
                      <a:fillRect/>
                    </a:stretch>
                  </pic:blipFill>
                  <pic:spPr>
                    <a:xfrm>
                      <a:off x="0" y="0"/>
                      <a:ext cx="5124450" cy="3626155"/>
                    </a:xfrm>
                    <a:prstGeom prst="rect"/>
                  </pic:spPr>
                </pic:pic>
              </a:graphicData>
            </a:graphic>
          </wp:inline>
        </w:drawing>
      </w:r>
    </w:p>
    <w:p>
      <w:pPr>
        <w:pageBreakBefore w:val="0"/>
        <w:widowControl/>
        <w:spacing w:before="283"/>
      </w:pPr>
      <w:r>
        <w:rPr>
          <w:rFonts w:ascii="Arial" w:hAnsi="Arial" w:eastAsia="Noto Sans CJK KR"/>
          <w:b w:val="0"/>
          <w:sz w:val="20"/>
        </w:rPr>
        <w:t>펀딩 운영에 대한 피드백으로 Bone Collection 측은 크라우드펀딩 캠페인을 시작하기 전에 사진, 영상, 상세페이지, 광고 소재 등 모든 홍보 자산을 사전에 충분히 준비해야 한다고 강조하였다. Bone Collection도 신제품을 시장에 출시하기 전 자체 크라우드펀딩을 활용하는 경우가 있으며, 캠페인 시작 전에 제품 사진과 영상 등 주요 자료를 먼저 완성해 두고, 펀딩 기간 동안 소비자 노출과 홍보가 집중적으로 이루어지도록 일정을 설계한다고 설명하였다. 또한 크라우드펀딩 캠페인은 운영 기간이 길지 않기 때문에, 펀딩이 시작된 뒤에 자료를 준비하기보다는 시작 이전부터 홍보 콘텐츠와 광고 계획을 갖추는 것이 중요하다고 조언하였다. 이는 본 연구팀의 와디즈 프로젝트가 외부 유입과 지속적 홍보 측면에서 충분하지 못했다는 점을 보완할 수 있는 실무적 피드백이었다.</w:t>
      </w:r>
    </w:p>
    <w:p>
      <w:pPr>
        <w:pageBreakBefore w:val="0"/>
        <w:widowControl/>
        <w:spacing w:before="241"/>
      </w:pPr>
      <w:r>
        <w:rPr>
          <w:rFonts w:ascii="Arial" w:hAnsi="Arial" w:eastAsia="Noto Sans CJK KR"/>
          <w:b w:val="0"/>
          <w:sz w:val="20"/>
        </w:rPr>
        <w:t>또한 Bone Collection 측은 한국 시장 진입과 관련하여 자사가 제공할 수 있는 지원 자원도 소개하였다. 제품별 고화질 사진, 공식 제품 영상, 숏폼 광고 영상, 온라인 쇼핑몰용 이미지, 제품 진열대 및 전시용 디스플레이 자료 등을 파트너에게 제공할 수 있으며, 필요할 경우 특정 시장이나 판매 채널에 맞춘 콘텐츠 제작도 지원할 수 있다고 설명하였다. 또한 오프라인 전시회나 박람회 참가 시 부스 디자인과 진열 방식에 대한 지원이 가능하고, 온라인 홍보 측면에서는 Instagram, Meta 등 소셜미디어 콘텐츠나 KOL 협업(영향력 있는 인플루언서랑 같이 마케팅) 경험도 보유하고 있다고 밝혔다. 이와 같은 지원 가능성은 해외 브랜드 제품을 국내 시장에 소개할 때 현지 판매자가 단독으로 모든 마케팅 자료를 제작해야 하는 부담을 줄여줄 수 있다는 점에서 의미가 있다.</w:t>
      </w:r>
    </w:p>
    <w:p>
      <w:pPr>
        <w:pageBreakBefore w:val="0"/>
        <w:widowControl/>
        <w:spacing w:before="241"/>
      </w:pPr>
      <w:r>
        <w:rPr>
          <w:rFonts w:ascii="Arial" w:hAnsi="Arial" w:eastAsia="Noto Sans CJK KR"/>
          <w:b w:val="0"/>
          <w:sz w:val="20"/>
        </w:rPr>
        <w:t>이번 본사 미팅을 통해 연구팀은 세 가지 시사점을 얻을 수 있었다. 첫째, Bone Collection은 단순 생활용품 제조사가 아니라 자체 디자인 철학과 제품 개발 역량을 갖춘 브랜드이며, Cup Tie 2 역시 이러한 브랜드 정체성 속에서 개발된 제품이라는 점을 확인하였다. 둘째, 한국 와디즈 펀딩 결과는 낮은 예약결제 성과에도 불구하고 초기 관심을 확인한 테스트로 해석될 수 있으나, 실제 구매 전환을 높이기 위해서는 사전 홍보, 광고 노출, 콘텐츠 준비, 소비자 참여 유도가 더욱 체계적으로 이루어져야 한다는 점을 확인하였다. 셋째, 캐릭터 IP 제품은 한국 시장에서 높은 잠재력을 가질 수 있지만, 라이선스 비용과 권리 확보 문제로 인해 실제 유통에는 높은 진입 장벽이 존재한다는 점을 파악하였다.</w:t>
      </w:r>
    </w:p>
    <w:p>
      <w:pPr>
        <w:pageBreakBefore w:val="0"/>
        <w:widowControl/>
        <w:spacing w:before="241"/>
      </w:pPr>
      <w:r>
        <w:rPr>
          <w:rFonts w:ascii="Arial" w:hAnsi="Arial" w:eastAsia="Noto Sans CJK KR"/>
          <w:b w:val="0"/>
          <w:sz w:val="20"/>
        </w:rPr>
        <w:t>종합하면, Bone Collection 본사 미팅은 본 연구팀이 진행한 와디즈 펀딩 결과를 단순히 내부적으로 분석하는 데 그치지 않고, 실제 제조사와 공유하고 피드백을 받을 수 있었다는 점에서 중요한 현장 연구 과정이었다. 미팅을 통해 연구팀은 제품의 브랜드적 배경, 기업의 디자인 철학, 글로벌 협업 구조, 크라우드펀딩 운영 방식, 한국 시장 진입 시 고려해야 할 현실적 조건을 종합적으로 확인할 수 있었다. 이는 향후 대만 로컬 브랜드 제품을 한국 시장에 소개할 때 제품을 수입하는 것만으로는 충분하지 않으며,</w:t>
      </w:r>
    </w:p>
    <w:p>
      <w:pPr>
        <w:pageBreakBefore w:val="0"/>
        <w:widowControl/>
        <w:spacing w:before="0"/>
      </w:pPr>
      <w:r>
        <w:rPr>
          <w:rFonts w:ascii="Arial" w:hAnsi="Arial" w:eastAsia="Noto Sans CJK KR"/>
          <w:b w:val="0"/>
          <w:sz w:val="20"/>
        </w:rPr>
        <w:t>브랜드 신뢰 형성, 현지화 콘텐츠, 사전 홍보, 유통 파트너십, 권리 구조 검토가 함께 이루어져야 한다는 점을 보여준다.</w:t>
      </w:r>
    </w:p>
    <w:p>
      <w:pPr>
        <w:pStyle w:val="Heading2"/>
        <w:pageBreakBefore w:val="0"/>
        <w:spacing w:before="360"/>
      </w:pPr>
      <w:r>
        <w:rPr>
          <w:rFonts w:ascii="Arial" w:hAnsi="Arial" w:eastAsia="Noto Sans CJK KR"/>
          <w:b/>
          <w:sz w:val="22"/>
        </w:rPr>
        <w:t>6-3. 현지 인터뷰 및 한국 시장과 비교</w:t>
      </w:r>
    </w:p>
    <w:p>
      <w:pPr>
        <w:pageBreakBefore w:val="0"/>
        <w:widowControl/>
        <w:spacing w:before="244"/>
      </w:pPr>
      <w:r>
        <w:rPr>
          <w:rFonts w:ascii="Arial" w:hAnsi="Arial" w:eastAsia="Noto Sans CJK KR"/>
          <w:b w:val="0"/>
          <w:sz w:val="20"/>
        </w:rPr>
        <w:t>본 연구팀은 대만 현지 매장 조사 과정에서 매장 직원과의 즉석 인터뷰를 진행하였다. 언어적 장벽을 극복하기 위해 네이버 파파고 번역 앱(한국어→중국어 간체)과 애플 번역 앱(중국어 번체→한국어)을 활용하여 소통하였으며, 이 과정 자체가 언어 장벽 속에서도 현지 매장 인터뷰가 가능함을 보여주는 현장 연구의 일환이었다.</w:t>
      </w:r>
    </w:p>
    <w:p>
      <w:pPr>
        <w:pStyle w:val="Heading3"/>
        <w:pageBreakBefore w:val="0"/>
        <w:spacing w:before="241"/>
      </w:pPr>
      <w:r>
        <w:rPr>
          <w:rFonts w:ascii="Arial" w:hAnsi="Arial" w:eastAsia="Noto Sans CJK KR"/>
          <w:b/>
          <w:sz w:val="20"/>
        </w:rPr>
        <w:t>1) 인터뷰 방법 및 진행 과정</w:t>
      </w:r>
    </w:p>
    <w:p>
      <w:pPr>
        <w:pageBreakBefore w:val="0"/>
        <w:widowControl/>
        <w:spacing w:before="241"/>
      </w:pPr>
      <w:r>
        <w:rPr>
          <w:rFonts w:ascii="Arial" w:hAnsi="Arial" w:eastAsia="Noto Sans CJK KR"/>
          <w:b w:val="0"/>
          <w:sz w:val="20"/>
        </w:rPr>
        <w:t>본 연구팀은 현지 매장 조사 과정에서 매장 직원과의 즉석 인터뷰를 진행하였다. 언어적 장벽을 극복하기 위해 네이버 파파고 번역 앱(한국어→중국어 간체)과 애플 번역 앱(중국어 번체→한국어)을 함께 활용하였으며, 번역 화면을 직원에게 직접 보여주고 답변을 받아 번역하는 방식으로 소통하였다. 이 과정은 언어 장벽이 존재하는 환경에서도 번역 기술을 활용하면 현지 매장 인터뷰가 가능하다는 점을 보여주는 현장 연구의 일환이기도 하였다.</w:t>
      </w:r>
    </w:p>
    <w:p>
      <w:pPr>
        <w:pStyle w:val="Heading3"/>
        <w:pageBreakBefore w:val="0"/>
        <w:spacing w:before="241"/>
      </w:pPr>
      <w:r>
        <w:rPr>
          <w:rFonts w:ascii="Arial" w:hAnsi="Arial" w:eastAsia="Noto Sans CJK KR"/>
          <w:b/>
          <w:sz w:val="20"/>
        </w:rPr>
        <w:t>2) 인터뷰 주요 내용</w:t>
      </w:r>
    </w:p>
    <w:p>
      <w:pPr>
        <w:pageBreakBefore w:val="0"/>
        <w:widowControl/>
        <w:spacing w:before="241"/>
      </w:pPr>
      <w:r>
        <w:rPr>
          <w:rFonts w:ascii="Arial" w:hAnsi="Arial" w:eastAsia="Noto Sans CJK KR"/>
          <w:b w:val="0"/>
          <w:sz w:val="20"/>
        </w:rPr>
        <w:t>연구팀은 총 세 가지 질문을 중심으로 현지 매장 직원 인터뷰를 진행하였다.</w:t>
      </w:r>
    </w:p>
    <w:p>
      <w:pPr>
        <w:pStyle w:val="Heading3"/>
        <w:pageBreakBefore w:val="0"/>
        <w:spacing w:before="241"/>
      </w:pPr>
      <w:r>
        <w:rPr>
          <w:rFonts w:ascii="Arial" w:hAnsi="Arial" w:eastAsia="Noto Sans CJK KR"/>
          <w:b/>
          <w:sz w:val="20"/>
        </w:rPr>
        <w:t>Q1. 현재 매장에서 가장 잘 판매되는 휴대용 생활용품이나 소품은 무엇인가요?</w:t>
      </w:r>
    </w:p>
    <w:p>
      <w:pPr>
        <w:pageBreakBefore w:val="0"/>
        <w:widowControl/>
        <w:spacing w:before="241"/>
      </w:pPr>
      <w:r>
        <w:rPr>
          <w:rFonts w:ascii="Arial" w:hAnsi="Arial" w:eastAsia="Noto Sans CJK KR"/>
          <w:b w:val="0"/>
          <w:sz w:val="20"/>
        </w:rPr>
        <w:t>직원은 음료용 토트백(飲料提袋, 뻬이따이)이 매장에서 가장 잘 팔리는 제품 중 하나라고 답하였다. 다양한 디자인이 지속적으로 출시되고 있으며, 관광객뿐 아니라 현지 소비자들도 꾸준히 구매한다고 설명하였다. 이를 통해 뻬이따이가 대만에서 단순한 관광 기념품을 넘어 현지 생활 소품으로도 자리 잡고 있음을 확인할 수 있었다.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55"/>
        <w:gridCol w:w="3060"/>
      </w:tblGrid>
      <w:tr>
        <w:tc>
          <w:tcPr>
            <w:tcW w:type="dxa" w:w="4520"/>
          </w:tcPr>
          <w:p>
            <w:pPr>
              <w:spacing w:line="240" w:lineRule="auto" w:after="0"/>
            </w:pPr>
            <w:r>
              <w:drawing>
                <wp:inline xmlns:a="http://schemas.openxmlformats.org/drawingml/2006/main" xmlns:pic="http://schemas.openxmlformats.org/drawingml/2006/picture">
                  <wp:extent cx="2066925" cy="2583656"/>
                  <wp:docPr id="52" name="Picture 52"/>
                  <wp:cNvGraphicFramePr>
                    <a:graphicFrameLocks noChangeAspect="1"/>
                  </wp:cNvGraphicFramePr>
                  <a:graphic>
                    <a:graphicData uri="http://schemas.openxmlformats.org/drawingml/2006/picture">
                      <pic:pic>
                        <pic:nvPicPr>
                          <pic:cNvPr id="0" name="M39_01_source_162.jpg"/>
                          <pic:cNvPicPr/>
                        </pic:nvPicPr>
                        <pic:blipFill>
                          <a:blip r:embed="rId61"/>
                          <a:stretch>
                            <a:fillRect/>
                          </a:stretch>
                        </pic:blipFill>
                        <pic:spPr>
                          <a:xfrm>
                            <a:off x="0" y="0"/>
                            <a:ext cx="2066925" cy="2583656"/>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1943100" cy="2590800"/>
                  <wp:docPr id="53" name="Picture 53"/>
                  <wp:cNvGraphicFramePr>
                    <a:graphicFrameLocks noChangeAspect="1"/>
                  </wp:cNvGraphicFramePr>
                  <a:graphic>
                    <a:graphicData uri="http://schemas.openxmlformats.org/drawingml/2006/picture">
                      <pic:pic>
                        <pic:nvPicPr>
                          <pic:cNvPr id="0" name="M39_02_source_153.jpg"/>
                          <pic:cNvPicPr/>
                        </pic:nvPicPr>
                        <pic:blipFill>
                          <a:blip r:embed="rId62"/>
                          <a:stretch>
                            <a:fillRect/>
                          </a:stretch>
                        </pic:blipFill>
                        <pic:spPr>
                          <a:xfrm>
                            <a:off x="0" y="0"/>
                            <a:ext cx="1943100" cy="2590800"/>
                          </a:xfrm>
                          <a:prstGeom prst="rect"/>
                        </pic:spPr>
                      </pic:pic>
                    </a:graphicData>
                  </a:graphic>
                </wp:inline>
              </w:drawing>
            </w:r>
          </w:p>
        </w:tc>
      </w:tr>
    </w:tbl>
    <w:p>
      <w:pPr>
        <w:pStyle w:val="Heading3"/>
        <w:pageBreakBefore w:val="0"/>
        <w:spacing w:before="283"/>
      </w:pPr>
      <w:r>
        <w:rPr>
          <w:rFonts w:ascii="Arial" w:hAnsi="Arial" w:eastAsia="Noto Sans CJK KR"/>
          <w:b/>
          <w:sz w:val="20"/>
        </w:rPr>
        <w:t>Q2. 빼이따이와 같은 컵 휴대용 스트랩 제품을 판매한다면 어떤 고객층이 가장 관심을 가질 것 같나요?</w:t>
      </w:r>
    </w:p>
    <w:p>
      <w:pPr>
        <w:pageBreakBefore w:val="0"/>
        <w:widowControl/>
        <w:spacing w:before="241"/>
      </w:pPr>
      <w:r>
        <w:rPr>
          <w:rFonts w:ascii="Arial" w:hAnsi="Arial" w:eastAsia="Noto Sans CJK KR"/>
          <w:b w:val="0"/>
          <w:sz w:val="20"/>
        </w:rPr>
        <w:t>직원은 음료 토트백은 홍콩과 한국 관광객이 가장 선호하여 구매한다고 답하였다. 현지 소비자보다 외국 관광객, 특히 동아시아 관광객들이 대만 감성이 담긴 컵캐리어 제품에 높은 관심을 보인다는 점을 현지에서 직접 확인할 수 있었다. 이는 한국 소비자의 뻬이따이 관련 제품에 대한 수요가 대만 현지 상인들 사이에서도 이미 인식되어 있을 만큼 실재하는 것임을 보여주는 결과였다.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240"/>
        <w:gridCol w:w="3225"/>
      </w:tblGrid>
      <w:tr>
        <w:tc>
          <w:tcPr>
            <w:tcW w:type="dxa" w:w="4520"/>
          </w:tcPr>
          <w:p>
            <w:pPr>
              <w:spacing w:line="240" w:lineRule="auto" w:after="0"/>
            </w:pPr>
            <w:r>
              <w:drawing>
                <wp:inline xmlns:a="http://schemas.openxmlformats.org/drawingml/2006/main" xmlns:pic="http://schemas.openxmlformats.org/drawingml/2006/picture">
                  <wp:extent cx="2057400" cy="2571750"/>
                  <wp:docPr id="54" name="Picture 54"/>
                  <wp:cNvGraphicFramePr>
                    <a:graphicFrameLocks noChangeAspect="1"/>
                  </wp:cNvGraphicFramePr>
                  <a:graphic>
                    <a:graphicData uri="http://schemas.openxmlformats.org/drawingml/2006/picture">
                      <pic:pic>
                        <pic:nvPicPr>
                          <pic:cNvPr id="0" name="M40_01_source_162.jpg"/>
                          <pic:cNvPicPr/>
                        </pic:nvPicPr>
                        <pic:blipFill>
                          <a:blip r:embed="rId63"/>
                          <a:stretch>
                            <a:fillRect/>
                          </a:stretch>
                        </pic:blipFill>
                        <pic:spPr>
                          <a:xfrm>
                            <a:off x="0" y="0"/>
                            <a:ext cx="2057400" cy="2571750"/>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047875" cy="2559844"/>
                  <wp:docPr id="55" name="Picture 55"/>
                  <wp:cNvGraphicFramePr>
                    <a:graphicFrameLocks noChangeAspect="1"/>
                  </wp:cNvGraphicFramePr>
                  <a:graphic>
                    <a:graphicData uri="http://schemas.openxmlformats.org/drawingml/2006/picture">
                      <pic:pic>
                        <pic:nvPicPr>
                          <pic:cNvPr id="0" name="M40_02_source_161.jpg"/>
                          <pic:cNvPicPr/>
                        </pic:nvPicPr>
                        <pic:blipFill>
                          <a:blip r:embed="rId64"/>
                          <a:stretch>
                            <a:fillRect/>
                          </a:stretch>
                        </pic:blipFill>
                        <pic:spPr>
                          <a:xfrm>
                            <a:off x="0" y="0"/>
                            <a:ext cx="2047875" cy="2559844"/>
                          </a:xfrm>
                          <a:prstGeom prst="rect"/>
                        </pic:spPr>
                      </pic:pic>
                    </a:graphicData>
                  </a:graphic>
                </wp:inline>
              </w:drawing>
            </w:r>
          </w:p>
        </w:tc>
      </w:tr>
    </w:tbl>
    <w:p>
      <w:pPr>
        <w:pStyle w:val="Heading3"/>
        <w:pageBreakBefore w:val="0"/>
        <w:spacing w:before="283"/>
      </w:pPr>
      <w:r>
        <w:rPr>
          <w:rFonts w:ascii="Arial" w:hAnsi="Arial" w:eastAsia="Noto Sans CJK KR"/>
          <w:b/>
          <w:sz w:val="20"/>
        </w:rPr>
        <w:t>Q3. 빼이따이 제품을 처음 본다면 어떤 점을 보완하거나 추가하면 더 판매가 잘될 것 같다고 생각하시나요?</w:t>
      </w:r>
    </w:p>
    <w:p>
      <w:pPr>
        <w:pageBreakBefore w:val="0"/>
        <w:widowControl/>
        <w:spacing w:before="241"/>
      </w:pPr>
      <w:r>
        <w:rPr>
          <w:rFonts w:ascii="Arial" w:hAnsi="Arial" w:eastAsia="Noto Sans CJK KR"/>
          <w:b w:val="0"/>
          <w:sz w:val="20"/>
        </w:rPr>
        <w:t>직원은 관광객들이 버블티(珍珠奶茶)와 관련된 디자인의 상품을 구매하는 것을 좋아하는 것 같다고 답하였다. 이는 버블티 그래픽, 버블티 일러스트가 적용된 디자인이 관광 수요를 끌어당기는 핵심 요소임을 시사하며, 현지 매장 조사에서 버블티 관련 디자인 제품이 다수 판매되고 있던 것과도 일치하는 내용이었다.</w:t>
      </w:r>
    </w:p>
    <w:tbl>
      <w:tblPr>
        <w:tblW w:type="auto" w:w="0"/>
        <w:tblLayout w:type="fixed"/>
        <w:tblLook w:firstColumn="1" w:firstRow="1" w:lastColumn="0" w:lastRow="0" w:noHBand="0" w:noVBand="1" w:val="04A0"/>
        <w:tblBorders>
          <w:top w:val="nil"/>
          <w:left w:val="nil"/>
          <w:bottom w:val="nil"/>
          <w:right w:val="nil"/>
          <w:insideH w:val="nil"/>
          <w:insideV w:val="nil"/>
        </w:tblBorders>
      </w:tblPr>
      <w:tblGrid>
        <w:gridCol w:w="3165"/>
        <w:gridCol w:w="3165"/>
      </w:tblGrid>
      <w:tr>
        <w:tc>
          <w:tcPr>
            <w:tcW w:type="dxa" w:w="4520"/>
          </w:tcPr>
          <w:p>
            <w:pPr>
              <w:spacing w:line="240" w:lineRule="auto" w:after="0"/>
            </w:pPr>
            <w:r>
              <w:drawing>
                <wp:inline xmlns:a="http://schemas.openxmlformats.org/drawingml/2006/main" xmlns:pic="http://schemas.openxmlformats.org/drawingml/2006/picture">
                  <wp:extent cx="2009775" cy="2512219"/>
                  <wp:docPr id="56" name="Picture 56"/>
                  <wp:cNvGraphicFramePr>
                    <a:graphicFrameLocks noChangeAspect="1"/>
                  </wp:cNvGraphicFramePr>
                  <a:graphic>
                    <a:graphicData uri="http://schemas.openxmlformats.org/drawingml/2006/picture">
                      <pic:pic>
                        <pic:nvPicPr>
                          <pic:cNvPr id="0" name="M40_03_source_158.jpg"/>
                          <pic:cNvPicPr/>
                        </pic:nvPicPr>
                        <pic:blipFill>
                          <a:blip r:embed="rId65"/>
                          <a:stretch>
                            <a:fillRect/>
                          </a:stretch>
                        </pic:blipFill>
                        <pic:spPr>
                          <a:xfrm>
                            <a:off x="0" y="0"/>
                            <a:ext cx="2009775" cy="2512219"/>
                          </a:xfrm>
                          <a:prstGeom prst="rect"/>
                        </pic:spPr>
                      </pic:pic>
                    </a:graphicData>
                  </a:graphic>
                </wp:inline>
              </w:drawing>
            </w:r>
          </w:p>
        </w:tc>
        <w:tc>
          <w:tcPr>
            <w:tcW w:type="dxa" w:w="4520"/>
          </w:tcPr>
          <w:p>
            <w:pPr>
              <w:spacing w:line="240" w:lineRule="auto" w:after="0"/>
            </w:pPr>
            <w:r>
              <w:drawing>
                <wp:inline xmlns:a="http://schemas.openxmlformats.org/drawingml/2006/main" xmlns:pic="http://schemas.openxmlformats.org/drawingml/2006/picture">
                  <wp:extent cx="2009775" cy="2512219"/>
                  <wp:docPr id="57" name="Picture 57"/>
                  <wp:cNvGraphicFramePr>
                    <a:graphicFrameLocks noChangeAspect="1"/>
                  </wp:cNvGraphicFramePr>
                  <a:graphic>
                    <a:graphicData uri="http://schemas.openxmlformats.org/drawingml/2006/picture">
                      <pic:pic>
                        <pic:nvPicPr>
                          <pic:cNvPr id="0" name="M40_04_source_158.jpg"/>
                          <pic:cNvPicPr/>
                        </pic:nvPicPr>
                        <pic:blipFill>
                          <a:blip r:embed="rId66"/>
                          <a:stretch>
                            <a:fillRect/>
                          </a:stretch>
                        </pic:blipFill>
                        <pic:spPr>
                          <a:xfrm>
                            <a:off x="0" y="0"/>
                            <a:ext cx="2009775" cy="2512219"/>
                          </a:xfrm>
                          <a:prstGeom prst="rect"/>
                        </pic:spPr>
                      </pic:pic>
                    </a:graphicData>
                  </a:graphic>
                </wp:inline>
              </w:drawing>
            </w:r>
          </w:p>
        </w:tc>
      </w:tr>
    </w:tbl>
    <w:p>
      <w:pPr>
        <w:pStyle w:val="Heading3"/>
        <w:pageBreakBefore w:val="0"/>
        <w:spacing w:before="283"/>
      </w:pPr>
      <w:r>
        <w:rPr>
          <w:rFonts w:ascii="Arial" w:hAnsi="Arial" w:eastAsia="Noto Sans CJK KR"/>
          <w:b/>
          <w:sz w:val="20"/>
        </w:rPr>
        <w:t>3) 대만 시장과 한국 시장의 비교</w:t>
      </w:r>
    </w:p>
    <w:p>
      <w:pPr>
        <w:pageBreakBefore w:val="0"/>
        <w:widowControl/>
        <w:spacing w:before="241"/>
      </w:pPr>
      <w:r>
        <w:rPr>
          <w:rFonts w:ascii="Arial" w:hAnsi="Arial" w:eastAsia="Noto Sans CJK KR"/>
          <w:b w:val="0"/>
          <w:sz w:val="20"/>
        </w:rPr>
        <w:t>현지 조사와 인터뷰 결과를 바탕으로 대만과 한국 시장을 비교하면 다음과 같은 차이점이 확인된다.</w:t>
      </w:r>
    </w:p>
    <w:tbl>
      <w:tblPr>
        <w:tblStyle w:val="TableGrid"/>
        <w:tblW w:type="auto" w:w="0"/>
        <w:tblLayout w:type="fixed"/>
        <w:tblLook w:firstColumn="1" w:firstRow="1" w:lastColumn="0" w:lastRow="0" w:noHBand="0" w:noVBand="1" w:val="04A0"/>
      </w:tblPr>
      <w:tblGrid>
        <w:gridCol w:w="3007"/>
        <w:gridCol w:w="3007"/>
        <w:gridCol w:w="3007"/>
      </w:tblGrid>
      <w:tr>
        <w:trPr>
          <w:cantSplit/>
          <w:tblHeader/>
        </w:trPr>
        <w:tc>
          <w:tcPr>
            <w:tcW w:type="dxa" w:w="3007"/>
            <w:shd w:fill="222222"/>
          </w:tcPr>
          <w:p>
            <w:pPr>
              <w:keepNext/>
              <w:spacing w:line="230" w:lineRule="exact" w:before="60" w:after="60"/>
            </w:pPr>
            <w:r>
              <w:rPr>
                <w:rFonts w:ascii="Arial" w:hAnsi="Arial" w:eastAsia="Noto Sans CJK KR"/>
                <w:b/>
                <w:color w:val="FFFFFF"/>
                <w:sz w:val="18"/>
              </w:rPr>
              <w:t>구분</w:t>
            </w:r>
          </w:p>
        </w:tc>
        <w:tc>
          <w:tcPr>
            <w:tcW w:type="dxa" w:w="3007"/>
            <w:shd w:fill="222222"/>
          </w:tcPr>
          <w:p>
            <w:pPr>
              <w:keepNext/>
              <w:spacing w:line="230" w:lineRule="exact" w:before="60" w:after="60"/>
            </w:pPr>
            <w:r>
              <w:rPr>
                <w:rFonts w:ascii="Arial" w:hAnsi="Arial" w:eastAsia="Noto Sans CJK KR"/>
                <w:b/>
                <w:color w:val="FFFFFF"/>
                <w:sz w:val="18"/>
              </w:rPr>
              <w:t>대만 시장</w:t>
            </w:r>
          </w:p>
        </w:tc>
        <w:tc>
          <w:tcPr>
            <w:tcW w:type="dxa" w:w="3007"/>
            <w:shd w:fill="222222"/>
          </w:tcPr>
          <w:p>
            <w:pPr>
              <w:keepNext/>
              <w:spacing w:line="230" w:lineRule="exact" w:before="60" w:after="60"/>
            </w:pPr>
            <w:r>
              <w:rPr>
                <w:rFonts w:ascii="Arial" w:hAnsi="Arial" w:eastAsia="Noto Sans CJK KR"/>
                <w:b/>
                <w:color w:val="FFFFFF"/>
                <w:sz w:val="18"/>
              </w:rPr>
              <w:t>한국 시장</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음료 문화</w:t>
            </w:r>
          </w:p>
        </w:tc>
        <w:tc>
          <w:tcPr>
            <w:tcW w:type="dxa" w:w="3007"/>
            <w:shd w:fill="FFFFFF"/>
          </w:tcPr>
          <w:p>
            <w:pPr>
              <w:keepNext/>
              <w:spacing w:line="230" w:lineRule="exact" w:before="60" w:after="60"/>
            </w:pPr>
            <w:r>
              <w:rPr>
                <w:rFonts w:ascii="Arial" w:hAnsi="Arial" w:eastAsia="Noto Sans CJK KR"/>
                <w:b w:val="0"/>
                <w:color w:val="000000"/>
                <w:sz w:val="18"/>
              </w:rPr>
              <w:t>手搖飲 (수제 음료) 일상화, 테이크 아웃 보편적</w:t>
            </w:r>
          </w:p>
        </w:tc>
        <w:tc>
          <w:tcPr>
            <w:tcW w:type="dxa" w:w="3007"/>
            <w:shd w:fill="FFFFFF"/>
          </w:tcPr>
          <w:p>
            <w:pPr>
              <w:keepNext/>
              <w:spacing w:line="230" w:lineRule="exact" w:before="60" w:after="60"/>
            </w:pPr>
            <w:r>
              <w:rPr>
                <w:rFonts w:ascii="Arial" w:hAnsi="Arial" w:eastAsia="Noto Sans CJK KR"/>
                <w:b w:val="0"/>
                <w:color w:val="000000"/>
                <w:sz w:val="18"/>
              </w:rPr>
              <w:t>카페 테이크 아웃 증가, 버블티 브랜드 성장</w:t>
            </w:r>
          </w:p>
        </w:tc>
      </w:tr>
      <w:tr>
        <w:trPr>
          <w:cantSplit/>
        </w:trPr>
        <w:tc>
          <w:tcPr>
            <w:tcW w:type="dxa" w:w="3007"/>
            <w:shd w:fill="F4F4F4"/>
          </w:tcPr>
          <w:p>
            <w:pPr>
              <w:keepNext w:val="0"/>
              <w:spacing w:line="230" w:lineRule="exact" w:before="60" w:after="60"/>
            </w:pPr>
            <w:r>
              <w:rPr>
                <w:rFonts w:ascii="Arial" w:hAnsi="Arial" w:eastAsia="Noto Sans CJK KR"/>
                <w:b w:val="0"/>
                <w:color w:val="000000"/>
                <w:sz w:val="18"/>
              </w:rPr>
              <w:t>컵 캐리어 인식</w:t>
            </w:r>
          </w:p>
        </w:tc>
        <w:tc>
          <w:tcPr>
            <w:tcW w:type="dxa" w:w="3007"/>
            <w:shd w:fill="F4F4F4"/>
          </w:tcPr>
          <w:p>
            <w:pPr>
              <w:keepNext w:val="0"/>
              <w:spacing w:line="230" w:lineRule="exact" w:before="60" w:after="60"/>
            </w:pPr>
            <w:r>
              <w:rPr>
                <w:rFonts w:ascii="Arial" w:hAnsi="Arial" w:eastAsia="Noto Sans CJK KR"/>
                <w:b w:val="0"/>
                <w:color w:val="000000"/>
                <w:sz w:val="18"/>
              </w:rPr>
              <w:t>일상 생활용품으로 정착</w:t>
            </w:r>
          </w:p>
        </w:tc>
        <w:tc>
          <w:tcPr>
            <w:tcW w:type="dxa" w:w="3007"/>
            <w:shd w:fill="F4F4F4"/>
          </w:tcPr>
          <w:p>
            <w:pPr>
              <w:keepNext w:val="0"/>
              <w:spacing w:line="230" w:lineRule="exact" w:before="60" w:after="60"/>
            </w:pPr>
            <w:r>
              <w:rPr>
                <w:rFonts w:ascii="Arial" w:hAnsi="Arial" w:eastAsia="Noto Sans CJK KR"/>
                <w:b w:val="0"/>
                <w:color w:val="000000"/>
                <w:sz w:val="18"/>
              </w:rPr>
              <w:t>대만 여행 기념품 &amp; SNS 트랜드 아이템으로 인식</w:t>
            </w:r>
          </w:p>
        </w:tc>
      </w:tr>
    </w:tbl>
    <w:tbl>
      <w:tblPr>
        <w:tblStyle w:val="TableGrid"/>
        <w:tblW w:type="auto" w:w="0"/>
        <w:tblLayout w:type="fixed"/>
        <w:tblLook w:firstColumn="1" w:firstRow="1" w:lastColumn="0" w:lastRow="0" w:noHBand="0" w:noVBand="1" w:val="04A0"/>
      </w:tblPr>
      <w:tblGrid>
        <w:gridCol w:w="3007"/>
        <w:gridCol w:w="3007"/>
        <w:gridCol w:w="3007"/>
      </w:tblGrid>
      <w:tr>
        <w:trPr>
          <w:cantSplit/>
        </w:trPr>
        <w:tc>
          <w:tcPr>
            <w:tcW w:type="dxa" w:w="3007"/>
            <w:shd w:fill="F4F4F4"/>
          </w:tcPr>
          <w:p>
            <w:pPr>
              <w:keepNext/>
              <w:spacing w:line="230" w:lineRule="exact" w:before="60" w:after="60"/>
            </w:pPr>
            <w:r>
              <w:rPr>
                <w:rFonts w:ascii="Arial" w:hAnsi="Arial" w:eastAsia="Noto Sans CJK KR"/>
                <w:b w:val="0"/>
                <w:color w:val="000000"/>
                <w:sz w:val="18"/>
              </w:rPr>
              <w:t>주요 디자인 선호</w:t>
            </w:r>
          </w:p>
        </w:tc>
        <w:tc>
          <w:tcPr>
            <w:tcW w:type="dxa" w:w="3007"/>
            <w:shd w:fill="F4F4F4"/>
          </w:tcPr>
          <w:p>
            <w:pPr>
              <w:keepNext/>
              <w:spacing w:line="230" w:lineRule="exact" w:before="60" w:after="60"/>
            </w:pPr>
            <w:r>
              <w:rPr>
                <w:rFonts w:ascii="Arial" w:hAnsi="Arial" w:eastAsia="Noto Sans CJK KR"/>
                <w:b w:val="0"/>
                <w:color w:val="000000"/>
                <w:sz w:val="18"/>
              </w:rPr>
              <w:t>버블티, 대만 그래픽, 청화자기 패턴</w:t>
            </w:r>
          </w:p>
        </w:tc>
        <w:tc>
          <w:tcPr>
            <w:tcW w:type="dxa" w:w="3007"/>
            <w:shd w:fill="F4F4F4"/>
          </w:tcPr>
          <w:p>
            <w:pPr>
              <w:keepNext/>
              <w:spacing w:line="230" w:lineRule="exact" w:before="60" w:after="60"/>
            </w:pPr>
            <w:r>
              <w:rPr>
                <w:rFonts w:ascii="Arial" w:hAnsi="Arial" w:eastAsia="Noto Sans CJK KR"/>
                <w:b w:val="0"/>
                <w:color w:val="000000"/>
                <w:sz w:val="18"/>
              </w:rPr>
              <w:t>캐릭터, 귀여운 감성 선호</w:t>
            </w:r>
          </w:p>
        </w:tc>
      </w:tr>
      <w:tr>
        <w:trPr>
          <w:cantSplit/>
        </w:trPr>
        <w:tc>
          <w:tcPr>
            <w:tcW w:type="dxa" w:w="3007"/>
            <w:shd w:fill="FFFFFF"/>
          </w:tcPr>
          <w:p>
            <w:pPr>
              <w:keepNext/>
              <w:spacing w:line="230" w:lineRule="exact" w:before="60" w:after="60"/>
            </w:pPr>
            <w:r>
              <w:rPr>
                <w:rFonts w:ascii="Arial" w:hAnsi="Arial" w:eastAsia="Noto Sans CJK KR"/>
                <w:b w:val="0"/>
                <w:color w:val="000000"/>
                <w:sz w:val="18"/>
              </w:rPr>
              <w:t>유통 채널</w:t>
            </w:r>
          </w:p>
        </w:tc>
        <w:tc>
          <w:tcPr>
            <w:tcW w:type="dxa" w:w="3007"/>
            <w:shd w:fill="FFFFFF"/>
          </w:tcPr>
          <w:p>
            <w:pPr>
              <w:keepNext/>
              <w:spacing w:line="230" w:lineRule="exact" w:before="60" w:after="60"/>
            </w:pPr>
            <w:r>
              <w:rPr>
                <w:rFonts w:ascii="Arial" w:hAnsi="Arial" w:eastAsia="Noto Sans CJK KR"/>
                <w:b w:val="0"/>
                <w:color w:val="000000"/>
                <w:sz w:val="18"/>
              </w:rPr>
              <w:t>관광 상권, 일상 잡화점, 온라인몰</w:t>
            </w:r>
          </w:p>
        </w:tc>
        <w:tc>
          <w:tcPr>
            <w:tcW w:type="dxa" w:w="3007"/>
            <w:shd w:fill="FFFFFF"/>
          </w:tcPr>
          <w:p>
            <w:pPr>
              <w:keepNext/>
              <w:spacing w:line="230" w:lineRule="exact" w:before="60" w:after="60"/>
            </w:pPr>
            <w:r>
              <w:rPr>
                <w:rFonts w:ascii="Arial" w:hAnsi="Arial" w:eastAsia="Noto Sans CJK KR"/>
                <w:b w:val="0"/>
                <w:color w:val="000000"/>
                <w:sz w:val="18"/>
              </w:rPr>
              <w:t>온라인 쇼핑몰 중심, 오프라인 채널 미비</w:t>
            </w:r>
          </w:p>
        </w:tc>
      </w:tr>
      <w:tr>
        <w:trPr>
          <w:cantSplit/>
        </w:trPr>
        <w:tc>
          <w:tcPr>
            <w:tcW w:type="dxa" w:w="3007"/>
            <w:shd w:fill="F4F4F4"/>
          </w:tcPr>
          <w:p>
            <w:pPr>
              <w:keepNext/>
              <w:spacing w:line="230" w:lineRule="exact" w:before="60" w:after="60"/>
            </w:pPr>
            <w:r>
              <w:rPr>
                <w:rFonts w:ascii="Arial" w:hAnsi="Arial" w:eastAsia="Noto Sans CJK KR"/>
                <w:b w:val="0"/>
                <w:color w:val="000000"/>
                <w:sz w:val="18"/>
              </w:rPr>
              <w:t>가격 민감도</w:t>
            </w:r>
          </w:p>
        </w:tc>
        <w:tc>
          <w:tcPr>
            <w:tcW w:type="dxa" w:w="3007"/>
            <w:shd w:fill="F4F4F4"/>
          </w:tcPr>
          <w:p>
            <w:pPr>
              <w:keepNext/>
              <w:spacing w:line="230" w:lineRule="exact" w:before="60" w:after="60"/>
            </w:pPr>
            <w:r>
              <w:rPr>
                <w:rFonts w:ascii="Arial" w:hAnsi="Arial" w:eastAsia="Noto Sans CJK KR"/>
                <w:b w:val="0"/>
                <w:color w:val="000000"/>
                <w:sz w:val="18"/>
              </w:rPr>
              <w:t>저가 ~ 중가 폭넓게 수용</w:t>
            </w:r>
          </w:p>
        </w:tc>
        <w:tc>
          <w:tcPr>
            <w:tcW w:type="dxa" w:w="3007"/>
            <w:shd w:fill="F4F4F4"/>
          </w:tcPr>
          <w:p>
            <w:pPr>
              <w:keepNext/>
              <w:spacing w:line="230" w:lineRule="exact" w:before="60" w:after="60"/>
            </w:pPr>
            <w:r>
              <w:rPr>
                <w:rFonts w:ascii="Arial" w:hAnsi="Arial" w:eastAsia="Noto Sans CJK KR"/>
                <w:b w:val="0"/>
                <w:color w:val="000000"/>
                <w:sz w:val="18"/>
              </w:rPr>
              <w:t>가성비 민감, 브랜드 인지도 낮으면 구매 저항</w:t>
            </w:r>
          </w:p>
        </w:tc>
      </w:tr>
      <w:tr>
        <w:trPr>
          <w:cantSplit/>
        </w:trPr>
        <w:tc>
          <w:tcPr>
            <w:tcW w:type="dxa" w:w="3007"/>
            <w:shd w:fill="FFFFFF"/>
          </w:tcPr>
          <w:p>
            <w:pPr>
              <w:keepNext w:val="0"/>
              <w:spacing w:line="230" w:lineRule="exact" w:before="60" w:after="60"/>
            </w:pPr>
            <w:r>
              <w:rPr>
                <w:rFonts w:ascii="Arial" w:hAnsi="Arial" w:eastAsia="Noto Sans CJK KR"/>
                <w:b w:val="0"/>
                <w:color w:val="000000"/>
                <w:sz w:val="18"/>
              </w:rPr>
              <w:t>브랜드 기반</w:t>
            </w:r>
          </w:p>
        </w:tc>
        <w:tc>
          <w:tcPr>
            <w:tcW w:type="dxa" w:w="3007"/>
            <w:shd w:fill="FFFFFF"/>
          </w:tcPr>
          <w:p>
            <w:pPr>
              <w:keepNext w:val="0"/>
              <w:spacing w:line="230" w:lineRule="exact" w:before="60" w:after="60"/>
            </w:pPr>
            <w:r>
              <w:rPr>
                <w:rFonts w:ascii="Arial" w:hAnsi="Arial" w:eastAsia="Noto Sans CJK KR"/>
                <w:b w:val="0"/>
                <w:color w:val="000000"/>
                <w:sz w:val="18"/>
              </w:rPr>
              <w:t>Bone Collection 등 로컬 브랜드 인지도 존재</w:t>
            </w:r>
          </w:p>
        </w:tc>
        <w:tc>
          <w:tcPr>
            <w:tcW w:type="dxa" w:w="3007"/>
            <w:shd w:fill="FFFFFF"/>
          </w:tcPr>
          <w:p>
            <w:pPr>
              <w:keepNext w:val="0"/>
              <w:spacing w:line="230" w:lineRule="exact" w:before="60" w:after="60"/>
            </w:pPr>
            <w:r>
              <w:rPr>
                <w:rFonts w:ascii="Arial" w:hAnsi="Arial" w:eastAsia="Noto Sans CJK KR"/>
                <w:b w:val="0"/>
                <w:color w:val="000000"/>
                <w:sz w:val="18"/>
              </w:rPr>
              <w:t>브랜드 인지도 거의 없음</w:t>
            </w:r>
          </w:p>
        </w:tc>
      </w:tr>
    </w:tbl>
    <w:p>
      <w:pPr>
        <w:pageBreakBefore w:val="0"/>
        <w:widowControl/>
        <w:spacing w:before="231"/>
      </w:pPr>
      <w:r>
        <w:rPr>
          <w:rFonts w:ascii="Arial" w:hAnsi="Arial" w:eastAsia="Noto Sans CJK KR"/>
          <w:b w:val="0"/>
          <w:sz w:val="20"/>
        </w:rPr>
        <w:t>가장 두드러진 차이는 제품의 문화적 일상화 수준이다. 대만에서는 컵캐리어가 음료를 구매하는 자연스러운 과정의 일부로 인식되어 있으며, 소비자가 별도의 설명 없이도 제품의 필요성을 직관적으로 이해한다. 반면 한국 시장에서는 컵캐리어 자체가 아직 일상 소품으로 완전히 정착하지 않은 상태이기 때문에, 제품의 필요성을 먼저 납득시키는 과정이 선행되어야 한다는 점이 마케팅의 핵심 과제로 작용한다.</w:t>
      </w:r>
    </w:p>
    <w:p>
      <w:pPr>
        <w:pageBreakBefore w:val="0"/>
        <w:widowControl/>
        <w:spacing w:before="241"/>
      </w:pPr>
      <w:r>
        <w:rPr>
          <w:rFonts w:ascii="Arial" w:hAnsi="Arial" w:eastAsia="Noto Sans CJK KR"/>
          <w:b w:val="0"/>
          <w:sz w:val="20"/>
        </w:rPr>
        <w:t>또한 대만 현지에서 인기 있는 디자인 요소가 버블티·대만 그래픽 중심이라는 점은, 한국 소비자 역시 대만 여행과 연계된 감성 요소에 반응할 가능성이 높다는 점을 시사한다. 다만 한국 시장은 캐릭터 IP와 귀여운 감성 디자인에 대한 선호도가 높기 때문에, 버블티 그래픽보다는 Bone Collection의 오리지널 캐릭터 라인업이나 한국 소비자에게 친숙한 IP와의 협업이 더 효과적일 수 있다.</w:t>
      </w:r>
    </w:p>
    <w:p>
      <w:pPr>
        <w:pStyle w:val="Heading1"/>
        <w:pageBreakBefore/>
        <w:spacing w:before="360"/>
      </w:pPr>
      <w:r>
        <w:rPr>
          <w:rFonts w:ascii="Arial" w:hAnsi="Arial" w:eastAsia="Noto Sans CJK KR"/>
          <w:b/>
          <w:sz w:val="24"/>
        </w:rPr>
        <w:t>Ⅶ. 종합 분석 및 전략적 제언</w:t>
      </w:r>
    </w:p>
    <w:p>
      <w:pPr>
        <w:pStyle w:val="Heading2"/>
        <w:pageBreakBefore w:val="0"/>
        <w:spacing w:before="249"/>
      </w:pPr>
      <w:r>
        <w:rPr>
          <w:rFonts w:ascii="Arial" w:hAnsi="Arial" w:eastAsia="Noto Sans CJK KR"/>
          <w:b/>
          <w:sz w:val="22"/>
        </w:rPr>
        <w:t>7-1. 종합 분석</w:t>
      </w:r>
    </w:p>
    <w:p>
      <w:pPr>
        <w:pageBreakBefore w:val="0"/>
        <w:widowControl/>
        <w:spacing w:before="245"/>
      </w:pPr>
      <w:r>
        <w:rPr>
          <w:rFonts w:ascii="Arial" w:hAnsi="Arial" w:eastAsia="Noto Sans CJK KR"/>
          <w:b w:val="0"/>
          <w:sz w:val="20"/>
        </w:rPr>
        <w:t>: 펀딩 실패 원인 및 시장 진입의 구조적 한계</w:t>
      </w:r>
    </w:p>
    <w:p>
      <w:pPr>
        <w:pageBreakBefore w:val="0"/>
        <w:widowControl/>
        <w:spacing w:before="245"/>
      </w:pPr>
      <w:r>
        <w:rPr>
          <w:rFonts w:ascii="Arial" w:hAnsi="Arial" w:eastAsia="Noto Sans CJK KR"/>
          <w:b w:val="0"/>
          <w:sz w:val="20"/>
        </w:rPr>
        <w:t>본 연구팀이 진행한 와디즈 크라우드펀딩은 목표 금액 달성에 실패하였다. 이 실패가 어떤 구조적 원인에서 비롯된 것인지를 분석하는 것이 본 연구의 핵심 과제 중 하나이다. 이하에서는 펀딩 실패의 원인을 크게 다섯 가지로 구분하여 분석한다.</w:t>
      </w:r>
    </w:p>
    <w:p>
      <w:pPr>
        <w:pStyle w:val="Heading3"/>
        <w:pageBreakBefore w:val="0"/>
        <w:spacing w:before="241"/>
      </w:pPr>
      <w:r>
        <w:rPr>
          <w:rFonts w:ascii="Arial" w:hAnsi="Arial" w:eastAsia="Noto Sans CJK KR"/>
          <w:b/>
          <w:sz w:val="20"/>
        </w:rPr>
        <w:t>① 브랜드 인지도 부재</w:t>
      </w:r>
    </w:p>
    <w:p>
      <w:pPr>
        <w:pageBreakBefore w:val="0"/>
        <w:widowControl/>
        <w:spacing w:before="241"/>
      </w:pPr>
      <w:r>
        <w:rPr>
          <w:rFonts w:ascii="Arial" w:hAnsi="Arial" w:eastAsia="Noto Sans CJK KR"/>
          <w:b w:val="0"/>
          <w:sz w:val="20"/>
        </w:rPr>
        <w:t>가장 근본적인 원인은 Bone Collection이라는 브랜드가 한국 시장에서 전혀 알려져 있지 않다는 점이다. 알림신청자 157명 중 팔로워 비중이 5.1%에 불과했다는 점은, 프로젝트에 관심을 보인 소비자 대부분이 브랜드와 아무런 사전 관계 없이 우연히 유입된 소비자였음을 의미한다. 국내 크라우드펀딩 시장에서는 브랜드 신뢰도가 구매 전환의 핵심 변수로 작용하는 경우가 많다. 생소한 해외 브랜드의 경우 소비자가 제품 자체에 흥미를 느끼더라도 구매 단계에서 브랜드 신뢰 부족으로 인해 예약결제를 보류하는 경향이 있다. 실제로 와디즈 직접 유입 방문자 534명 중 예약결제 전환율이 0.2%에 그쳤다는 점은, 제품에 대한 관심과 구매 결정 사이에 브랜드 신뢰라는 중요한 간극이 존재했음을 보여준다.</w:t>
      </w:r>
    </w:p>
    <w:p>
      <w:pPr>
        <w:pStyle w:val="Heading3"/>
        <w:pageBreakBefore w:val="0"/>
        <w:spacing w:before="241"/>
      </w:pPr>
      <w:r>
        <w:rPr>
          <w:rFonts w:ascii="Arial" w:hAnsi="Arial" w:eastAsia="Noto Sans CJK KR"/>
          <w:b/>
          <w:sz w:val="20"/>
        </w:rPr>
        <w:t>② 외부 유입 및 사전 홍보의 부족</w:t>
      </w:r>
    </w:p>
    <w:p>
      <w:pPr>
        <w:pageBreakBefore w:val="0"/>
        <w:widowControl/>
        <w:spacing w:before="241"/>
      </w:pPr>
      <w:r>
        <w:rPr>
          <w:rFonts w:ascii="Arial" w:hAnsi="Arial" w:eastAsia="Noto Sans CJK KR"/>
          <w:b w:val="0"/>
          <w:sz w:val="20"/>
        </w:rPr>
        <w:t>전체 유입자의 68.7%가 와디즈 내부 탐색을 통해 유입되었다는 점은, 외부 SNS나 커뮤니티를 통한 확산 효과가 제한적이었음을 의미한다. 크라우드펀딩의 성패는 초반 외부 유입과 사전 관심 확보에 크게 달려 있다. 펀딩 시작 전에 충분한 팔로워를 보유한 SNS 채널을 구축하고, 인플루언서 협업이나 커뮤니티 사전 홍보를 통해 관심층을 미리 확보해야 하는데, 본 연구팀은 이 과정이 충분하지 않았다. 유입 추이 데이터에서도 알림신청자 발생이 5월 18~19일에 집중되었다가 이후 급격히 감소한 것은, 초반 노출 이후 추가 관심을 지속적으로 유도하는 확산 구조가 마련되지 못했기 때문으로 분석된다.</w:t>
      </w:r>
    </w:p>
    <w:p>
      <w:pPr>
        <w:pStyle w:val="Heading3"/>
        <w:pageBreakBefore w:val="0"/>
        <w:spacing w:before="0"/>
      </w:pPr>
      <w:r>
        <w:rPr>
          <w:rFonts w:ascii="Arial" w:hAnsi="Arial" w:eastAsia="Noto Sans CJK KR"/>
          <w:b/>
          <w:sz w:val="20"/>
        </w:rPr>
        <w:t>③ 제품 카테고리의 생소함과 필요성 전달의 한계</w:t>
      </w:r>
    </w:p>
    <w:p>
      <w:pPr>
        <w:pageBreakBefore w:val="0"/>
        <w:widowControl/>
        <w:spacing w:before="241"/>
      </w:pPr>
      <w:r>
        <w:rPr>
          <w:rFonts w:ascii="Arial" w:hAnsi="Arial" w:eastAsia="Noto Sans CJK KR"/>
          <w:b w:val="0"/>
          <w:sz w:val="20"/>
        </w:rPr>
        <w:t>Cup Tie 2는 한국 소비자에게 아직 낯선 제품 카테고리에 속한다. 텀블러, 에코백, 컵슬리브 등은 이미 시장에서 자리 잡은 개념이지만, 실리콘 컵스트랩은 사용 방식과 필요성을 소비자가 직접 경험하지 않고서는 직관적으로 이해하기 어려운 측면이 있다. 상세페이지에서 사용 장면과 문제 제기를 중심으로 구성했음에도 불구하고, 실제 제품을 만져보거나 사용해보지 않은 상태에서 구매를 결정하기에는 설득의 두께가 부족했을 가능성이 있다. Bone Collection 본사 역시 미팅에서 사전에 충분한 홍보 자산과 체험 콘텐츠를 준비하는 것이 중요하다고 강조한 바 있으며, 이는 생소한 제품일수록 소비자의 구매 저항을 낮추기 위한 노출 반복과 체험 기회 제공이 필수적임을 의미한다.</w:t>
      </w:r>
    </w:p>
    <w:p>
      <w:pPr>
        <w:pStyle w:val="Heading3"/>
        <w:pageBreakBefore w:val="0"/>
        <w:spacing w:before="241"/>
      </w:pPr>
      <w:r>
        <w:rPr>
          <w:rFonts w:ascii="Arial" w:hAnsi="Arial" w:eastAsia="Noto Sans CJK KR"/>
          <w:b/>
          <w:sz w:val="20"/>
        </w:rPr>
        <w:t>④ 가격 대비 인지된 가치의 불일치</w:t>
      </w:r>
    </w:p>
    <w:p>
      <w:pPr>
        <w:pageBreakBefore w:val="0"/>
        <w:widowControl/>
        <w:spacing w:before="241"/>
      </w:pPr>
      <w:r>
        <w:rPr>
          <w:rFonts w:ascii="Arial" w:hAnsi="Arial" w:eastAsia="Noto Sans CJK KR"/>
          <w:b w:val="0"/>
          <w:sz w:val="20"/>
        </w:rPr>
        <w:t>국내 온라인 쇼핑몰에서 유사한 형태의 뻬이따이 제품이 1,000~5,000원 수준에 유통되고 있는 상황에서, Cup Tie 2의 와디즈 펀딩가는 13,900~14,900원대로 책정되었다. 브랜드 인지도가 충분하지 않은 상태에서 소비자는 정식 브랜드 제품과 저가 수입 제품 사이의 실질적 차이를 인지하지 못할 수 있으며, 이 경우 가격 대비 가치에 대한 의문이 구매 결정을 저해하는 요인으로 작용한다. 실제로 전환율이 낮았던 경로들은 대부분 브랜드에 대한 사전 지식 없이 유입된 소비자들로 구성되었을 가능성이 높다. 브랜드 신뢰가 선행되지 않은 상태에서 프리미엄 가격 포지셔닝을 시도하는 것은 진입 초기 단계에서 구조적 한계를 가질 수 있다.</w:t>
      </w:r>
    </w:p>
    <w:p>
      <w:pPr>
        <w:pStyle w:val="Heading3"/>
        <w:pageBreakBefore w:val="0"/>
        <w:spacing w:before="241"/>
      </w:pPr>
      <w:r>
        <w:rPr>
          <w:rFonts w:ascii="Arial" w:hAnsi="Arial" w:eastAsia="Noto Sans CJK KR"/>
          <w:b/>
          <w:sz w:val="20"/>
        </w:rPr>
        <w:t>⑤ SNS 마케팅 채널과 실제 관심층 간의 불일치</w:t>
      </w:r>
    </w:p>
    <w:p>
      <w:pPr>
        <w:pageBreakBefore w:val="0"/>
        <w:widowControl/>
        <w:spacing w:before="241"/>
      </w:pPr>
      <w:r>
        <w:rPr>
          <w:rFonts w:ascii="Arial" w:hAnsi="Arial" w:eastAsia="Noto Sans CJK KR"/>
          <w:b w:val="0"/>
          <w:sz w:val="20"/>
        </w:rPr>
        <w:t>본 연구팀은 인스타그램 중심의 SNS 마케팅을 진행하며 20~30대 여성을 핵심 타겟으로 설정하였다. 그러나 실제 알림신청자 데이터에서는 35~54세 연령층의 관심이 상대적으로 높게 나타났다. 이는 제품의 실질적 관심층과 마케팅이 도달하고자 했던 타겟층 사이에 불일치가 발생했음을 의미한다. 인스타그램 광고는 20~30대에게는 효과적으로 도달할 수 있지만, 실제 구매 의향이 높은 35~54세 연령층에게 충분히 노출되지 못했을 가능성이 있다. 광고 채널과 콘텐츠 방향이 실제 관심층의 미디어 이용 패턴과 맞지 않았을 경우, 도달 효율이 낮아지고 전환율도 함께 낮아지는 결과로 이어진다.</w:t>
      </w:r>
    </w:p>
    <w:p>
      <w:pPr>
        <w:pageBreakBefore w:val="0"/>
        <w:widowControl/>
        <w:spacing w:before="241"/>
      </w:pPr>
      <w:r>
        <w:rPr>
          <w:rFonts w:ascii="Arial" w:hAnsi="Arial" w:eastAsia="Noto Sans CJK KR"/>
          <w:b w:val="0"/>
          <w:sz w:val="20"/>
        </w:rPr>
        <w:t>이상의 다섯 가지 원인을 종합하면, 이번 와디즈 펀딩 실패는 단순히 마케팅 실행의 미숙함에서 비롯된 것이 아니라, 브랜드 인지도 부재, 외부 확산 구조 부족, 제품 카테고리 생소함, 가격·가치 인식 불일치, 타겟과 채널의 불일치라는 복합적인 구조적 요인이 함께 작용한 결과로 해석할 수 있다. 이러한 분석은 향후 대만 로컬 브랜드가 한국 시장에 진입할 때 동일한 실패를 반복하지 않기 위해 반드시 고려해야 할 사전 조건들을 제시한다는 점에서 의의가 있다.</w:t>
      </w:r>
    </w:p>
    <w:p>
      <w:pPr>
        <w:pStyle w:val="Heading2"/>
        <w:pageBreakBefore w:val="0"/>
        <w:spacing w:before="360"/>
      </w:pPr>
      <w:r>
        <w:rPr>
          <w:rFonts w:ascii="Arial" w:hAnsi="Arial" w:eastAsia="Noto Sans CJK KR"/>
          <w:b/>
          <w:sz w:val="22"/>
        </w:rPr>
        <w:t>7-2. 전략적 제언</w:t>
      </w:r>
    </w:p>
    <w:p>
      <w:pPr>
        <w:pageBreakBefore w:val="0"/>
        <w:widowControl/>
        <w:spacing w:before="245"/>
      </w:pPr>
      <w:r>
        <w:rPr>
          <w:rFonts w:ascii="Arial" w:hAnsi="Arial" w:eastAsia="Noto Sans CJK KR"/>
          <w:b w:val="0"/>
          <w:sz w:val="20"/>
        </w:rPr>
        <w:t>: 향후 한국 시장 진입을 위한 개선 방향</w:t>
      </w:r>
    </w:p>
    <w:p>
      <w:pPr>
        <w:pageBreakBefore w:val="0"/>
        <w:widowControl/>
        <w:spacing w:before="245"/>
      </w:pPr>
      <w:r>
        <w:rPr>
          <w:rFonts w:ascii="Arial" w:hAnsi="Arial" w:eastAsia="Noto Sans CJK KR"/>
          <w:b w:val="0"/>
          <w:sz w:val="20"/>
        </w:rPr>
        <w:t>본 연구의 와디즈 펀딩 경험과 대만 현지 조사 결과를 바탕으로, 대만 로컬 브랜드 제품이 향후 한국 시장에 보다 효과적으로 진입하기 위한 전략적 제언을 다음과 같이 제시한다.</w:t>
      </w:r>
    </w:p>
    <w:p>
      <w:pPr>
        <w:pStyle w:val="Heading3"/>
        <w:pageBreakBefore w:val="0"/>
        <w:spacing w:before="241"/>
      </w:pPr>
      <w:r>
        <w:rPr>
          <w:rFonts w:ascii="Arial" w:hAnsi="Arial" w:eastAsia="Noto Sans CJK KR"/>
          <w:b/>
          <w:sz w:val="20"/>
        </w:rPr>
        <w:t>① 브랜드 신뢰 형성을 위한 사전 단계 구축</w:t>
      </w:r>
    </w:p>
    <w:p>
      <w:pPr>
        <w:pageBreakBefore w:val="0"/>
        <w:widowControl/>
        <w:spacing w:before="241"/>
      </w:pPr>
      <w:r>
        <w:rPr>
          <w:rFonts w:ascii="Arial" w:hAnsi="Arial" w:eastAsia="Noto Sans CJK KR"/>
          <w:b w:val="0"/>
          <w:sz w:val="20"/>
        </w:rPr>
        <w:t>크라우드펀딩 진입 이전에 브랜드 인지도를 최소한의 수준으로 확보하는 선행 과정이 필요하다. 구체적으로는 SNS 채널을 최소 2~3개월 전에 개설하고 꾸준히 콘텐츠를 게시하여 팔로워 기반을 쌓는 것이 중요하다. 또한 소규모 마이크로 인플루언서에게 샘플을 제공하고 자연스러운 사용 후기 콘텐츠를 통해 제품 노출을 사전에 형성하는 것이 효과적이다. 펀딩 시작 이후 콘텐츠를 준비하는 방식은 노출 기간이 절대적으로 부족하기 때문에, 사전 단계에서 브랜드 스토리와 제품 인지도를 충분히 쌓은 후 펀딩을 진행하는 순서가 필요하다.</w:t>
      </w:r>
    </w:p>
    <w:p>
      <w:pPr>
        <w:pStyle w:val="Heading3"/>
        <w:pageBreakBefore w:val="0"/>
        <w:spacing w:before="0"/>
      </w:pPr>
      <w:r>
        <w:rPr>
          <w:rFonts w:ascii="Arial" w:hAnsi="Arial" w:eastAsia="Noto Sans CJK KR"/>
          <w:b/>
          <w:sz w:val="20"/>
        </w:rPr>
        <w:t>② 타겟 소비자 재설정 및 채널 전략 조정</w:t>
      </w:r>
    </w:p>
    <w:p>
      <w:pPr>
        <w:pageBreakBefore w:val="0"/>
        <w:widowControl/>
        <w:spacing w:before="241"/>
      </w:pPr>
      <w:r>
        <w:rPr>
          <w:rFonts w:ascii="Arial" w:hAnsi="Arial" w:eastAsia="Noto Sans CJK KR"/>
          <w:b w:val="0"/>
          <w:sz w:val="20"/>
        </w:rPr>
        <w:t>펀딩 데이터에서 실제 관심층이 35~54세로 나타난 점을 반영하여, 향후 타겟 소비자 설정을 보다 폭넓게 재설정할 필요가 있다. 해당 연령층은 카페 이용, 외출, 산책, 여행 등 음료 휴대가 필요한 상황에 자주 노출되며, 실용적 제품에 대한 구매력도 상대적으로 높다. 이들에게 효과적으로 도달하기 위해서는 인스타그램 외에도 네이버 블로그, 카페, 유튜브 등 35~54세가 활발하게 이용하는 채널로 마케팅 범위를 확장하는 것이 필요하다.</w:t>
      </w:r>
    </w:p>
    <w:p>
      <w:pPr>
        <w:pStyle w:val="Heading3"/>
        <w:pageBreakBefore w:val="0"/>
        <w:spacing w:before="241"/>
      </w:pPr>
      <w:r>
        <w:rPr>
          <w:rFonts w:ascii="Arial" w:hAnsi="Arial" w:eastAsia="Noto Sans CJK KR"/>
          <w:b/>
          <w:sz w:val="20"/>
        </w:rPr>
        <w:t>③ 캐릭터 및 디자인 강화를 통한 선물용 포지셔닝</w:t>
      </w:r>
    </w:p>
    <w:p>
      <w:pPr>
        <w:pageBreakBefore w:val="0"/>
        <w:widowControl/>
        <w:spacing w:before="241"/>
      </w:pPr>
      <w:r>
        <w:rPr>
          <w:rFonts w:ascii="Arial" w:hAnsi="Arial" w:eastAsia="Noto Sans CJK KR"/>
          <w:b w:val="0"/>
          <w:sz w:val="20"/>
        </w:rPr>
        <w:t>대만 현지 인터뷰에서 버블티 관련 디자인이 관광객에게 인기 있다는 인사이트를 확인한 것처럼, 한국 소비자를 대상으로는 현지 감성에 맞는 디자인 강화가 중요하다. Cup Tie 2의 기존 4종 캐릭터 외에 버블티 그래픽이나 한국 소비자에게 친숙한 요소를 반영한 한국 한정 에디션을 기획하거나, 선물 패키지 구성을 강화하는 방향이 유효하다. 특히 펀딩 데이터에서 평균 객단가가 62,557원으로 나타난 점은, 실제 구매자들이 세트 구성이나 선물용으로 구매했을 가능성이 높다는 점을 시사하며, 이를 적극 활용하는 포지셔닝이 필요하다.</w:t>
      </w:r>
    </w:p>
    <w:p>
      <w:pPr>
        <w:pStyle w:val="Heading3"/>
        <w:pageBreakBefore w:val="0"/>
        <w:spacing w:before="241"/>
      </w:pPr>
      <w:r>
        <w:rPr>
          <w:rFonts w:ascii="Arial" w:hAnsi="Arial" w:eastAsia="Noto Sans CJK KR"/>
          <w:b/>
          <w:sz w:val="20"/>
        </w:rPr>
        <w:t>④ 크라우드펀딩 플랫폼 활용 방식의 개선</w:t>
      </w:r>
    </w:p>
    <w:p>
      <w:pPr>
        <w:pageBreakBefore w:val="0"/>
        <w:widowControl/>
        <w:spacing w:before="241"/>
      </w:pPr>
      <w:r>
        <w:rPr>
          <w:rFonts w:ascii="Arial" w:hAnsi="Arial" w:eastAsia="Noto Sans CJK KR"/>
          <w:b w:val="0"/>
          <w:sz w:val="20"/>
        </w:rPr>
        <w:t>크라우드펀딩은 여전히 해외 브랜드의 초기 시장 진입 도구로서 유효하지만, 운영 방식의 개선이 필요하다. 구체적으로 펀딩 목표 금액을 보다 현실적인 수준으로 낮게 설정하여 달성률을 높이는 것이 소비자 신뢰 형성에 유리하다. 또한 얼리버드 리워드 구성과 한정 수량 전략을 통해 초반 구매를 촉진하고, 펀딩 기간 중 새소식 업데이트, 소비자 Q&amp;A 대응, 응원 댓글 유도 등을 통해 프로젝트의 활기를 유지하는 것이 중요하다. Bone Collection 본사에서 제공 가능한 고화질 사진, 공식 영상, 숏폼 광고 소재를 적극 활용하여 콘텐츠 품질을 높이는 것도 전환율 개선에 기여할 수 있다.</w:t>
      </w:r>
    </w:p>
    <w:p>
      <w:pPr>
        <w:pStyle w:val="Heading3"/>
        <w:pageBreakBefore w:val="0"/>
        <w:spacing w:before="241"/>
      </w:pPr>
      <w:r>
        <w:rPr>
          <w:rFonts w:ascii="Arial" w:hAnsi="Arial" w:eastAsia="Noto Sans CJK KR"/>
          <w:b/>
          <w:sz w:val="20"/>
        </w:rPr>
        <w:t>⑤ 단계적 유통 확장 전략 유지</w:t>
      </w:r>
    </w:p>
    <w:p>
      <w:pPr>
        <w:pageBreakBefore w:val="0"/>
        <w:widowControl/>
        <w:spacing w:before="241"/>
      </w:pPr>
      <w:r>
        <w:rPr>
          <w:rFonts w:ascii="Arial" w:hAnsi="Arial" w:eastAsia="Noto Sans CJK KR"/>
          <w:b w:val="0"/>
          <w:sz w:val="20"/>
        </w:rPr>
        <w:t>크라우드펀딩을 통한 초기 진입 이후에는 네이버 스마트스토어, 쿠팡 등 온라인 채널로 확장하는 단계적 유통 전략을 유지하되, 충분한 리뷰와 소비자 반응 데이터를 축적한 후 진행하는 것이 중요하다. 장기적으로는 친환경 라이프스타일 편집숍 입점이나 대만 감성 팝업스토어 운영 등 오프라인 경험 기회를 통해 제품에 대한 직접적인 체험 기회를 소비자에게 제공하는 방향도 검토할 수 있다.</w:t>
      </w:r>
    </w:p>
    <w:p>
      <w:pPr>
        <w:pageBreakBefore w:val="0"/>
        <w:widowControl/>
        <w:spacing w:before="241"/>
      </w:pPr>
      <w:r>
        <w:rPr>
          <w:rFonts w:ascii="Arial" w:hAnsi="Arial" w:eastAsia="Noto Sans CJK KR"/>
          <w:b w:val="0"/>
          <w:sz w:val="20"/>
        </w:rPr>
        <w:t>종합하면, 본 연구는 대만 로컬 브랜드 제품의 한국 시장 진입 과정을 수입 추진 과정을 직접 수행한 사례연구로서, 비록 와디즈 펀딩은 목표 달성에 실패하였지만 실패의 원인과 구조적 한계를 수치와 현지 조사를 통해 구체적으로 확인할 수 있었다는 점에서 의의가 있다. 브랜드 인지도 선행 구축, 타겟과 채널의 정합성 확보, 체험 기반 마케팅, 선물용·캐릭터 포지셔닝 강화라는 네 가지 방향이 향후 대만 로컬 브랜드의 한국 시장 진입 전략에서 핵심 과제가 될 것으로 판단된다.</w:t>
      </w:r>
    </w:p>
    <w:p>
      <w:pPr>
        <w:pStyle w:val="Heading1"/>
        <w:pageBreakBefore/>
        <w:spacing w:before="360"/>
      </w:pPr>
      <w:r>
        <w:rPr>
          <w:rFonts w:ascii="Arial" w:hAnsi="Arial" w:eastAsia="Noto Sans CJK KR"/>
          <w:b/>
          <w:sz w:val="24"/>
        </w:rPr>
        <w:t>Ⅷ. 참고문헌</w:t>
      </w:r>
    </w:p>
    <w:p>
      <w:pPr>
        <w:pageBreakBefore w:val="0"/>
        <w:widowControl/>
        <w:spacing w:before="248"/>
      </w:pPr>
      <w:r>
        <w:rPr>
          <w:rFonts w:ascii="Arial" w:hAnsi="Arial" w:eastAsia="Noto Sans CJK KR"/>
          <w:b w:val="0"/>
          <w:sz w:val="20"/>
        </w:rPr>
        <w:t>[학술 자료]</w:t>
      </w:r>
    </w:p>
    <w:p>
      <w:pPr>
        <w:pageBreakBefore w:val="0"/>
        <w:widowControl/>
        <w:spacing w:before="241"/>
      </w:pPr>
      <w:r>
        <w:rPr>
          <w:rFonts w:ascii="Arial" w:hAnsi="Arial" w:eastAsia="Noto Sans CJK KR"/>
          <w:b w:val="0"/>
          <w:sz w:val="20"/>
        </w:rPr>
        <w:t>김미예, 옥경영. (2021). MZ세대의 소비자책임인식, 소비자교육이 지속가능소비에 미치는 영향: 기업책임행동의 매개효과를 중심으로. 소비자정책교육연구, 17(3), 63-82.</w:t>
      </w:r>
    </w:p>
    <w:p>
      <w:pPr>
        <w:pageBreakBefore w:val="0"/>
        <w:widowControl/>
        <w:spacing w:before="241"/>
      </w:pPr>
      <w:r>
        <w:rPr>
          <w:rFonts w:ascii="Arial" w:hAnsi="Arial" w:eastAsia="Noto Sans CJK KR"/>
          <w:b w:val="0"/>
          <w:sz w:val="20"/>
        </w:rPr>
        <w:t>김수인, 이병관. (2022). 시민적 크라우드 펀딩의 성공 요인: 비영리조직의 '와디즈' 이용 사례 분석. 시민사회와 NGO, 20(1), 3-36.</w:t>
      </w:r>
    </w:p>
    <w:p>
      <w:pPr>
        <w:pageBreakBefore w:val="0"/>
        <w:widowControl/>
        <w:spacing w:before="241"/>
      </w:pPr>
      <w:r>
        <w:rPr>
          <w:rFonts w:ascii="Arial" w:hAnsi="Arial" w:eastAsia="Noto Sans CJK KR"/>
          <w:b w:val="0"/>
          <w:sz w:val="20"/>
        </w:rPr>
        <w:t>김홍일, 이창수. (2014). 국내 창업분야 크라우드펀딩(Crowdfunding) 현황과 성공전략. 벤처창업연구, 9(4), 51-57.</w:t>
      </w:r>
    </w:p>
    <w:p>
      <w:pPr>
        <w:pageBreakBefore w:val="0"/>
        <w:widowControl/>
        <w:spacing w:before="0"/>
      </w:pPr>
      <w:r>
        <w:rPr>
          <w:rFonts w:ascii="Arial" w:hAnsi="Arial" w:eastAsia="Noto Sans CJK KR"/>
          <w:b w:val="0"/>
          <w:sz w:val="20"/>
        </w:rPr>
        <w:t>김난도 외. (2024). 『트렌드 코리아 2025』. 서울: 미래의창.</w:t>
      </w:r>
    </w:p>
    <w:p>
      <w:pPr>
        <w:pageBreakBefore w:val="0"/>
        <w:widowControl/>
        <w:spacing w:before="241"/>
      </w:pPr>
      <w:r>
        <w:rPr>
          <w:rFonts w:ascii="Arial" w:hAnsi="Arial" w:eastAsia="Noto Sans CJK KR"/>
          <w:b w:val="0"/>
          <w:sz w:val="20"/>
        </w:rPr>
        <w:t>손광표, 황원경. (2021). 소비자가 본 ESG와 친환경 소비 행동. 서울: KB금융지주 경영연구소.</w:t>
      </w:r>
    </w:p>
    <w:p>
      <w:pPr>
        <w:pageBreakBefore w:val="0"/>
        <w:widowControl/>
        <w:spacing w:before="241"/>
      </w:pPr>
      <w:r>
        <w:rPr>
          <w:rFonts w:ascii="Arial" w:hAnsi="Arial" w:eastAsia="Noto Sans CJK KR"/>
          <w:b w:val="0"/>
          <w:sz w:val="20"/>
        </w:rPr>
        <w:t>유서영, 심서연, 김민정. (2022). MZ세대의 녹색 소비 인식과 행동에 관한 탐색적 연구. 한국가정관리학회지(생활과학연구), 32, 1-18.</w:t>
      </w:r>
    </w:p>
    <w:p>
      <w:pPr>
        <w:pageBreakBefore w:val="0"/>
        <w:widowControl/>
        <w:spacing w:before="241"/>
      </w:pPr>
      <w:r>
        <w:rPr>
          <w:rFonts w:ascii="Arial" w:hAnsi="Arial" w:eastAsia="Noto Sans CJK KR"/>
          <w:b w:val="0"/>
          <w:sz w:val="20"/>
        </w:rPr>
        <w:t>유제현, 김새로미. (2018). 크라우드펀딩 바이럴 마케팅 효과 사례 및 분석: 디자인 브랜드 창업을 중심으로. 브랜드디자인학연구, 16(3), 25-36.</w:t>
      </w:r>
    </w:p>
    <w:p>
      <w:pPr>
        <w:pageBreakBefore w:val="0"/>
        <w:widowControl/>
        <w:spacing w:before="241"/>
      </w:pPr>
      <w:r>
        <w:rPr>
          <w:rFonts w:ascii="Arial" w:hAnsi="Arial" w:eastAsia="Noto Sans CJK KR"/>
          <w:b w:val="0"/>
          <w:sz w:val="20"/>
        </w:rPr>
        <w:t>이송하, 박재성. (2022). 리워드형 크라우드펀딩 투자자의 투자 의도에 관한 연구: 확장된 계획행동이론을 중심으로. 디지털융복합연구, 20(3), 251-264.</w:t>
      </w:r>
    </w:p>
    <w:p>
      <w:pPr>
        <w:pageBreakBefore w:val="0"/>
        <w:widowControl/>
        <w:spacing w:before="241"/>
      </w:pPr>
      <w:r>
        <w:rPr>
          <w:rFonts w:ascii="Arial" w:hAnsi="Arial" w:eastAsia="Noto Sans CJK KR"/>
          <w:b w:val="0"/>
          <w:sz w:val="20"/>
        </w:rPr>
        <w:t>이애리, 조성욱, 이선재. (2016). 보상형 크라우드펀딩 플랫폼의 참여 활성화 요인. 한국정보시스템학회지, 25(2), 179-207.</w:t>
      </w:r>
    </w:p>
    <w:p>
      <w:pPr>
        <w:pageBreakBefore w:val="0"/>
        <w:widowControl/>
        <w:spacing w:before="241"/>
      </w:pPr>
      <w:r>
        <w:rPr>
          <w:rFonts w:ascii="Arial" w:hAnsi="Arial" w:eastAsia="Noto Sans CJK KR"/>
          <w:b w:val="0"/>
          <w:sz w:val="20"/>
        </w:rPr>
        <w:t>이정아, 권순동. (2021). 보상형 크라우드펀딩 프로젝트의 성공요인에 관한 연구: 사회적 신호와 정보특성을 중심으로. 경영정보학연구, 31(2), 57-85.</w:t>
      </w:r>
    </w:p>
    <w:p>
      <w:pPr>
        <w:pageBreakBefore w:val="0"/>
        <w:widowControl/>
        <w:spacing w:before="241"/>
      </w:pPr>
      <w:r>
        <w:rPr>
          <w:rFonts w:ascii="Arial" w:hAnsi="Arial" w:eastAsia="Noto Sans CJK KR"/>
          <w:b w:val="0"/>
          <w:sz w:val="20"/>
        </w:rPr>
        <w:t>정주원, 조소연. (2023). 소비가치와 친환경구매동기가 친환경구매행동에 미치는 영향: MZ세대와 X세대를 중심으로. 한국생활과학회지, 32(5), 569-583.</w:t>
      </w:r>
    </w:p>
    <w:p>
      <w:pPr>
        <w:pageBreakBefore w:val="0"/>
        <w:widowControl/>
        <w:spacing w:before="241"/>
      </w:pPr>
      <w:r>
        <w:rPr>
          <w:rFonts w:ascii="Arial" w:hAnsi="Arial" w:eastAsia="Noto Sans CJK KR"/>
          <w:b w:val="0"/>
          <w:sz w:val="20"/>
        </w:rPr>
        <w:t>[웹사이트 및 기사 자료]</w:t>
      </w:r>
    </w:p>
    <w:p>
      <w:pPr>
        <w:pageBreakBefore w:val="0"/>
        <w:widowControl/>
        <w:spacing w:before="241"/>
      </w:pPr>
      <w:r>
        <w:rPr>
          <w:rFonts w:ascii="Arial" w:hAnsi="Arial" w:eastAsia="Noto Sans CJK KR"/>
          <w:b w:val="0"/>
          <w:sz w:val="20"/>
        </w:rPr>
        <w:t>Bone Collection. 공식 홈페이지. https://www.bonecollection.com (검색일: 2026.05.07)</w:t>
      </w:r>
    </w:p>
    <w:p>
      <w:pPr>
        <w:pageBreakBefore w:val="0"/>
        <w:widowControl/>
        <w:spacing w:before="241"/>
      </w:pPr>
      <w:r>
        <w:rPr>
          <w:rFonts w:ascii="Arial" w:hAnsi="Arial" w:eastAsia="Noto Sans CJK KR"/>
          <w:b w:val="0"/>
          <w:sz w:val="20"/>
        </w:rPr>
        <w:t>Amazon. Bone Collection 제품 페이지. https://www.amazon.com (검색일: 2026.05.07)</w:t>
      </w:r>
    </w:p>
    <w:p>
      <w:pPr>
        <w:pageBreakBefore w:val="0"/>
        <w:widowControl/>
        <w:spacing w:before="241"/>
      </w:pPr>
      <w:r>
        <w:rPr>
          <w:rFonts w:ascii="Arial" w:hAnsi="Arial" w:eastAsia="Noto Sans CJK KR"/>
          <w:b w:val="0"/>
          <w:sz w:val="20"/>
        </w:rPr>
        <w:t>Pinkoi. Bone Collection 제품 페이지. https://www.pinkoi.com (검색일: 2026.05.07)</w:t>
      </w:r>
    </w:p>
    <w:p>
      <w:pPr>
        <w:pageBreakBefore w:val="0"/>
        <w:widowControl/>
        <w:spacing w:before="241"/>
      </w:pPr>
      <w:r>
        <w:rPr>
          <w:rFonts w:ascii="Arial" w:hAnsi="Arial" w:eastAsia="Noto Sans CJK KR"/>
          <w:b w:val="0"/>
          <w:sz w:val="20"/>
        </w:rPr>
        <w:t>Greenpeace Taiwan. (2022.08.29). 臺北市宣布12月起禁用一次性塑膠飲料杯. https://www.greenpeace.org/taiwan/update/32080/</w:t>
      </w:r>
    </w:p>
    <w:p>
      <w:pPr>
        <w:pageBreakBefore w:val="0"/>
        <w:widowControl/>
        <w:spacing w:before="241"/>
      </w:pPr>
      <w:r>
        <w:rPr>
          <w:rFonts w:ascii="Arial" w:hAnsi="Arial" w:eastAsia="Noto Sans CJK KR"/>
          <w:b w:val="0"/>
          <w:sz w:val="20"/>
        </w:rPr>
        <w:t>환경자료센터(環境資訊中心). (2024.07.30). 9月1日起全台飲料店禁一次性塑膠飲料杯. https://e-info.org.tw/node/239600</w:t>
      </w:r>
    </w:p>
    <w:p>
      <w:pPr>
        <w:pageBreakBefore w:val="0"/>
        <w:widowControl/>
        <w:spacing w:before="241"/>
      </w:pPr>
      <w:r>
        <w:rPr>
          <w:rFonts w:ascii="Arial" w:hAnsi="Arial" w:eastAsia="Noto Sans CJK KR"/>
          <w:b w:val="0"/>
          <w:sz w:val="20"/>
        </w:rPr>
        <w:t>조하니. (2026.03.24). 1컵 캐리어 도입한 스타벅스…대만은 무료인데 한국은 유료, 왜?. 에너지경제신문. https://m.ekn.kr/view.php?key=20260324020090113</w:t>
      </w:r>
    </w:p>
    <w:p>
      <w:pPr>
        <w:pageBreakBefore w:val="0"/>
        <w:widowControl/>
        <w:spacing w:before="241"/>
      </w:pPr>
      <w:r>
        <w:rPr>
          <w:rFonts w:ascii="Arial" w:hAnsi="Arial" w:eastAsia="Noto Sans CJK KR"/>
          <w:b w:val="0"/>
          <w:sz w:val="20"/>
        </w:rPr>
        <w:t>한국경제. (2024.05.12). 작년 17개 카페·패스트푸드점서 일회용컵 9억4천개 썼다. https://www.hankyung.com/article/202405123088Y</w:t>
      </w:r>
    </w:p>
    <w:p>
      <w:pPr>
        <w:pageBreakBefore w:val="0"/>
        <w:widowControl/>
        <w:spacing w:before="241"/>
      </w:pPr>
      <w:r>
        <w:rPr>
          <w:rFonts w:ascii="Arial" w:hAnsi="Arial" w:eastAsia="Noto Sans CJK KR"/>
          <w:b w:val="0"/>
          <w:sz w:val="20"/>
        </w:rPr>
        <w:t>더나은미래. 지난해 일회용 컵 10억개 사용… 회수 비율은 18%에 불과. https://futurechosun.com/archives/68261</w:t>
      </w:r>
    </w:p>
    <w:p>
      <w:pPr>
        <w:pageBreakBefore w:val="0"/>
        <w:widowControl/>
        <w:spacing w:before="241"/>
      </w:pPr>
      <w:r>
        <w:rPr>
          <w:rFonts w:ascii="Arial" w:hAnsi="Arial" w:eastAsia="Noto Sans CJK KR"/>
          <w:b w:val="0"/>
          <w:sz w:val="20"/>
        </w:rPr>
        <w:t>YTN 사이언스. (2023.11.07). 카페·식당 내 종이컵 규제 철회...플라스틱 빨대는 계도기간 연장. https://science.ytn.co.kr/program/view.php?mcd=0082&amp;key=202311071624568359</w:t>
      </w:r>
    </w:p>
    <w:p>
      <w:pPr>
        <w:pageBreakBefore w:val="0"/>
        <w:widowControl/>
        <w:spacing w:before="241"/>
      </w:pPr>
      <w:r>
        <w:rPr>
          <w:rFonts w:ascii="Arial" w:hAnsi="Arial" w:eastAsia="Noto Sans CJK KR"/>
          <w:b w:val="0"/>
          <w:sz w:val="20"/>
        </w:rPr>
        <w:t>지그재그. 줄라이크 텀블러 캐리어 실리콘 컵홀더 컵타이. https://zigzag.kr/catalog/products/140791668 (검색일: 2026.05.10)</w:t>
      </w:r>
    </w:p>
    <w:p>
      <w:pPr>
        <w:pageBreakBefore w:val="0"/>
        <w:widowControl/>
        <w:spacing w:before="241"/>
      </w:pPr>
      <w:r>
        <w:rPr>
          <w:rFonts w:ascii="Arial" w:hAnsi="Arial" w:eastAsia="Noto Sans CJK KR"/>
          <w:b w:val="0"/>
          <w:sz w:val="20"/>
        </w:rPr>
        <w:t>지그재그. 우제스트 대만 뻬이따이 컵홀더. https://zigzag.kr/catalog/products/161582656 (검색일: 2026.05.10)</w:t>
      </w:r>
    </w:p>
    <w:p>
      <w:pPr>
        <w:pageBreakBefore w:val="0"/>
        <w:widowControl/>
        <w:spacing w:before="0"/>
      </w:pPr>
      <w:r>
        <w:rPr>
          <w:rFonts w:ascii="Arial" w:hAnsi="Arial" w:eastAsia="Noto Sans CJK KR"/>
          <w:b w:val="0"/>
          <w:sz w:val="20"/>
        </w:rPr>
        <w:t>지그재그. 그리샵 대만 컵타이 빼이따이. https://zigzag.kr/catalog/products/163978662 (검색일: 2026.05.10)</w:t>
      </w:r>
    </w:p>
    <w:p>
      <w:pPr>
        <w:pageBreakBefore w:val="0"/>
        <w:widowControl/>
        <w:spacing w:before="241"/>
      </w:pPr>
      <w:r>
        <w:rPr>
          <w:rFonts w:ascii="Arial" w:hAnsi="Arial" w:eastAsia="Noto Sans CJK KR"/>
          <w:b w:val="0"/>
          <w:sz w:val="20"/>
        </w:rPr>
        <w:t>갓샵. 대만 뻬이따이 컵타이 텀블러 컵홀더 만들기. 핫트랙스. https://hottracks.kyobobook.co.kr/gift/detail/S000217108641</w:t>
      </w:r>
    </w:p>
    <w:p>
      <w:pPr>
        <w:pageBreakBefore w:val="0"/>
        <w:widowControl/>
        <w:spacing w:before="241"/>
      </w:pPr>
      <w:r>
        <w:rPr>
          <w:rFonts w:ascii="Arial" w:hAnsi="Arial" w:eastAsia="Noto Sans CJK KR"/>
          <w:b w:val="0"/>
          <w:sz w:val="20"/>
        </w:rPr>
        <w:t>카카오 선물하기. 대만 뻬이따이 컵타이 롱 컵홀더 만들기. https://gift.kakao.com/product/11981946</w:t>
      </w:r>
    </w:p>
    <w:p>
      <w:pPr>
        <w:pageBreakBefore w:val="0"/>
        <w:widowControl/>
        <w:spacing w:before="241"/>
      </w:pPr>
      <w:r>
        <w:rPr>
          <w:rFonts w:ascii="Arial" w:hAnsi="Arial" w:eastAsia="Noto Sans CJK KR"/>
          <w:b w:val="0"/>
          <w:sz w:val="20"/>
        </w:rPr>
        <w:t>아이디어스. 뜨개컵홀더 / 가죽컵홀더 / 텀블러가방 검색 페이지. https://idus.com (검색일: 2026.05.10)</w:t>
      </w:r>
    </w:p>
    <w:p>
      <w:pPr>
        <w:pageBreakBefore w:val="0"/>
        <w:widowControl/>
        <w:spacing w:before="241"/>
      </w:pPr>
      <w:r>
        <w:rPr>
          <w:rFonts w:ascii="Arial" w:hAnsi="Arial" w:eastAsia="Noto Sans CJK KR"/>
          <w:b w:val="0"/>
          <w:sz w:val="20"/>
        </w:rPr>
        <w:t>오픈서베이. (2022). 테이크아웃 꽉 잡은 메가커피·컴포즈커피, 카페 시장 판도 바꿀까. https://blog.opensurvey.co.kr/article/cafe-2022-2/ (검색일: 2026.05.14)</w:t>
      </w:r>
    </w:p>
    <w:p>
      <w:pPr>
        <w:pageBreakBefore w:val="0"/>
        <w:widowControl/>
        <w:spacing w:before="241"/>
      </w:pPr>
      <w:r>
        <w:rPr>
          <w:rFonts w:ascii="Arial" w:hAnsi="Arial" w:eastAsia="Noto Sans CJK KR"/>
          <w:b w:val="0"/>
          <w:sz w:val="20"/>
        </w:rPr>
        <w:t>한국소비자원. 커피전문점 1회용품 사용 실태 및 인식조사. https://www.kca.go.kr/smartconsumer/board/download.do?fno=10023076 (검색일: 2026.05.14)</w:t>
      </w:r>
    </w:p>
    <w:p>
      <w:pPr>
        <w:pageBreakBefore w:val="0"/>
        <w:widowControl/>
        <w:spacing w:before="241"/>
      </w:pPr>
      <w:r>
        <w:rPr>
          <w:rFonts w:ascii="Arial" w:hAnsi="Arial" w:eastAsia="Noto Sans CJK KR"/>
          <w:b w:val="0"/>
          <w:sz w:val="20"/>
        </w:rPr>
        <w:t>경향신문. (2018.11.28). 커피 테이크아웃 때 일회용컵 10명 중 9명꼴 사용. https://www.khan.co.kr/article/201811281013001</w:t>
      </w:r>
    </w:p>
    <w:p>
      <w:pPr>
        <w:pageBreakBefore w:val="0"/>
        <w:widowControl/>
        <w:spacing w:before="241"/>
      </w:pPr>
      <w:r>
        <w:rPr>
          <w:rFonts w:ascii="Arial" w:hAnsi="Arial" w:eastAsia="Noto Sans CJK KR"/>
          <w:b w:val="0"/>
          <w:sz w:val="20"/>
        </w:rPr>
        <w:t>heypop. (2024). 2025년 떠오를 소비 트렌드는?. https://heypop.kr/n/108232/</w:t>
      </w:r>
    </w:p>
    <w:p>
      <w:pPr>
        <w:pageBreakBefore w:val="0"/>
        <w:widowControl/>
        <w:spacing w:before="241"/>
      </w:pPr>
      <w:r>
        <w:rPr>
          <w:rFonts w:ascii="Arial" w:hAnsi="Arial" w:eastAsia="Noto Sans CJK KR"/>
          <w:b w:val="0"/>
          <w:sz w:val="20"/>
        </w:rPr>
        <w:t>한국경제. (2024.06.03). 요즘 이거 없으면 '왕따' 당할 판…1020 '텀꾸' 열풍. https://www.hankyung.com/article/2024060322927</w:t>
      </w:r>
    </w:p>
    <w:p>
      <w:pPr>
        <w:pageBreakBefore w:val="0"/>
        <w:widowControl/>
        <w:spacing w:before="241"/>
      </w:pPr>
      <w:r>
        <w:rPr>
          <w:rFonts w:ascii="Arial" w:hAnsi="Arial" w:eastAsia="Noto Sans CJK KR"/>
          <w:b w:val="0"/>
          <w:sz w:val="20"/>
        </w:rPr>
        <w:t>Bone Collection. Cup Tie 제품 상세 페이지. Amazon.com. https://www.amazon.com/Bone-Collection-Carrier-Reusable-Beverage/dp/B07GR5TWB9</w:t>
      </w:r>
    </w:p>
    <w:p>
      <w:pPr>
        <w:pageBreakBefore w:val="0"/>
        <w:widowControl/>
        <w:spacing w:before="241"/>
      </w:pPr>
      <w:r>
        <w:rPr>
          <w:rFonts w:ascii="Arial" w:hAnsi="Arial" w:eastAsia="Noto Sans CJK KR"/>
          <w:b w:val="0"/>
          <w:sz w:val="20"/>
        </w:rPr>
        <w:t>대한상공회의소. (2022). MZ세대가 바라본 ESG 경영과 소비 트렌드 조사.</w:t>
      </w:r>
    </w:p>
    <w:p>
      <w:pPr>
        <w:pageBreakBefore w:val="0"/>
        <w:widowControl/>
        <w:spacing w:before="241"/>
      </w:pPr>
      <w:r>
        <w:rPr>
          <w:rFonts w:ascii="Arial" w:hAnsi="Arial" w:eastAsia="Noto Sans CJK KR"/>
          <w:b w:val="0"/>
          <w:sz w:val="20"/>
        </w:rPr>
        <w:t>한국경제. (2022.04.03). MZ세대 64.5%, ESG 기업 제품이면 비싸도 산다. https://www.hankyung.com/article/2022040301311</w:t>
      </w:r>
    </w:p>
    <w:p>
      <w:pPr>
        <w:pageBreakBefore w:val="0"/>
        <w:widowControl/>
        <w:spacing w:before="241"/>
      </w:pPr>
      <w:r>
        <w:rPr>
          <w:rFonts w:ascii="Arial" w:hAnsi="Arial" w:eastAsia="Noto Sans CJK KR"/>
          <w:b w:val="0"/>
          <w:sz w:val="20"/>
        </w:rPr>
        <w:t>뉴시스. (2025.08.03). 혈당·노화케어 주목… 와디즈 이너뷰티 펀딩 2.7배 급증. https://www.newsis.com/view/NISX20250801_0003275855</w:t>
      </w:r>
    </w:p>
    <w:p>
      <w:pPr>
        <w:pageBreakBefore w:val="0"/>
        <w:widowControl/>
        <w:spacing w:before="241"/>
      </w:pPr>
      <w:r>
        <w:rPr>
          <w:rFonts w:ascii="Arial" w:hAnsi="Arial" w:eastAsia="Noto Sans CJK KR"/>
          <w:b w:val="0"/>
          <w:sz w:val="20"/>
        </w:rPr>
        <w:t>와디즈 도움말센터. 와디즈 광고 신청은 어떻게 하나요?. https://helpcenter.wadiz.kr/hc/ko/articles/28213063229081</w:t>
      </w:r>
    </w:p>
    <w:p>
      <w:pPr>
        <w:pageBreakBefore w:val="0"/>
        <w:widowControl/>
        <w:spacing w:before="241"/>
      </w:pPr>
      <w:r>
        <w:rPr>
          <w:rFonts w:ascii="Arial" w:hAnsi="Arial" w:eastAsia="Noto Sans CJK KR"/>
          <w:b w:val="0"/>
          <w:sz w:val="20"/>
        </w:rPr>
        <w:t>우정사업본부. 국내소포 우편요금표(2025.6.1 시행). https://www.koreapost.go.kr</w:t>
      </w:r>
    </w:p>
    <w:sectPr w:rsidR="00FC693F" w:rsidRPr="0006063C" w:rsidSect="00034616">
      <w:footerReference w:type="default" r:id="rId9"/>
      <w:pgSz w:w="11920" w:h="16840"/>
      <w:pgMar w:top="1440" w:right="1440" w:bottom="1349" w:left="1440" w:header="720" w:footer="72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r>
      <w:rPr>
        <w:rFonts w:ascii="Arial" w:hAnsi="Arial" w:eastAsia="Noto Sans CJK KR"/>
        <w:b w:val="0"/>
        <w:sz w:val="16"/>
      </w:rPr>
    </w:r>
  </w:p>
</w:ftr>
</file>

<file path=word/footnotes.xml><?xml version="1.0" encoding="utf-8"?>
<w:footnotes xmlns:w="http://schemas.openxmlformats.org/wordprocessingml/2006/main">
  <w:footnote w:type="separator" w:id="-1">
    <w:p>
      <w:r>
        <w:separator/>
      </w:r>
    </w:p>
  </w:footnote>
  <w:footnote w:type="continuationSeparator" w:id="0">
    <w:p>
      <w:r>
        <w:continuationSeparator/>
      </w:r>
    </w:p>
  </w:footnote>
  <w:footnote w:id="1">
    <w:p>
      <w:pPr>
        <w:pStyle w:val="FootnoteText"/>
      </w:pPr>
      <w:r>
        <w:rPr>
          <w:rStyle w:val="FootnoteReference"/>
        </w:rPr>
        <w:footnoteRef/>
      </w:r>
      <w:r>
        <w:t xml:space="preserve"> Rodríguez-Garnica, G., Gutiérrez-Urtiaga, M., &amp; Tribó, J. A. (2025). Signaling and herding in reward-based crowdfunding. Small Business Economics, 64(3), 889–916. DOI: 10.1007/s11187-024-00933-z.</w:t>
      </w:r>
    </w:p>
  </w:footnote>
  <w:footnote w:id="2">
    <w:p>
      <w:pPr>
        <w:pStyle w:val="FootnoteText"/>
      </w:pPr>
      <w:r>
        <w:rPr>
          <w:rStyle w:val="FootnoteReference"/>
        </w:rPr>
        <w:footnoteRef/>
      </w:r>
      <w:r>
        <w:t xml:space="preserve"> Appio, F. P., Leone, D., Platania, F., &amp; Schiavone, F. (2020). Why are rewards not delivered on time in rewards-based crowdfunding campaigns? An empirical exploration. Technological Forecasting and Social Change, 157, 120069. DOI: 10.1016/j.techfore.2020.120069.</w:t>
      </w:r>
    </w:p>
  </w:footnote>
</w:footnote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65" w:lineRule="exact" w:after="0"/>
    </w:pPr>
    <w:rPr>
      <w:rFonts w:ascii="Arial" w:hAnsi="Arial" w:eastAsia="Noto Sans CJK KR"/>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0" w:line="310" w:lineRule="exact"/>
      <w:outlineLvl w:val="0"/>
    </w:pPr>
    <w:rPr>
      <w:rFonts w:asciiTheme="majorHAnsi" w:eastAsiaTheme="majorEastAsia" w:hAnsiTheme="majorHAnsi" w:cstheme="majorBidi" w:ascii="Arial" w:hAnsi="Arial" w:eastAsia="Noto Sans CJK KR"/>
      <w:b/>
      <w:bCs/>
      <w:color w:val="000000"/>
      <w:sz w:val="24"/>
      <w:szCs w:val="28"/>
    </w:rPr>
  </w:style>
  <w:style w:type="paragraph" w:styleId="Heading2">
    <w:name w:val="heading 2"/>
    <w:basedOn w:val="Normal"/>
    <w:next w:val="Normal"/>
    <w:link w:val="Heading2Char"/>
    <w:uiPriority w:val="9"/>
    <w:unhideWhenUsed/>
    <w:qFormat/>
    <w:rsid w:val="00FC693F"/>
    <w:pPr>
      <w:keepNext/>
      <w:keepLines/>
      <w:spacing w:before="0" w:after="0" w:line="310" w:lineRule="exact"/>
      <w:outlineLvl w:val="1"/>
    </w:pPr>
    <w:rPr>
      <w:rFonts w:asciiTheme="majorHAnsi" w:eastAsiaTheme="majorEastAsia" w:hAnsiTheme="majorHAnsi" w:cstheme="majorBidi" w:ascii="Arial" w:hAnsi="Arial" w:eastAsia="Noto Sans CJK KR"/>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0" w:after="0" w:line="310" w:lineRule="exact"/>
      <w:outlineLvl w:val="2"/>
    </w:pPr>
    <w:rPr>
      <w:rFonts w:asciiTheme="majorHAnsi" w:eastAsiaTheme="majorEastAsia" w:hAnsiTheme="majorHAnsi" w:cstheme="majorBidi" w:ascii="Arial" w:hAnsi="Arial" w:eastAsia="Noto Sans CJK KR"/>
      <w:b/>
      <w:bCs/>
      <w:color w:val="000000"/>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0" w:line="265" w:lineRule="exact"/>
    </w:pPr>
    <w:rPr>
      <w:rFonts w:ascii="Arial" w:hAnsi="Arial" w:eastAsia="Noto Sans CJK KR"/>
      <w:sz w:val="20"/>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FootnoteText">
    <w:name w:val="Footnote Text"/>
    <w:pPr>
      <w:spacing w:line="210" w:lineRule="exact"/>
    </w:pPr>
    <w:rPr>
      <w:rFonts w:ascii="Arial" w:hAnsi="Arial" w:eastAsia="Noto Sans CJK KR"/>
      <w:sz w:val="16"/>
    </w:rPr>
  </w:style>
  <w:style w:type="character" w:customStyle="1" w:styleId="FootnoteReference">
    <w:name w:val="Footnote Reference"/>
    <w:rPr>
      <w:sz w:val="16"/>
      <w:vertAlign w:val="superscript"/>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jpg"/><Relationship Id="rId12" Type="http://schemas.openxmlformats.org/officeDocument/2006/relationships/image" Target="media/image3.jpg"/><Relationship Id="rId13" Type="http://schemas.openxmlformats.org/officeDocument/2006/relationships/image" Target="media/image4.jpg"/><Relationship Id="rId14" Type="http://schemas.openxmlformats.org/officeDocument/2006/relationships/image" Target="media/image5.jpg"/><Relationship Id="rId15" Type="http://schemas.openxmlformats.org/officeDocument/2006/relationships/image" Target="media/image6.jpg"/><Relationship Id="rId16" Type="http://schemas.openxmlformats.org/officeDocument/2006/relationships/image" Target="media/image7.jpg"/><Relationship Id="rId17" Type="http://schemas.openxmlformats.org/officeDocument/2006/relationships/image" Target="media/image8.jpg"/><Relationship Id="rId18" Type="http://schemas.openxmlformats.org/officeDocument/2006/relationships/image" Target="media/image9.jpg"/><Relationship Id="rId19" Type="http://schemas.openxmlformats.org/officeDocument/2006/relationships/image" Target="media/image10.jpg"/><Relationship Id="rId20" Type="http://schemas.openxmlformats.org/officeDocument/2006/relationships/image" Target="media/image11.jpg"/><Relationship Id="rId21" Type="http://schemas.openxmlformats.org/officeDocument/2006/relationships/image" Target="media/image12.jpg"/><Relationship Id="rId22" Type="http://schemas.openxmlformats.org/officeDocument/2006/relationships/image" Target="media/image13.jpg"/><Relationship Id="rId23" Type="http://schemas.openxmlformats.org/officeDocument/2006/relationships/image" Target="media/image14.jpg"/><Relationship Id="rId24" Type="http://schemas.openxmlformats.org/officeDocument/2006/relationships/image" Target="media/image15.jpg"/><Relationship Id="rId25" Type="http://schemas.openxmlformats.org/officeDocument/2006/relationships/image" Target="media/image16.jpg"/><Relationship Id="rId26" Type="http://schemas.openxmlformats.org/officeDocument/2006/relationships/image" Target="media/image17.jpg"/><Relationship Id="rId27" Type="http://schemas.openxmlformats.org/officeDocument/2006/relationships/image" Target="media/image18.jpg"/><Relationship Id="rId28" Type="http://schemas.openxmlformats.org/officeDocument/2006/relationships/image" Target="media/image19.jpg"/><Relationship Id="rId29" Type="http://schemas.openxmlformats.org/officeDocument/2006/relationships/image" Target="media/image20.jpg"/><Relationship Id="rId30" Type="http://schemas.openxmlformats.org/officeDocument/2006/relationships/image" Target="media/image21.jpg"/><Relationship Id="rId31" Type="http://schemas.openxmlformats.org/officeDocument/2006/relationships/image" Target="media/image22.jpg"/><Relationship Id="rId32" Type="http://schemas.openxmlformats.org/officeDocument/2006/relationships/image" Target="media/image23.jpg"/><Relationship Id="rId33" Type="http://schemas.openxmlformats.org/officeDocument/2006/relationships/image" Target="media/image24.jpg"/><Relationship Id="rId34" Type="http://schemas.openxmlformats.org/officeDocument/2006/relationships/image" Target="media/image25.jpg"/><Relationship Id="rId35" Type="http://schemas.openxmlformats.org/officeDocument/2006/relationships/image" Target="media/image26.jpg"/><Relationship Id="rId36" Type="http://schemas.openxmlformats.org/officeDocument/2006/relationships/image" Target="media/image27.jpg"/><Relationship Id="rId37" Type="http://schemas.openxmlformats.org/officeDocument/2006/relationships/image" Target="media/image28.jpg"/><Relationship Id="rId38" Type="http://schemas.openxmlformats.org/officeDocument/2006/relationships/image" Target="media/image29.jpg"/><Relationship Id="rId39" Type="http://schemas.openxmlformats.org/officeDocument/2006/relationships/image" Target="media/image30.jpg"/><Relationship Id="rId40" Type="http://schemas.openxmlformats.org/officeDocument/2006/relationships/image" Target="media/image31.jpg"/><Relationship Id="rId41" Type="http://schemas.openxmlformats.org/officeDocument/2006/relationships/image" Target="media/image32.jpg"/><Relationship Id="rId42" Type="http://schemas.openxmlformats.org/officeDocument/2006/relationships/image" Target="media/image33.jpg"/><Relationship Id="rId43" Type="http://schemas.openxmlformats.org/officeDocument/2006/relationships/image" Target="media/image34.jpg"/><Relationship Id="rId44" Type="http://schemas.openxmlformats.org/officeDocument/2006/relationships/image" Target="media/image35.jpg"/><Relationship Id="rId45" Type="http://schemas.openxmlformats.org/officeDocument/2006/relationships/image" Target="media/image36.jpg"/><Relationship Id="rId46" Type="http://schemas.openxmlformats.org/officeDocument/2006/relationships/image" Target="media/image37.jpg"/><Relationship Id="rId47" Type="http://schemas.openxmlformats.org/officeDocument/2006/relationships/image" Target="media/image38.jpg"/><Relationship Id="rId48" Type="http://schemas.openxmlformats.org/officeDocument/2006/relationships/image" Target="media/image39.jpg"/><Relationship Id="rId49" Type="http://schemas.openxmlformats.org/officeDocument/2006/relationships/image" Target="media/image40.jpg"/><Relationship Id="rId50" Type="http://schemas.openxmlformats.org/officeDocument/2006/relationships/image" Target="media/image41.jpg"/><Relationship Id="rId51" Type="http://schemas.openxmlformats.org/officeDocument/2006/relationships/image" Target="media/image42.jpg"/><Relationship Id="rId52" Type="http://schemas.openxmlformats.org/officeDocument/2006/relationships/image" Target="media/image43.jpg"/><Relationship Id="rId53" Type="http://schemas.openxmlformats.org/officeDocument/2006/relationships/image" Target="media/image44.jpg"/><Relationship Id="rId54" Type="http://schemas.openxmlformats.org/officeDocument/2006/relationships/image" Target="media/image45.jpg"/><Relationship Id="rId55" Type="http://schemas.openxmlformats.org/officeDocument/2006/relationships/image" Target="media/image46.jpg"/><Relationship Id="rId56" Type="http://schemas.openxmlformats.org/officeDocument/2006/relationships/image" Target="media/image47.jpg"/><Relationship Id="rId57" Type="http://schemas.openxmlformats.org/officeDocument/2006/relationships/image" Target="media/image48.jpg"/><Relationship Id="rId58" Type="http://schemas.openxmlformats.org/officeDocument/2006/relationships/image" Target="media/image49.jpg"/><Relationship Id="rId59" Type="http://schemas.openxmlformats.org/officeDocument/2006/relationships/image" Target="media/image50.jpg"/><Relationship Id="rId60" Type="http://schemas.openxmlformats.org/officeDocument/2006/relationships/image" Target="media/image51.jpg"/><Relationship Id="rId61" Type="http://schemas.openxmlformats.org/officeDocument/2006/relationships/image" Target="media/image52.jpg"/><Relationship Id="rId62" Type="http://schemas.openxmlformats.org/officeDocument/2006/relationships/image" Target="media/image53.jpg"/><Relationship Id="rId63" Type="http://schemas.openxmlformats.org/officeDocument/2006/relationships/image" Target="media/image54.jpg"/><Relationship Id="rId64" Type="http://schemas.openxmlformats.org/officeDocument/2006/relationships/image" Target="media/image55.jpg"/><Relationship Id="rId65" Type="http://schemas.openxmlformats.org/officeDocument/2006/relationships/image" Target="media/image56.jpg"/><Relationship Id="rId66" Type="http://schemas.openxmlformats.org/officeDocument/2006/relationships/image" Target="media/image57.jpg"/><Relationship Id="rId67"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크라우드펀딩을 활용한 유통 구조 형성 및 마케팅 전략 연구</dc:title>
  <dc:subject>기존 메인·심수민·박연희 원문 보존 통합본</dc:subject>
  <dc:creator>아주대학교 국제통상 연구회</dc:creator>
  <cp:keywords/>
  <dc:description>generated by python-docx</dc:description>
  <cp:lastModifiedBy/>
  <cp:revision>1</cp:revision>
  <dcterms:created xsi:type="dcterms:W3CDTF">2013-12-23T23:15:00Z</dcterms:created>
  <dcterms:modified xsi:type="dcterms:W3CDTF">2013-12-23T23:15:00Z</dcterms:modified>
  <cp:category/>
</cp:coreProperties>
</file>