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D1E4F" w14:textId="0ADC3627" w:rsidR="00C80424" w:rsidRDefault="00000000">
      <w:pPr>
        <w:spacing w:line="480" w:lineRule="auto"/>
        <w:jc w:val="center"/>
      </w:pPr>
      <w:r>
        <w:rPr>
          <w:b/>
        </w:rPr>
        <w:t>Model Insight and Validation Report</w:t>
      </w:r>
    </w:p>
    <w:p w14:paraId="4DF08CA6" w14:textId="77777777" w:rsidR="00C80424" w:rsidRDefault="00C80424">
      <w:pPr>
        <w:spacing w:line="480" w:lineRule="auto"/>
      </w:pPr>
    </w:p>
    <w:p w14:paraId="20508EE1" w14:textId="77777777" w:rsidR="00C80424" w:rsidRDefault="00000000">
      <w:pPr>
        <w:spacing w:line="480" w:lineRule="auto"/>
        <w:jc w:val="center"/>
      </w:pPr>
      <w:r>
        <w:t>Jeffery Richardson</w:t>
      </w:r>
    </w:p>
    <w:p w14:paraId="4D8607A8" w14:textId="77777777" w:rsidR="00C80424" w:rsidRDefault="00000000">
      <w:pPr>
        <w:spacing w:line="480" w:lineRule="auto"/>
        <w:jc w:val="center"/>
      </w:pPr>
      <w:r>
        <w:t>Grand Canyon University</w:t>
      </w:r>
    </w:p>
    <w:p w14:paraId="29E0A188" w14:textId="77777777" w:rsidR="00C80424" w:rsidRDefault="00000000">
      <w:pPr>
        <w:spacing w:line="480" w:lineRule="auto"/>
        <w:jc w:val="center"/>
      </w:pPr>
      <w:r>
        <w:t>DSC-590: Model Insight and Validation</w:t>
      </w:r>
    </w:p>
    <w:p w14:paraId="29A1AEA8" w14:textId="1C256510" w:rsidR="00C80424" w:rsidRDefault="00000000">
      <w:pPr>
        <w:spacing w:line="480" w:lineRule="auto"/>
        <w:jc w:val="center"/>
      </w:pPr>
      <w:r>
        <w:t xml:space="preserve">Instructor: </w:t>
      </w:r>
      <w:r w:rsidR="004F68C1">
        <w:t>Johnathan Pollyn</w:t>
      </w:r>
    </w:p>
    <w:p w14:paraId="3AB62B1D" w14:textId="77777777" w:rsidR="00C80424" w:rsidRDefault="00000000">
      <w:pPr>
        <w:spacing w:line="480" w:lineRule="auto"/>
        <w:jc w:val="center"/>
      </w:pPr>
      <w:r>
        <w:t>February 11, 2026</w:t>
      </w:r>
    </w:p>
    <w:p w14:paraId="79A0C755" w14:textId="77777777" w:rsidR="00C80424" w:rsidRDefault="00000000">
      <w:r>
        <w:br w:type="page"/>
      </w:r>
    </w:p>
    <w:p w14:paraId="280BF2E1" w14:textId="77777777" w:rsidR="00C80424" w:rsidRDefault="00000000">
      <w:pPr>
        <w:spacing w:line="480" w:lineRule="auto"/>
        <w:jc w:val="center"/>
      </w:pPr>
      <w:r>
        <w:rPr>
          <w:b/>
        </w:rPr>
        <w:lastRenderedPageBreak/>
        <w:t>Model Insight and Validation Report</w:t>
      </w:r>
    </w:p>
    <w:p w14:paraId="6D7163E6" w14:textId="77777777" w:rsidR="00C80424" w:rsidRDefault="00000000">
      <w:pPr>
        <w:spacing w:line="480" w:lineRule="auto"/>
        <w:ind w:firstLine="720"/>
      </w:pPr>
      <w:r>
        <w:t>The purpose of this project was to design, evaluate, and validate machine learning models capable of predicting diabetes risk using the Pima Indians Diabetes Dataset. Early identification of diabetes is critical because delayed diagnosis increases long-term complications such as cardiovascular disease, neuropathy, and kidney failure. The central objective was not only to build accurate predictive models but also to determine whether those models could support responsible, secure, and ethically sustainable healthcare decision-making. The analysis phase focused on evaluating performance, interpreting outcomes, generating meaningful insights, and validating the solution against established benchmarks.</w:t>
      </w:r>
    </w:p>
    <w:p w14:paraId="3212574E" w14:textId="77777777" w:rsidR="00C80424" w:rsidRDefault="00000000">
      <w:pPr>
        <w:spacing w:line="480" w:lineRule="auto"/>
        <w:ind w:firstLine="720"/>
      </w:pPr>
      <w:r>
        <w:t>Business intelligence (BI) methods were first applied during exploratory data analysis to develop a comprehensive understanding of the dataset. Descriptive statistics summarized central tendencies and variation across clinical indicators including glucose concentration, body mass index (BMI), insulin levels, age, pregnancies, and blood pressure. Histograms and boxplots revealed distribution patterns and potential outliers, while correlation heatmaps illustrated relationships between predictors and the diabetes outcome variable. Glucose concentration demonstrated the strongest positive association with diabetes diagnosis, followed by BMI and age. These findings guided feature prioritization and reinforced alignment with established clinical research (American Diabetes Association, 2023).</w:t>
      </w:r>
    </w:p>
    <w:p w14:paraId="04AC22C8" w14:textId="77777777" w:rsidR="00C80424" w:rsidRDefault="00000000">
      <w:pPr>
        <w:spacing w:line="480" w:lineRule="auto"/>
        <w:ind w:firstLine="720"/>
      </w:pPr>
      <w:r>
        <w:t xml:space="preserve">In addition to pattern identification, BI methods uncovered data quality concerns. Several medical variables contained zero values that are physiologically improbable. </w:t>
      </w:r>
      <w:r>
        <w:lastRenderedPageBreak/>
        <w:t>Recognizing this issue influenced preprocessing decisions, including replacement strategies and feature scaling. Without this structured exploratory analysis, predictive modeling would have been built on distorted data. Thus, BI facilitated not only understanding but also improved data integrity before model training began.</w:t>
      </w:r>
    </w:p>
    <w:p w14:paraId="5ABF0528" w14:textId="77777777" w:rsidR="00C80424" w:rsidRDefault="00000000">
      <w:pPr>
        <w:spacing w:line="480" w:lineRule="auto"/>
        <w:ind w:firstLine="720"/>
      </w:pPr>
      <w:r>
        <w:t>Business analytics (BA) methods extended the project into predictive modeling. After cleaning and standardizing the dataset, the data were divided into training and testing subsets to prevent data leakage. Logistic Regression, Random Forest, and Support Vector Machine (SVM) classifiers were implemented. Five-fold cross-validation was used to evaluate stability and reduce the risk of overfitting. Performance metrics included accuracy, precision, recall, F1-score, and area under the receiver operating characteristic curve (AUC-ROC). Using multiple metrics ensured a balanced evaluation appropriate for healthcare contexts where classification costs differ.</w:t>
      </w:r>
    </w:p>
    <w:p w14:paraId="6D35B9B4" w14:textId="77777777" w:rsidR="00C80424" w:rsidRDefault="00000000">
      <w:pPr>
        <w:spacing w:line="480" w:lineRule="auto"/>
        <w:ind w:firstLine="720"/>
      </w:pPr>
      <w:r>
        <w:t>Logistic Regression achieved 78% accuracy with a recall rate of 70% and an AUC of 0.83. Its interpretability allows clinicians to examine feature coefficients and understand how individual predictors influence risk. However, the recall rate indicated that approximately 30% of diabetic cases were misclassified. In preventive healthcare settings, this level of missed detection presents meaningful clinical risk.</w:t>
      </w:r>
    </w:p>
    <w:p w14:paraId="412216FE" w14:textId="77777777" w:rsidR="00C80424" w:rsidRDefault="00000000">
      <w:pPr>
        <w:spacing w:line="480" w:lineRule="auto"/>
        <w:ind w:firstLine="720"/>
      </w:pPr>
      <w:r>
        <w:t xml:space="preserve">The Random Forest model outperformed the other classifiers, achieving 84% accuracy, 79% recall, and an AUC of 0.89. The confusion matrix showed a reduction in false negatives compared to Logistic Regression and SVM. Because Random Forest uses an ensemble of decision trees, it reduces variance and improves generalization (Breiman, </w:t>
      </w:r>
      <w:r>
        <w:lastRenderedPageBreak/>
        <w:t>2001). The ROC curve further demonstrated stronger discrimination capability across classification thresholds.</w:t>
      </w:r>
    </w:p>
    <w:p w14:paraId="53D8D7A1" w14:textId="77777777" w:rsidR="00C80424" w:rsidRDefault="00000000">
      <w:pPr>
        <w:spacing w:line="480" w:lineRule="auto"/>
        <w:ind w:firstLine="720"/>
      </w:pPr>
      <w:r>
        <w:t>The SVM model produced 81% accuracy and 75% recall with an AUC of 0.86. While competitive, it required careful hyperparameter tuning and did not surpass Random Forest in sensitivity. In clinical screening applications, recall often carries greater weight than precision because identifying high-risk individuals early is more critical than minimizing false alarms. Accepting slightly higher false positives is reasonable when follow-up testing can confirm diagnosis.</w:t>
      </w:r>
    </w:p>
    <w:p w14:paraId="40D50EA9" w14:textId="77777777" w:rsidR="00C80424" w:rsidRDefault="00000000">
      <w:pPr>
        <w:spacing w:line="480" w:lineRule="auto"/>
        <w:ind w:firstLine="720"/>
      </w:pPr>
      <w:r>
        <w:t>Outcome interpretation confirmed that glucose concentration was the dominant predictive feature across all models. BMI and age also contributed substantially. These results align with medical literature linking metabolic dysfunction and obesity to Type 2 diabetes risk (American Diabetes Association, 2023). The model therefore supports the project objective of early risk detection by identifying measurable health indicators that signal elevated probability of diagnosis.</w:t>
      </w:r>
    </w:p>
    <w:p w14:paraId="48A034B2" w14:textId="77777777" w:rsidR="00C80424" w:rsidRDefault="00000000">
      <w:pPr>
        <w:spacing w:line="480" w:lineRule="auto"/>
        <w:ind w:firstLine="720"/>
      </w:pPr>
      <w:r>
        <w:t>Several key insights emerged from this analysis. First, predictive accuracy improves significantly when combining multiple physiological indicators rather than relying on a single screening metric. Second, model selection directly influences healthcare risk management strategies. Random Forest’s higher recall aligns with preventive care priorities. Third, performance metrics must be interpreted within clinical context rather than in isolation. Accuracy alone can obscure important classification trade-offs.</w:t>
      </w:r>
    </w:p>
    <w:p w14:paraId="45127F8F" w14:textId="77777777" w:rsidR="00C80424" w:rsidRDefault="00000000">
      <w:pPr>
        <w:spacing w:line="480" w:lineRule="auto"/>
        <w:ind w:firstLine="720"/>
      </w:pPr>
      <w:r>
        <w:lastRenderedPageBreak/>
        <w:t>From an operational perspective, integrating this model into electronic health record systems could enable automated risk flagging during patient intake. Early identification supports timely lifestyle counseling, medication adjustments, and specialist referrals. Preventive intervention reduces long-term costs associated with unmanaged diabetes complications. This aligns with value-based care initiatives focused on improving outcomes while controlling expenditures.</w:t>
      </w:r>
    </w:p>
    <w:p w14:paraId="71B46431" w14:textId="77777777" w:rsidR="00C80424" w:rsidRDefault="00000000">
      <w:pPr>
        <w:spacing w:line="480" w:lineRule="auto"/>
        <w:ind w:firstLine="720"/>
      </w:pPr>
      <w:r>
        <w:t>Data security implementation (Competency 1.4) was addressed through secure handling of de-identified public data. The dataset contained no personally identifiable information and was stored in encrypted directories with restricted access during development. In a clinical deployment scenario, compliance with the Health Insurance Portability and Accountability Act (HIPAA, 1996) would require encryption at rest and in transit, role-based access controls, multi-factor authentication, and continuous monitoring. These safeguards ensure confidentiality, integrity, and availability of sensitive health data.</w:t>
      </w:r>
    </w:p>
    <w:p w14:paraId="3074A470" w14:textId="77777777" w:rsidR="00C80424" w:rsidRDefault="00000000">
      <w:pPr>
        <w:spacing w:line="480" w:lineRule="auto"/>
        <w:ind w:firstLine="720"/>
      </w:pPr>
      <w:r>
        <w:t>Ethical sustainability (Competency 3.1) was evaluated through bias and fairness considerations. The Pima dataset represents a specific demographic population. Deploying the model across broader populations without retraining may introduce bias and reduce predictive fairness. Research has shown that healthcare algorithms can unintentionally reinforce disparities if demographic representation is limited (Obermeyer et al., 2019). Ethical implementation therefore requires ongoing bias audits, transparent reporting of limitations, and human oversight in final decision-making.</w:t>
      </w:r>
    </w:p>
    <w:p w14:paraId="05D52140" w14:textId="77777777" w:rsidR="00C80424" w:rsidRDefault="00000000">
      <w:pPr>
        <w:spacing w:line="480" w:lineRule="auto"/>
        <w:ind w:firstLine="720"/>
      </w:pPr>
      <w:r>
        <w:lastRenderedPageBreak/>
        <w:t>Model reliability was validated against published benchmark results reporting classification accuracy between 75% and 85% for this dataset (Kuhn &amp; Johnson, 2013). The Random Forest model’s 84% accuracy falls within the upper benchmark range. Cross-validation confirmed stable performance across folds, indicating limited overfitting. Nevertheless, limitations remain, including moderate dataset size and lack of external validation. Future work should include retraining on more diverse populations and evaluating long-term predictive drift.</w:t>
      </w:r>
    </w:p>
    <w:p w14:paraId="5C694F71" w14:textId="77777777" w:rsidR="00C80424" w:rsidRDefault="00000000">
      <w:pPr>
        <w:spacing w:line="480" w:lineRule="auto"/>
        <w:ind w:firstLine="720"/>
      </w:pPr>
      <w:r>
        <w:t>In conclusion, this project demonstrates that machine learning can effectively predict diabetes risk using structured clinical indicators. The integration of business intelligence and analytics methods enabled accurate modeling, meaningful interpretation, and actionable insight generation. Random Forest emerged as the most reliable classifier based on sensitivity and discrimination performance. Importantly, the project also addressed data security safeguards and ethical sustainability considerations. When implemented responsibly, predictive analytics can enhance preventive healthcare strategies and support data-driven clinical decision-making while maintaining regulatory compliance and fairness.</w:t>
      </w:r>
    </w:p>
    <w:p w14:paraId="4F198EEC" w14:textId="77777777" w:rsidR="00C80424" w:rsidRDefault="00000000">
      <w:r>
        <w:br w:type="page"/>
      </w:r>
    </w:p>
    <w:p w14:paraId="228CCAA7" w14:textId="77777777" w:rsidR="00C80424" w:rsidRDefault="00000000">
      <w:pPr>
        <w:spacing w:line="480" w:lineRule="auto"/>
        <w:jc w:val="center"/>
      </w:pPr>
      <w:r>
        <w:rPr>
          <w:b/>
        </w:rPr>
        <w:lastRenderedPageBreak/>
        <w:t>References</w:t>
      </w:r>
    </w:p>
    <w:p w14:paraId="0E47371F" w14:textId="77777777" w:rsidR="00C80424" w:rsidRDefault="00000000">
      <w:pPr>
        <w:spacing w:line="480" w:lineRule="auto"/>
        <w:ind w:left="720" w:hanging="720"/>
      </w:pPr>
      <w:r>
        <w:t>American Diabetes Association. (2023). Standards of care in diabetes—2023. Diabetes Care, 46(Suppl. 1), S1–S291. https://doi.org/10.2337/dc23-Sint</w:t>
      </w:r>
    </w:p>
    <w:p w14:paraId="5D1A5A8E" w14:textId="77777777" w:rsidR="00C80424" w:rsidRDefault="00000000">
      <w:pPr>
        <w:spacing w:line="480" w:lineRule="auto"/>
        <w:ind w:left="720" w:hanging="720"/>
      </w:pPr>
      <w:r>
        <w:t>Breiman, L. (2001). Random forests. Machine Learning, 45(1), 5–32. https://doi.org/10.1023/A:1010933404324</w:t>
      </w:r>
    </w:p>
    <w:p w14:paraId="5710DF90" w14:textId="77777777" w:rsidR="00C80424" w:rsidRDefault="00000000">
      <w:pPr>
        <w:spacing w:line="480" w:lineRule="auto"/>
        <w:ind w:left="720" w:hanging="720"/>
      </w:pPr>
      <w:r>
        <w:t>Health Insurance Portability and Accountability Act of 1996, 42 U.S.C. § 1320d et seq. (1996).</w:t>
      </w:r>
    </w:p>
    <w:p w14:paraId="3D5D7952" w14:textId="77777777" w:rsidR="00C80424" w:rsidRDefault="00000000">
      <w:pPr>
        <w:spacing w:line="480" w:lineRule="auto"/>
        <w:ind w:left="720" w:hanging="720"/>
      </w:pPr>
      <w:r>
        <w:t>Kuhn, M., &amp; Johnson, K. (2013). Applied predictive modeling. Springer.</w:t>
      </w:r>
    </w:p>
    <w:p w14:paraId="460408BE" w14:textId="77777777" w:rsidR="00C80424" w:rsidRDefault="00000000">
      <w:pPr>
        <w:spacing w:line="480" w:lineRule="auto"/>
        <w:ind w:left="720" w:hanging="720"/>
      </w:pPr>
      <w:r>
        <w:t>Obermeyer, Z., Powers, B., Vogeli, C., &amp; Mullainathan, S. (2019). Dissecting racial bias in an algorithm used to manage the health of populations. Science, 366(6464), 447–453. https://doi.org/10.1126/science.aax2342</w:t>
      </w:r>
    </w:p>
    <w:sectPr w:rsidR="00C804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769604">
    <w:abstractNumId w:val="8"/>
  </w:num>
  <w:num w:numId="2" w16cid:durableId="2004700463">
    <w:abstractNumId w:val="6"/>
  </w:num>
  <w:num w:numId="3" w16cid:durableId="1111164089">
    <w:abstractNumId w:val="5"/>
  </w:num>
  <w:num w:numId="4" w16cid:durableId="253629436">
    <w:abstractNumId w:val="4"/>
  </w:num>
  <w:num w:numId="5" w16cid:durableId="290289789">
    <w:abstractNumId w:val="7"/>
  </w:num>
  <w:num w:numId="6" w16cid:durableId="1999530707">
    <w:abstractNumId w:val="3"/>
  </w:num>
  <w:num w:numId="7" w16cid:durableId="22560144">
    <w:abstractNumId w:val="2"/>
  </w:num>
  <w:num w:numId="8" w16cid:durableId="409156082">
    <w:abstractNumId w:val="1"/>
  </w:num>
  <w:num w:numId="9" w16cid:durableId="2006744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8C1"/>
    <w:rsid w:val="00AA1D8D"/>
    <w:rsid w:val="00AB3DC1"/>
    <w:rsid w:val="00B47730"/>
    <w:rsid w:val="00C8042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A6DA8"/>
  <w14:defaultImageDpi w14:val="300"/>
  <w15:docId w15:val="{FEE83005-0B52-4FFA-B7B5-9C0075980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Jeffery Richardson</cp:lastModifiedBy>
  <cp:revision>2</cp:revision>
  <dcterms:created xsi:type="dcterms:W3CDTF">2013-12-23T23:15:00Z</dcterms:created>
  <dcterms:modified xsi:type="dcterms:W3CDTF">2026-02-17T01:18:00Z</dcterms:modified>
  <cp:category/>
</cp:coreProperties>
</file>