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185C" w14:textId="77777777" w:rsidR="00A364B8" w:rsidRDefault="00A364B8" w:rsidP="00A364B8">
      <w:pPr>
        <w:spacing w:after="0" w:line="480" w:lineRule="auto"/>
      </w:pPr>
      <w:r>
        <w:t>Model Insight and Validation Report</w:t>
      </w:r>
    </w:p>
    <w:p w14:paraId="2FE364B4" w14:textId="77777777" w:rsidR="00A364B8" w:rsidRDefault="00A364B8" w:rsidP="00A364B8">
      <w:pPr>
        <w:spacing w:after="0" w:line="480" w:lineRule="auto"/>
      </w:pPr>
    </w:p>
    <w:p w14:paraId="419B1AB8" w14:textId="77777777" w:rsidR="00A364B8" w:rsidRDefault="00A364B8" w:rsidP="00A364B8">
      <w:pPr>
        <w:spacing w:after="0" w:line="480" w:lineRule="auto"/>
      </w:pPr>
      <w:r>
        <w:t xml:space="preserve">Jeffery Richardson  </w:t>
      </w:r>
    </w:p>
    <w:p w14:paraId="765CC9B3" w14:textId="77777777" w:rsidR="00A364B8" w:rsidRDefault="00A364B8" w:rsidP="00A364B8">
      <w:pPr>
        <w:spacing w:after="0" w:line="480" w:lineRule="auto"/>
      </w:pPr>
      <w:r>
        <w:t xml:space="preserve">Grand Canyon University  </w:t>
      </w:r>
    </w:p>
    <w:p w14:paraId="60B2D575" w14:textId="77777777" w:rsidR="00A364B8" w:rsidRDefault="00A364B8" w:rsidP="00A364B8">
      <w:pPr>
        <w:spacing w:after="0" w:line="480" w:lineRule="auto"/>
      </w:pPr>
      <w:r>
        <w:t xml:space="preserve">DSC-590: Model Insight and Validation  </w:t>
      </w:r>
    </w:p>
    <w:p w14:paraId="47B3C60A" w14:textId="5F87BC1C" w:rsidR="00A364B8" w:rsidRDefault="00A364B8" w:rsidP="00A364B8">
      <w:pPr>
        <w:spacing w:after="0" w:line="480" w:lineRule="auto"/>
      </w:pPr>
      <w:r>
        <w:t xml:space="preserve">Instructor: </w:t>
      </w:r>
      <w:r>
        <w:t>Johanthan Pollyn</w:t>
      </w:r>
      <w:r>
        <w:t xml:space="preserve"> </w:t>
      </w:r>
    </w:p>
    <w:p w14:paraId="56C153FC" w14:textId="77777777" w:rsidR="00A364B8" w:rsidRDefault="00A364B8" w:rsidP="00A364B8">
      <w:pPr>
        <w:spacing w:after="0" w:line="480" w:lineRule="auto"/>
      </w:pPr>
      <w:r>
        <w:t>February 11, 2026</w:t>
      </w:r>
    </w:p>
    <w:p w14:paraId="51BFC908" w14:textId="77777777" w:rsidR="00A364B8" w:rsidRDefault="00A364B8" w:rsidP="00A364B8">
      <w:pPr>
        <w:spacing w:after="0" w:line="480" w:lineRule="auto"/>
      </w:pPr>
    </w:p>
    <w:p w14:paraId="4590139E" w14:textId="77777777" w:rsidR="00A364B8" w:rsidRDefault="00A364B8" w:rsidP="00A364B8">
      <w:pPr>
        <w:spacing w:after="0" w:line="480" w:lineRule="auto"/>
      </w:pPr>
      <w:r>
        <w:t>—</w:t>
      </w:r>
    </w:p>
    <w:p w14:paraId="434D7AD3" w14:textId="77777777" w:rsidR="00A364B8" w:rsidRDefault="00A364B8" w:rsidP="00A364B8">
      <w:pPr>
        <w:spacing w:after="0" w:line="480" w:lineRule="auto"/>
      </w:pPr>
    </w:p>
    <w:p w14:paraId="0E6DD61C" w14:textId="02282A7E" w:rsidR="00A364B8" w:rsidRDefault="00A364B8" w:rsidP="00A364B8">
      <w:pPr>
        <w:spacing w:after="0" w:line="480" w:lineRule="auto"/>
      </w:pPr>
      <w:r>
        <w:t xml:space="preserve">This project had a simple but important goal: build, test, and validate machine learning models that can spot diabetes risk using the Pima Indians Diabetes Dataset. Early detection really matters here. If you miss it, the consequences get messy—heart problems, nerve damage, kidney issues, and medical bills that just keep piling up. So, I </w:t>
      </w:r>
      <w:r w:rsidR="00A240A0">
        <w:t>was not</w:t>
      </w:r>
      <w:r>
        <w:t xml:space="preserve"> just chasing high accuracy for its own sake. I wanted to know if these models could </w:t>
      </w:r>
      <w:r w:rsidR="00A240A0">
        <w:t>help</w:t>
      </w:r>
      <w:r>
        <w:t xml:space="preserve"> doctors make smart, safe, and ethical decisions. That meant digging into how well the models worked, how to interpret their results, and whether those results lined up with both medical standards and ethical guidelines.</w:t>
      </w:r>
    </w:p>
    <w:p w14:paraId="26BBA167" w14:textId="77777777" w:rsidR="00A364B8" w:rsidRDefault="00A364B8" w:rsidP="00A364B8">
      <w:pPr>
        <w:spacing w:after="0" w:line="480" w:lineRule="auto"/>
      </w:pPr>
    </w:p>
    <w:p w14:paraId="072BACDC" w14:textId="52A6E52E" w:rsidR="00A364B8" w:rsidRDefault="00A364B8" w:rsidP="00A364B8">
      <w:pPr>
        <w:spacing w:after="0" w:line="480" w:lineRule="auto"/>
      </w:pPr>
      <w:r>
        <w:t xml:space="preserve">Before I jumped into modeling, I spent some real time making sense of the data. I started with basic descriptive stats to see what the “typical” patient looked like and to spot anything odd. I looked at things like glucose levels, BMI, insulin, age, pregnancies, and </w:t>
      </w:r>
      <w:r>
        <w:lastRenderedPageBreak/>
        <w:t xml:space="preserve">blood pressure. Getting a feel for the averages and the spread made it easier to spot red flags. Visual tools—histograms, boxplots—helped me see patterns and outliers in seconds. Correlation heatmaps were especially useful; they showed me which features </w:t>
      </w:r>
      <w:r w:rsidR="00A240A0">
        <w:t>mattered</w:t>
      </w:r>
      <w:r>
        <w:t xml:space="preserve">. Glucose popped out as the strongest predictor, then BMI and age—not exactly </w:t>
      </w:r>
      <w:r w:rsidR="00A240A0">
        <w:t>surprised</w:t>
      </w:r>
      <w:r>
        <w:t xml:space="preserve">, but </w:t>
      </w:r>
      <w:r w:rsidR="00A240A0">
        <w:t>it is</w:t>
      </w:r>
      <w:r>
        <w:t xml:space="preserve"> good when the data lines up with what doctors already know. That gave me confidence that this dataset was </w:t>
      </w:r>
      <w:r w:rsidR="00A240A0">
        <w:t>useful</w:t>
      </w:r>
      <w:r>
        <w:t>.</w:t>
      </w:r>
    </w:p>
    <w:p w14:paraId="31932F7E" w14:textId="77777777" w:rsidR="00A364B8" w:rsidRDefault="00A364B8" w:rsidP="00A364B8">
      <w:pPr>
        <w:spacing w:after="0" w:line="480" w:lineRule="auto"/>
      </w:pPr>
    </w:p>
    <w:p w14:paraId="7691B7C2" w14:textId="61535BF7" w:rsidR="00A364B8" w:rsidRDefault="00A364B8" w:rsidP="00A364B8">
      <w:pPr>
        <w:spacing w:after="0" w:line="480" w:lineRule="auto"/>
      </w:pPr>
      <w:r>
        <w:t xml:space="preserve">But there were some problems. Some fields had zero values where zero just </w:t>
      </w:r>
      <w:r w:rsidR="00A240A0">
        <w:t>does not</w:t>
      </w:r>
      <w:r>
        <w:t xml:space="preserve"> make sense in real life—like BMI or insulin. Obviously, you </w:t>
      </w:r>
      <w:r w:rsidR="00A240A0">
        <w:t>cannot</w:t>
      </w:r>
      <w:r>
        <w:t xml:space="preserve"> have a BMI of zero, so those were either missing or badly recorded. Spotting that early changed how I handled preprocessing. I took care to fix or replace those values, and I standardized the rest of the data before starting on the models. If </w:t>
      </w:r>
      <w:r w:rsidR="00A240A0">
        <w:t>I had</w:t>
      </w:r>
      <w:r>
        <w:t xml:space="preserve"> ignored these issues, the models could have </w:t>
      </w:r>
      <w:r w:rsidR="00A240A0">
        <w:t>noticed</w:t>
      </w:r>
      <w:r>
        <w:t xml:space="preserve"> patterns that </w:t>
      </w:r>
      <w:r w:rsidR="00A240A0">
        <w:t>are not</w:t>
      </w:r>
      <w:r>
        <w:t xml:space="preserve"> real. Taking the time to clean and check everything first made the results more trustworthy. Honestly, this step convinced me that business intelligence methods are </w:t>
      </w:r>
      <w:r w:rsidR="00A240A0">
        <w:t>necessary</w:t>
      </w:r>
      <w:r>
        <w:t xml:space="preserve"> before you even think about predictive analytics.</w:t>
      </w:r>
    </w:p>
    <w:p w14:paraId="4F437627" w14:textId="77777777" w:rsidR="00A364B8" w:rsidRDefault="00A364B8" w:rsidP="00A364B8">
      <w:pPr>
        <w:spacing w:after="0" w:line="480" w:lineRule="auto"/>
      </w:pPr>
    </w:p>
    <w:p w14:paraId="6A188690" w14:textId="59354930" w:rsidR="00A364B8" w:rsidRDefault="00A364B8" w:rsidP="00A364B8">
      <w:pPr>
        <w:spacing w:after="0" w:line="480" w:lineRule="auto"/>
      </w:pPr>
      <w:r>
        <w:t xml:space="preserve">With the data cleaned up, I split it into training and testing sets so I </w:t>
      </w:r>
      <w:r w:rsidR="00A240A0">
        <w:t>would not</w:t>
      </w:r>
      <w:r>
        <w:t xml:space="preserve"> accidentally let information leak between them and skew the results. Then I built three different classification models: Logistic Regression, Random Forest, and Support Vector Machine (SVM). I used five-fold cross-validation to make sure my results </w:t>
      </w:r>
      <w:r w:rsidR="00A240A0">
        <w:t>were not</w:t>
      </w:r>
      <w:r>
        <w:t xml:space="preserve"> just a fluke. That process helps keep overfitting in check and gives a more realistic view of how these models would work in the wild.</w:t>
      </w:r>
    </w:p>
    <w:p w14:paraId="49EF3EB1" w14:textId="77777777" w:rsidR="00A364B8" w:rsidRDefault="00A364B8" w:rsidP="00A364B8">
      <w:pPr>
        <w:spacing w:after="0" w:line="480" w:lineRule="auto"/>
      </w:pPr>
    </w:p>
    <w:p w14:paraId="7A44FA38" w14:textId="0BE24589" w:rsidR="00A364B8" w:rsidRDefault="00A364B8" w:rsidP="00A364B8">
      <w:pPr>
        <w:spacing w:after="0" w:line="480" w:lineRule="auto"/>
      </w:pPr>
      <w:r>
        <w:t xml:space="preserve">When it came to measuring performance, I </w:t>
      </w:r>
      <w:r w:rsidR="00A240A0">
        <w:t>did not</w:t>
      </w:r>
      <w:r>
        <w:t xml:space="preserve"> just look at accuracy. In healthcare, accuracy alone can </w:t>
      </w:r>
      <w:r w:rsidR="00A240A0">
        <w:t>be</w:t>
      </w:r>
      <w:r>
        <w:t xml:space="preserve"> </w:t>
      </w:r>
      <w:r w:rsidR="00A240A0">
        <w:t xml:space="preserve">misleading, </w:t>
      </w:r>
      <w:r>
        <w:t xml:space="preserve">especially if the model misses a lot of people who are really at risk. </w:t>
      </w:r>
      <w:r w:rsidR="00A240A0">
        <w:t>It is</w:t>
      </w:r>
      <w:r>
        <w:t xml:space="preserve"> a lot more dangerous to miss someone with diabetes than to give a false alarm. So, I looked closely at precision, recall, F1-score, and the area under the ROC curve (AUC-ROC). Using several metrics gave me a more honest picture of how the models really performed.</w:t>
      </w:r>
    </w:p>
    <w:p w14:paraId="43402217" w14:textId="77777777" w:rsidR="00A364B8" w:rsidRDefault="00A364B8" w:rsidP="00A364B8">
      <w:pPr>
        <w:spacing w:after="0" w:line="480" w:lineRule="auto"/>
      </w:pPr>
    </w:p>
    <w:p w14:paraId="0E68ADFE" w14:textId="53BCF8FE" w:rsidR="00A364B8" w:rsidRDefault="00A240A0" w:rsidP="00A364B8">
      <w:pPr>
        <w:spacing w:after="0" w:line="480" w:lineRule="auto"/>
      </w:pPr>
      <w:r>
        <w:t>Let us</w:t>
      </w:r>
      <w:r w:rsidR="00A364B8">
        <w:t xml:space="preserve"> </w:t>
      </w:r>
      <w:r>
        <w:t>talk about</w:t>
      </w:r>
      <w:r w:rsidR="00A364B8">
        <w:t xml:space="preserve"> numbers. Logistic Regression landed at 78% accuracy, with 70% recall and an AUC of 0.83. The big plus here is interpretability. Doctors can </w:t>
      </w:r>
      <w:r>
        <w:t>see</w:t>
      </w:r>
      <w:r w:rsidR="00A364B8">
        <w:t xml:space="preserve"> how each variable nudges that risk up or down, which helps with trust. But a 70% recall means the model missed almost a third of high-risk cases. In practice, </w:t>
      </w:r>
      <w:r>
        <w:t>which is</w:t>
      </w:r>
      <w:r w:rsidR="00A364B8">
        <w:t xml:space="preserve"> not great. If </w:t>
      </w:r>
      <w:r>
        <w:t>you are</w:t>
      </w:r>
      <w:r w:rsidR="00A364B8">
        <w:t xml:space="preserve"> running a real diabetes screening, that gap could mean a lot of people </w:t>
      </w:r>
      <w:r>
        <w:t>do not</w:t>
      </w:r>
      <w:r w:rsidR="00A364B8">
        <w:t xml:space="preserve"> get the help they need. So, while the model was solid, its sensitivity </w:t>
      </w:r>
      <w:r>
        <w:t>was not</w:t>
      </w:r>
      <w:r w:rsidR="00A364B8">
        <w:t xml:space="preserve"> strong enough to be the first choice for preventative care.</w:t>
      </w:r>
    </w:p>
    <w:p w14:paraId="60E79062" w14:textId="77777777" w:rsidR="00A364B8" w:rsidRDefault="00A364B8" w:rsidP="00A364B8">
      <w:pPr>
        <w:spacing w:after="0" w:line="480" w:lineRule="auto"/>
      </w:pPr>
    </w:p>
    <w:p w14:paraId="2E9AF8C3" w14:textId="6AAF2AAC" w:rsidR="00A364B8" w:rsidRDefault="00A364B8" w:rsidP="00A364B8">
      <w:pPr>
        <w:spacing w:after="0" w:line="480" w:lineRule="auto"/>
      </w:pPr>
      <w:r>
        <w:t xml:space="preserve">Random Forest came out on top. It hit 84% accuracy, 79% recall, and an AUC of 0.89. The confusion matrix showed fewer false negatives than the other models, which is huge in this context. Random Forest works by combining a bunch of decision trees, so </w:t>
      </w:r>
      <w:r w:rsidR="00A240A0">
        <w:t>it is</w:t>
      </w:r>
      <w:r>
        <w:t xml:space="preserve"> less likely to overfit and more likely to generalize well. The ROC curve backed this up, showing a clear split between diabetic and non-diabetic cases. In screening, you want high recall because missing fewer people means more folks get early intervention. Random Forest did bump up </w:t>
      </w:r>
      <w:r>
        <w:lastRenderedPageBreak/>
        <w:t xml:space="preserve">the false positives a bit, but honestly, </w:t>
      </w:r>
      <w:r w:rsidR="00A240A0">
        <w:t>that is</w:t>
      </w:r>
      <w:r>
        <w:t xml:space="preserve"> a tradeoff </w:t>
      </w:r>
      <w:r w:rsidR="00A240A0">
        <w:t>I will</w:t>
      </w:r>
      <w:r>
        <w:t xml:space="preserve"> take—extra tests are better than missed cases, especially when doctors can double-check the results.</w:t>
      </w:r>
    </w:p>
    <w:p w14:paraId="0A461FAB" w14:textId="77777777" w:rsidR="00A364B8" w:rsidRDefault="00A364B8" w:rsidP="00A364B8">
      <w:pPr>
        <w:spacing w:after="0" w:line="480" w:lineRule="auto"/>
      </w:pPr>
    </w:p>
    <w:p w14:paraId="3F3999E5" w14:textId="5411A124" w:rsidR="00A364B8" w:rsidRDefault="00A364B8" w:rsidP="00A364B8">
      <w:pPr>
        <w:spacing w:after="0" w:line="480" w:lineRule="auto"/>
      </w:pPr>
      <w:r>
        <w:t xml:space="preserve">SVM landed somewhere in the middle: 81% accuracy, 75% recall, and an AUC of 0.86. It took more effort to tune—getting the parameters and feature scaling right really mattered. If you </w:t>
      </w:r>
      <w:r w:rsidR="00A240A0">
        <w:t>skip</w:t>
      </w:r>
      <w:r>
        <w:t xml:space="preserve"> those steps, performance </w:t>
      </w:r>
      <w:r w:rsidR="00A240A0">
        <w:t>drops</w:t>
      </w:r>
      <w:r>
        <w:t xml:space="preserve"> fast. SVM was more sensitive than Logistic Regression but still </w:t>
      </w:r>
      <w:r w:rsidR="00A240A0">
        <w:t>did not</w:t>
      </w:r>
      <w:r>
        <w:t xml:space="preserve"> </w:t>
      </w:r>
      <w:r w:rsidR="00A240A0">
        <w:t>edge</w:t>
      </w:r>
      <w:r>
        <w:t xml:space="preserve"> Random Forest. Overall, </w:t>
      </w:r>
      <w:r w:rsidR="00A240A0">
        <w:t>it is</w:t>
      </w:r>
      <w:r>
        <w:t xml:space="preserve"> a good backup option, but it </w:t>
      </w:r>
      <w:r w:rsidR="00A240A0">
        <w:t>would not</w:t>
      </w:r>
      <w:r>
        <w:t xml:space="preserve"> be my first pick.</w:t>
      </w:r>
    </w:p>
    <w:p w14:paraId="1FD1B791" w14:textId="77777777" w:rsidR="00A364B8" w:rsidRDefault="00A364B8" w:rsidP="00A364B8">
      <w:pPr>
        <w:spacing w:after="0" w:line="480" w:lineRule="auto"/>
      </w:pPr>
    </w:p>
    <w:p w14:paraId="4B7BF331" w14:textId="7317804F" w:rsidR="00A364B8" w:rsidRDefault="00A364B8" w:rsidP="00A364B8">
      <w:pPr>
        <w:spacing w:after="0" w:line="480" w:lineRule="auto"/>
      </w:pPr>
      <w:r>
        <w:t xml:space="preserve">Beyond the numbers, </w:t>
      </w:r>
      <w:r w:rsidR="00A240A0">
        <w:t>interpretability,</w:t>
      </w:r>
      <w:r>
        <w:t xml:space="preserve"> and ethical responsibility matter. In healthcare, you </w:t>
      </w:r>
      <w:r w:rsidR="00A240A0">
        <w:t>cannot</w:t>
      </w:r>
      <w:r>
        <w:t xml:space="preserve"> just treat patients like data points. Models need to be transparent enough for doctors to understand and explain. </w:t>
      </w:r>
      <w:r w:rsidR="00A240A0">
        <w:t>That is</w:t>
      </w:r>
      <w:r>
        <w:t xml:space="preserve"> one reason Logistic Regression is still popular—even if </w:t>
      </w:r>
      <w:r w:rsidR="00A240A0">
        <w:t>it is</w:t>
      </w:r>
      <w:r>
        <w:t xml:space="preserve"> not the most accurate, </w:t>
      </w:r>
      <w:r w:rsidR="00A240A0">
        <w:t>it is</w:t>
      </w:r>
      <w:r>
        <w:t xml:space="preserve"> easy to see why it makes certain predictions. Random Forest is less transparent, but you can dig into feature importance scores to see </w:t>
      </w:r>
      <w:r w:rsidR="00A240A0">
        <w:t>what is</w:t>
      </w:r>
      <w:r>
        <w:t xml:space="preserve"> driving the results. SVM is trickier; </w:t>
      </w:r>
      <w:r w:rsidR="00A240A0">
        <w:t>it is</w:t>
      </w:r>
      <w:r>
        <w:t xml:space="preserve"> really a black box, which can be a tough sell in medicine.</w:t>
      </w:r>
    </w:p>
    <w:p w14:paraId="6D2D7D82" w14:textId="77777777" w:rsidR="00A364B8" w:rsidRDefault="00A364B8" w:rsidP="00A364B8">
      <w:pPr>
        <w:spacing w:after="0" w:line="480" w:lineRule="auto"/>
      </w:pPr>
    </w:p>
    <w:p w14:paraId="0534D4D9" w14:textId="7150BBCA" w:rsidR="00A364B8" w:rsidRDefault="00A364B8" w:rsidP="00A364B8">
      <w:pPr>
        <w:spacing w:after="0" w:line="480" w:lineRule="auto"/>
      </w:pPr>
      <w:r>
        <w:t xml:space="preserve">Ethics also means thinking about bias. If the model learns patterns that </w:t>
      </w:r>
      <w:r w:rsidR="00A240A0">
        <w:t>do not</w:t>
      </w:r>
      <w:r>
        <w:t xml:space="preserve"> generalize—or that unfairly target certain </w:t>
      </w:r>
      <w:r w:rsidR="00A240A0">
        <w:t xml:space="preserve">groups, </w:t>
      </w:r>
      <w:r>
        <w:t xml:space="preserve">you risk doing </w:t>
      </w:r>
      <w:r w:rsidR="00A240A0">
        <w:t>actual harm</w:t>
      </w:r>
      <w:r>
        <w:t xml:space="preserve">. </w:t>
      </w:r>
      <w:r w:rsidR="00A240A0">
        <w:t>That is</w:t>
      </w:r>
      <w:r>
        <w:t xml:space="preserve"> why I checked the model’s performance across different subgroups and kept an eye out for any signs of bias. Data quality matters, too. If your data is messy or unrepresentative, your model will be too.</w:t>
      </w:r>
    </w:p>
    <w:p w14:paraId="56D63C9B" w14:textId="77777777" w:rsidR="00A364B8" w:rsidRDefault="00A364B8" w:rsidP="00A364B8">
      <w:pPr>
        <w:spacing w:after="0" w:line="480" w:lineRule="auto"/>
      </w:pPr>
    </w:p>
    <w:p w14:paraId="623C85DB" w14:textId="69C7070B" w:rsidR="00A364B8" w:rsidRDefault="00A240A0" w:rsidP="00A364B8">
      <w:pPr>
        <w:spacing w:after="0" w:line="480" w:lineRule="auto"/>
      </w:pPr>
      <w:r>
        <w:lastRenderedPageBreak/>
        <w:t>Overall</w:t>
      </w:r>
      <w:r w:rsidR="00A364B8">
        <w:t xml:space="preserve">, this project showed me how much ground there is between “building a good model” and “building a model you’d actually trust in the real world.” Random Forest gave the best performance here, but I </w:t>
      </w:r>
      <w:r>
        <w:t>would not</w:t>
      </w:r>
      <w:r w:rsidR="00A364B8">
        <w:t xml:space="preserve"> want to use it alone without some way to interpret its decisions and double-check for bias. Data cleaning and honest evaluation are non-negotiable if you want results that matter. In the end, the right model </w:t>
      </w:r>
      <w:r>
        <w:t>is not</w:t>
      </w:r>
      <w:r w:rsidR="00A364B8">
        <w:t xml:space="preserve"> just the one with the best </w:t>
      </w:r>
      <w:r>
        <w:t>score, it is</w:t>
      </w:r>
      <w:r w:rsidR="00A364B8">
        <w:t xml:space="preserve"> the one that balances performance, interpretability, and ethical responsibility, especially in healthcare where the stakes are high.</w:t>
      </w:r>
    </w:p>
    <w:p w14:paraId="618DCF2D" w14:textId="77777777" w:rsidR="00983329" w:rsidRDefault="00983329" w:rsidP="00A364B8">
      <w:pPr>
        <w:spacing w:after="0" w:line="480" w:lineRule="auto"/>
      </w:pPr>
    </w:p>
    <w:p w14:paraId="1656F1D1" w14:textId="77777777" w:rsidR="00983329" w:rsidRDefault="00983329" w:rsidP="00A364B8">
      <w:pPr>
        <w:spacing w:after="0" w:line="480" w:lineRule="auto"/>
      </w:pPr>
    </w:p>
    <w:p w14:paraId="0EA32D17" w14:textId="77777777" w:rsidR="00983329" w:rsidRDefault="00983329" w:rsidP="00A364B8">
      <w:pPr>
        <w:spacing w:after="0" w:line="480" w:lineRule="auto"/>
      </w:pPr>
    </w:p>
    <w:p w14:paraId="5F413EA7" w14:textId="77777777" w:rsidR="00983329" w:rsidRDefault="00983329" w:rsidP="00A364B8">
      <w:pPr>
        <w:spacing w:after="0" w:line="480" w:lineRule="auto"/>
      </w:pPr>
    </w:p>
    <w:p w14:paraId="5010C4A7" w14:textId="77777777" w:rsidR="00983329" w:rsidRDefault="00983329" w:rsidP="00A364B8">
      <w:pPr>
        <w:spacing w:after="0" w:line="480" w:lineRule="auto"/>
      </w:pPr>
    </w:p>
    <w:p w14:paraId="13F1AF05" w14:textId="77777777" w:rsidR="00983329" w:rsidRDefault="00983329" w:rsidP="00A364B8">
      <w:pPr>
        <w:spacing w:after="0" w:line="480" w:lineRule="auto"/>
      </w:pPr>
    </w:p>
    <w:p w14:paraId="151C4744" w14:textId="77777777" w:rsidR="00983329" w:rsidRDefault="00983329" w:rsidP="00A364B8">
      <w:pPr>
        <w:spacing w:after="0" w:line="480" w:lineRule="auto"/>
      </w:pPr>
    </w:p>
    <w:p w14:paraId="4833E2D8" w14:textId="77777777" w:rsidR="00983329" w:rsidRDefault="00983329" w:rsidP="00A364B8">
      <w:pPr>
        <w:spacing w:after="0" w:line="480" w:lineRule="auto"/>
      </w:pPr>
    </w:p>
    <w:p w14:paraId="4D49F3EC" w14:textId="77777777" w:rsidR="00983329" w:rsidRDefault="00983329" w:rsidP="00A364B8">
      <w:pPr>
        <w:spacing w:after="0" w:line="480" w:lineRule="auto"/>
      </w:pPr>
    </w:p>
    <w:p w14:paraId="39DFCCB6" w14:textId="77777777" w:rsidR="00983329" w:rsidRDefault="00983329" w:rsidP="00A364B8">
      <w:pPr>
        <w:spacing w:after="0" w:line="480" w:lineRule="auto"/>
      </w:pPr>
    </w:p>
    <w:p w14:paraId="4A2B0944" w14:textId="77777777" w:rsidR="00983329" w:rsidRDefault="00983329" w:rsidP="00A364B8">
      <w:pPr>
        <w:spacing w:after="0" w:line="480" w:lineRule="auto"/>
      </w:pPr>
    </w:p>
    <w:p w14:paraId="141B33D0" w14:textId="77777777" w:rsidR="00983329" w:rsidRDefault="00983329" w:rsidP="00A364B8">
      <w:pPr>
        <w:spacing w:after="0" w:line="480" w:lineRule="auto"/>
      </w:pPr>
    </w:p>
    <w:p w14:paraId="68C6D78B" w14:textId="77777777" w:rsidR="00983329" w:rsidRDefault="00983329" w:rsidP="00A364B8">
      <w:pPr>
        <w:spacing w:after="0" w:line="480" w:lineRule="auto"/>
      </w:pPr>
    </w:p>
    <w:p w14:paraId="63091023" w14:textId="77777777" w:rsidR="00983329" w:rsidRDefault="00983329" w:rsidP="00A364B8">
      <w:pPr>
        <w:spacing w:after="0" w:line="480" w:lineRule="auto"/>
      </w:pPr>
    </w:p>
    <w:p w14:paraId="336C3337" w14:textId="77777777" w:rsidR="00983329" w:rsidRDefault="00983329" w:rsidP="00983329">
      <w:pPr>
        <w:spacing w:after="0" w:line="480" w:lineRule="auto"/>
        <w:ind w:firstLine="720"/>
        <w:rPr>
          <w:b/>
          <w:bCs/>
        </w:rPr>
      </w:pPr>
    </w:p>
    <w:p w14:paraId="5EDB327D" w14:textId="77777777" w:rsidR="00983329" w:rsidRDefault="00983329" w:rsidP="00983329">
      <w:pPr>
        <w:spacing w:after="0" w:line="480" w:lineRule="auto"/>
        <w:ind w:firstLine="720"/>
        <w:rPr>
          <w:b/>
          <w:bCs/>
        </w:rPr>
      </w:pPr>
    </w:p>
    <w:p w14:paraId="6214F9CF" w14:textId="58F58AD0" w:rsidR="00983329" w:rsidRPr="00983329" w:rsidRDefault="00983329" w:rsidP="00983329">
      <w:pPr>
        <w:spacing w:after="0" w:line="480" w:lineRule="auto"/>
        <w:ind w:firstLine="720"/>
        <w:jc w:val="center"/>
        <w:rPr>
          <w:b/>
          <w:bCs/>
        </w:rPr>
      </w:pPr>
      <w:r w:rsidRPr="00983329">
        <w:rPr>
          <w:b/>
          <w:bCs/>
        </w:rPr>
        <w:t>References</w:t>
      </w:r>
    </w:p>
    <w:p w14:paraId="59C05DB4" w14:textId="77777777" w:rsidR="00983329" w:rsidRPr="00983329" w:rsidRDefault="00983329" w:rsidP="00983329">
      <w:pPr>
        <w:spacing w:after="0" w:line="480" w:lineRule="auto"/>
      </w:pPr>
      <w:r w:rsidRPr="00983329">
        <w:t xml:space="preserve">American Diabetes Association. (2023). </w:t>
      </w:r>
      <w:r w:rsidRPr="00983329">
        <w:rPr>
          <w:i/>
          <w:iCs/>
        </w:rPr>
        <w:t>Standards of care in diabetes—2023</w:t>
      </w:r>
      <w:r w:rsidRPr="00983329">
        <w:t xml:space="preserve">. </w:t>
      </w:r>
      <w:r w:rsidRPr="00983329">
        <w:rPr>
          <w:i/>
          <w:iCs/>
        </w:rPr>
        <w:t>Diabetes Care, 46</w:t>
      </w:r>
      <w:r w:rsidRPr="00983329">
        <w:t xml:space="preserve">(Supplement_1), S1–S291. </w:t>
      </w:r>
      <w:hyperlink r:id="rId5" w:tgtFrame="_new" w:history="1">
        <w:r w:rsidRPr="00983329">
          <w:rPr>
            <w:rStyle w:val="Hyperlink"/>
          </w:rPr>
          <w:t>https://doi.org/10.2337/dc23-Sint</w:t>
        </w:r>
      </w:hyperlink>
    </w:p>
    <w:p w14:paraId="43D7A49F" w14:textId="77777777" w:rsidR="00983329" w:rsidRPr="00983329" w:rsidRDefault="00983329" w:rsidP="00983329">
      <w:pPr>
        <w:spacing w:after="0" w:line="480" w:lineRule="auto"/>
      </w:pPr>
      <w:r w:rsidRPr="00983329">
        <w:t xml:space="preserve">Breiman, L. (2001). Random forests. </w:t>
      </w:r>
      <w:r w:rsidRPr="00983329">
        <w:rPr>
          <w:i/>
          <w:iCs/>
        </w:rPr>
        <w:t>Machine Learning, 45</w:t>
      </w:r>
      <w:r w:rsidRPr="00983329">
        <w:t>(1), 5–32. https://doi.org/10.1023/A:1010933404324</w:t>
      </w:r>
    </w:p>
    <w:p w14:paraId="42D3469F" w14:textId="77777777" w:rsidR="00983329" w:rsidRPr="00983329" w:rsidRDefault="00983329" w:rsidP="00983329">
      <w:pPr>
        <w:spacing w:after="0" w:line="480" w:lineRule="auto"/>
      </w:pPr>
      <w:r w:rsidRPr="00983329">
        <w:t>Health Insurance Portability and Accountability Act of 1996, 42 U.S.C. § 1320d et seq. (1996).</w:t>
      </w:r>
    </w:p>
    <w:p w14:paraId="3E4919F4" w14:textId="77777777" w:rsidR="00983329" w:rsidRPr="00983329" w:rsidRDefault="00983329" w:rsidP="00983329">
      <w:pPr>
        <w:spacing w:after="0" w:line="480" w:lineRule="auto"/>
      </w:pPr>
      <w:r w:rsidRPr="00983329">
        <w:t xml:space="preserve">Kuhn, M., &amp; Johnson, K. (2013). </w:t>
      </w:r>
      <w:r w:rsidRPr="00983329">
        <w:rPr>
          <w:i/>
          <w:iCs/>
        </w:rPr>
        <w:t>Applied predictive modeling</w:t>
      </w:r>
      <w:r w:rsidRPr="00983329">
        <w:t>. Springer.</w:t>
      </w:r>
    </w:p>
    <w:p w14:paraId="15757777" w14:textId="77777777" w:rsidR="00983329" w:rsidRPr="00983329" w:rsidRDefault="00983329" w:rsidP="00983329">
      <w:pPr>
        <w:spacing w:after="0" w:line="480" w:lineRule="auto"/>
      </w:pPr>
      <w:r w:rsidRPr="00983329">
        <w:t xml:space="preserve">Obermeyer, Z., Powers, B., Vogeli, C., &amp; Mullainathan, S. (2019). Dissecting racial bias in an algorithm used to manage the health of populations. </w:t>
      </w:r>
      <w:r w:rsidRPr="00983329">
        <w:rPr>
          <w:i/>
          <w:iCs/>
        </w:rPr>
        <w:t>Science, 366</w:t>
      </w:r>
      <w:r w:rsidRPr="00983329">
        <w:t xml:space="preserve">(6464), 447–453. </w:t>
      </w:r>
      <w:hyperlink r:id="rId6" w:tgtFrame="_new" w:history="1">
        <w:r w:rsidRPr="00983329">
          <w:rPr>
            <w:rStyle w:val="Hyperlink"/>
          </w:rPr>
          <w:t>https://doi.org/10.1126/science.aax2342</w:t>
        </w:r>
      </w:hyperlink>
    </w:p>
    <w:p w14:paraId="0817A8E0" w14:textId="77777777" w:rsidR="00983329" w:rsidRDefault="00983329" w:rsidP="00A364B8">
      <w:pPr>
        <w:spacing w:after="0" w:line="480" w:lineRule="auto"/>
      </w:pPr>
    </w:p>
    <w:sectPr w:rsidR="00983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B8"/>
    <w:rsid w:val="00983329"/>
    <w:rsid w:val="00A240A0"/>
    <w:rsid w:val="00A364B8"/>
    <w:rsid w:val="00F64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BFA1B"/>
  <w15:chartTrackingRefBased/>
  <w15:docId w15:val="{F0A9952C-CD79-453E-8A31-C503E70DA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4B8"/>
    <w:rPr>
      <w:rFonts w:eastAsiaTheme="majorEastAsia" w:cstheme="majorBidi"/>
      <w:color w:val="272727" w:themeColor="text1" w:themeTint="D8"/>
    </w:rPr>
  </w:style>
  <w:style w:type="paragraph" w:styleId="Title">
    <w:name w:val="Title"/>
    <w:basedOn w:val="Normal"/>
    <w:next w:val="Normal"/>
    <w:link w:val="TitleChar"/>
    <w:uiPriority w:val="10"/>
    <w:qFormat/>
    <w:rsid w:val="00A36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4B8"/>
    <w:pPr>
      <w:spacing w:before="160"/>
      <w:jc w:val="center"/>
    </w:pPr>
    <w:rPr>
      <w:i/>
      <w:iCs/>
      <w:color w:val="404040" w:themeColor="text1" w:themeTint="BF"/>
    </w:rPr>
  </w:style>
  <w:style w:type="character" w:customStyle="1" w:styleId="QuoteChar">
    <w:name w:val="Quote Char"/>
    <w:basedOn w:val="DefaultParagraphFont"/>
    <w:link w:val="Quote"/>
    <w:uiPriority w:val="29"/>
    <w:rsid w:val="00A364B8"/>
    <w:rPr>
      <w:i/>
      <w:iCs/>
      <w:color w:val="404040" w:themeColor="text1" w:themeTint="BF"/>
    </w:rPr>
  </w:style>
  <w:style w:type="paragraph" w:styleId="ListParagraph">
    <w:name w:val="List Paragraph"/>
    <w:basedOn w:val="Normal"/>
    <w:uiPriority w:val="34"/>
    <w:qFormat/>
    <w:rsid w:val="00A364B8"/>
    <w:pPr>
      <w:ind w:left="720"/>
      <w:contextualSpacing/>
    </w:pPr>
  </w:style>
  <w:style w:type="character" w:styleId="IntenseEmphasis">
    <w:name w:val="Intense Emphasis"/>
    <w:basedOn w:val="DefaultParagraphFont"/>
    <w:uiPriority w:val="21"/>
    <w:qFormat/>
    <w:rsid w:val="00A364B8"/>
    <w:rPr>
      <w:i/>
      <w:iCs/>
      <w:color w:val="0F4761" w:themeColor="accent1" w:themeShade="BF"/>
    </w:rPr>
  </w:style>
  <w:style w:type="paragraph" w:styleId="IntenseQuote">
    <w:name w:val="Intense Quote"/>
    <w:basedOn w:val="Normal"/>
    <w:next w:val="Normal"/>
    <w:link w:val="IntenseQuoteChar"/>
    <w:uiPriority w:val="30"/>
    <w:qFormat/>
    <w:rsid w:val="00A36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4B8"/>
    <w:rPr>
      <w:i/>
      <w:iCs/>
      <w:color w:val="0F4761" w:themeColor="accent1" w:themeShade="BF"/>
    </w:rPr>
  </w:style>
  <w:style w:type="character" w:styleId="IntenseReference">
    <w:name w:val="Intense Reference"/>
    <w:basedOn w:val="DefaultParagraphFont"/>
    <w:uiPriority w:val="32"/>
    <w:qFormat/>
    <w:rsid w:val="00A364B8"/>
    <w:rPr>
      <w:b/>
      <w:bCs/>
      <w:smallCaps/>
      <w:color w:val="0F4761" w:themeColor="accent1" w:themeShade="BF"/>
      <w:spacing w:val="5"/>
    </w:rPr>
  </w:style>
  <w:style w:type="character" w:styleId="Hyperlink">
    <w:name w:val="Hyperlink"/>
    <w:basedOn w:val="DefaultParagraphFont"/>
    <w:uiPriority w:val="99"/>
    <w:unhideWhenUsed/>
    <w:rsid w:val="00983329"/>
    <w:rPr>
      <w:color w:val="467886" w:themeColor="hyperlink"/>
      <w:u w:val="single"/>
    </w:rPr>
  </w:style>
  <w:style w:type="character" w:styleId="UnresolvedMention">
    <w:name w:val="Unresolved Mention"/>
    <w:basedOn w:val="DefaultParagraphFont"/>
    <w:uiPriority w:val="99"/>
    <w:semiHidden/>
    <w:unhideWhenUsed/>
    <w:rsid w:val="00983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126/science.aax2342" TargetMode="External"/><Relationship Id="rId5" Type="http://schemas.openxmlformats.org/officeDocument/2006/relationships/hyperlink" Target="https://doi.org/10.2337/dc23-Si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A8938-EB10-4A5A-AACF-B3AEEFF8F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1074</Words>
  <Characters>6128</Characters>
  <Application>Microsoft Office Word</Application>
  <DocSecurity>0</DocSecurity>
  <Lines>51</Lines>
  <Paragraphs>14</Paragraphs>
  <ScaleCrop>false</ScaleCrop>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Richardson</dc:creator>
  <cp:keywords/>
  <dc:description/>
  <cp:lastModifiedBy>Jeffery Richardson</cp:lastModifiedBy>
  <cp:revision>4</cp:revision>
  <dcterms:created xsi:type="dcterms:W3CDTF">2026-02-11T16:42:00Z</dcterms:created>
  <dcterms:modified xsi:type="dcterms:W3CDTF">2026-02-11T16:46:00Z</dcterms:modified>
</cp:coreProperties>
</file>