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0D9488" w:color="auto" w:val="clear"/>
            <w:tcMar>
              <w:top w:type="dxa" w:w="576"/>
              <w:left w:type="dxa" w:w="720"/>
              <w:bottom w:type="dxa" w:w="576"/>
              <w:right w:type="dxa" w:w="720"/>
            </w:tcMar>
          </w:tcPr>
          <w:p>
            <w:pPr>
              <w:spacing w:before="200" w:after="120"/>
            </w:pPr>
            <w:r>
              <w:rPr>
                <w:rFonts w:ascii="Calibri" w:cs="Calibri" w:eastAsia="Calibri" w:hAnsi="Calibri"/>
                <w:color w:val="A7F3D0"/>
                <w:spacing w:val="50"/>
                <w:sz w:val="16"/>
                <w:szCs w:val="16"/>
              </w:rPr>
              <w:t xml:space="preserve">PREPARED BY REVOPS IMPACT</w:t>
            </w:r>
          </w:p>
          <w:p>
            <w:pPr>
              <w:spacing w:before="0"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Frontera Health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A7F3D0"/>
                <w:sz w:val="28"/>
                <w:szCs w:val="28"/>
              </w:rPr>
              <w:t xml:space="preserve">Pipeline Intelligence Report</w:t>
            </w:r>
          </w:p>
        </w:tc>
      </w:tr>
    </w:tbl>
    <w:p>
      <w:pPr>
        <w:spacing w:before="240"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Week of March 16, 2026</w:t>
      </w:r>
    </w:p>
    <w:p>
      <w:pPr>
        <w:spacing w:after="48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Confidential</w:t>
      </w:r>
    </w:p>
    <w:p>
      <w:pPr>
        <w:pBdr>
          <w:bottom w:val="single" w:color="0D9488" w:sz="6" w:space="1"/>
        </w:pBdr>
        <w:spacing w:before="0" w:after="400"/>
      </w:pPr>
    </w:p>
    <w:p>
      <w:pPr>
        <w:spacing w:before="480" w:after="240"/>
      </w:pPr>
      <w:r>
        <w:rPr>
          <w:b/>
          <w:bCs/>
          <w:color w:val="1E293B"/>
          <w:sz w:val="28"/>
          <w:szCs w:val="28"/>
        </w:rPr>
        <w:t xml:space="preserve">The team closed $1.34M across 52 deals, but pipeline coverage sits at 0.75x against quota, 2.25x below the required 3x target. Q1 requires $245,000 in new pipeline immediately, with 10 deals flagged for monitoring and meeting attribution gaps creating visibility risk. Nate Phillips and Sara Bollman are carrying 100% of revenue, signaling an urgent need to activate the broader team and address the coverage shortfall before quarter end.</w:t>
      </w:r>
    </w:p>
    <w:sectPr>
      <w:footerReference w:type="default" r:id="rId6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Prepared by RevOps Impact · for Frontera Health · March 2026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2026-03-24T02:53:02.752Z</dcterms:created>
  <dcterms:modified xsi:type="dcterms:W3CDTF">2026-03-24T02:53:02.752Z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