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b/>
          <w:color w:val="17324D"/>
          <w:sz w:val="42"/>
        </w:rPr>
        <w:t>내 제품 목록 화면 기획서</w:t>
      </w:r>
    </w:p>
    <w:p>
      <w:r>
        <w:rPr>
          <w:rFonts w:ascii="Noto Sans CJK KR" w:hAnsi="Noto Sans CJK KR" w:eastAsia="Noto Sans CJK KR"/>
          <w:b/>
          <w:color w:val="148277"/>
          <w:sz w:val="18"/>
        </w:rPr>
        <w:t xml:space="preserve">대상 코드  </w:t>
      </w:r>
      <w:r>
        <w:rPr>
          <w:rFonts w:ascii="Noto Sans CJK KR" w:hAnsi="Noto Sans CJK KR" w:eastAsia="Noto Sans CJK KR"/>
          <w:b/>
          <w:color w:val="20262E"/>
          <w:sz w:val="18"/>
        </w:rPr>
        <w:t>src/app/products/page.tsx</w:t>
      </w:r>
    </w:p>
    <w:tbl>
      <w:tblPr>
        <w:tblW w:type="auto" w:w="0"/>
        <w:jc w:val="center"/>
        <w:tblLook w:firstColumn="1" w:firstRow="1" w:lastColumn="0" w:lastRow="0" w:noHBand="0" w:noVBand="1" w:val="04A0"/>
      </w:tblPr>
      <w:tblGrid>
        <w:gridCol w:w="9972"/>
      </w:tblGrid>
      <w:tr>
        <w:tc>
          <w:tcPr>
            <w:tcW w:type="dxa" w:w="9972"/>
            <w:shd w:fill="EAF6F4"/>
            <w:tcMar>
              <w:top w:w="130" w:type="dxa"/>
              <w:start w:w="160" w:type="dxa"/>
              <w:bottom w:w="130" w:type="dxa"/>
              <w:end w:w="160" w:type="dxa"/>
            </w:tcMar>
          </w:tcPr>
          <w:p>
            <w:r>
              <w:rPr>
                <w:rFonts w:ascii="Noto Sans CJK KR" w:hAnsi="Noto Sans CJK KR" w:eastAsia="Noto Sans CJK KR"/>
                <w:b/>
                <w:color w:val="148277"/>
                <w:sz w:val="20"/>
              </w:rPr>
              <w:t>핵심 목적</w:t>
            </w:r>
          </w:p>
          <w:p>
            <w:r>
              <w:rPr>
                <w:rFonts w:ascii="Noto Sans CJK KR" w:hAnsi="Noto Sans CJK KR" w:eastAsia="Noto Sans CJK KR"/>
                <w:b w:val="0"/>
                <w:color w:val="20262E"/>
                <w:sz w:val="18"/>
              </w:rPr>
              <w:t>제품별 보기뿐 아니라 성분·속성별 보기에서도 사용자가 더 주의해야 하는 판정을 먼저 확인할 수 있도록 표시 순서를 일관되게 정렬한다.</w:t>
            </w:r>
          </w:p>
        </w:tc>
      </w:tr>
    </w:tbl>
    <w:p>
      <w:pPr>
        <w:pStyle w:val="Heading1"/>
      </w:pPr>
      <w:r>
        <w:t>1. 변경 배경</w:t>
      </w:r>
    </w:p>
    <w:p>
      <w:r>
        <w:rPr>
          <w:rFonts w:ascii="Noto Sans CJK KR" w:hAnsi="Noto Sans CJK KR" w:eastAsia="Noto Sans CJK KR"/>
          <w:b w:val="0"/>
          <w:color w:val="20262E"/>
          <w:sz w:val="20"/>
        </w:rPr>
        <w:t>내 제품 화면에는 ‘제품별’ 보기와 ‘성분·속성별’ 보기가 있다. 제품별 목록은 기존에도 중단(stop) → 주의(care) → 정보 없음(unknown) → 가능(go) 순서의 우선순위를 사용해 정렬하고 있었다.</w:t>
      </w:r>
    </w:p>
    <w:p>
      <w:r>
        <w:rPr>
          <w:rFonts w:ascii="Noto Sans CJK KR" w:hAnsi="Noto Sans CJK KR" w:eastAsia="Noto Sans CJK KR"/>
          <w:b w:val="0"/>
          <w:color w:val="20262E"/>
          <w:sz w:val="20"/>
        </w:rPr>
        <w:t>반면 성분·속성별 보기에서는 각 속성 그룹의 대표 판정 수준은 계산했지만, 그룹 자체의 표시 순서는 룰팩의 속성 배열 순서를 따르고 있었다. 따라서 중단이나 주의가 필요한 속성이 화면 아래쪽에 위치할 수 있었다.</w:t>
      </w:r>
    </w:p>
    <w:p>
      <w:pPr>
        <w:pStyle w:val="Heading1"/>
      </w:pPr>
      <w:r>
        <w:t>2. 이번에 업데이트한 사항</w:t>
      </w:r>
    </w:p>
    <w:p>
      <w:r>
        <w:rPr>
          <w:rFonts w:ascii="Noto Sans CJK KR" w:hAnsi="Noto Sans CJK KR" w:eastAsia="Noto Sans CJK KR"/>
          <w:b/>
          <w:color w:val="148277"/>
          <w:sz w:val="19"/>
        </w:rPr>
        <w:t>성분·속성별 그룹 정렬 추가</w:t>
      </w:r>
      <w:r>
        <w:rPr>
          <w:rFonts w:ascii="Noto Sans CJK KR" w:hAnsi="Noto Sans CJK KR" w:eastAsia="Noto Sans CJK KR"/>
          <w:b w:val="0"/>
          <w:color w:val="20262E"/>
          <w:sz w:val="19"/>
        </w:rPr>
        <w:t xml:space="preserve">  제품이 하나 이상 연결된 속성 그룹만 남긴 뒤, 각 그룹의 판정 수준을 기준으로 다시 정렬하도록 변경했다.</w:t>
      </w:r>
    </w:p>
    <w:p>
      <w:r>
        <w:rPr>
          <w:rFonts w:ascii="Noto Sans CJK KR" w:hAnsi="Noto Sans CJK KR" w:eastAsia="Noto Sans CJK KR"/>
          <w:b/>
          <w:color w:val="148277"/>
          <w:sz w:val="19"/>
        </w:rPr>
        <w:t>기존 판정 우선순위 재사용</w:t>
      </w:r>
      <w:r>
        <w:rPr>
          <w:rFonts w:ascii="Noto Sans CJK KR" w:hAnsi="Noto Sans CJK KR" w:eastAsia="Noto Sans CJK KR"/>
          <w:b w:val="0"/>
          <w:color w:val="20262E"/>
          <w:sz w:val="19"/>
        </w:rPr>
        <w:t xml:space="preserve">  새로운 우선순위를 별도로 만들지 않고 기존 rank 값을 그대로 사용한다. 우선순위는 중단(stop) &gt; 주의(care) &gt; 정보 없음(unknown) &gt; 가능(go)이다.</w:t>
      </w:r>
    </w:p>
    <w:p>
      <w:r>
        <w:rPr>
          <w:rFonts w:ascii="Noto Sans CJK KR" w:hAnsi="Noto Sans CJK KR" w:eastAsia="Noto Sans CJK KR"/>
          <w:b/>
          <w:color w:val="148277"/>
          <w:sz w:val="19"/>
        </w:rPr>
        <w:t>판정 수준이 없는 경우 보수적으로 처리</w:t>
      </w:r>
      <w:r>
        <w:rPr>
          <w:rFonts w:ascii="Noto Sans CJK KR" w:hAnsi="Noto Sans CJK KR" w:eastAsia="Noto Sans CJK KR"/>
          <w:b w:val="0"/>
          <w:color w:val="20262E"/>
          <w:sz w:val="19"/>
        </w:rPr>
        <w:t xml:space="preserve">  정렬 시 그룹의 level이 비어 있는 경우 unknown으로 간주해 예상치 못한 데이터가 있어도 ‘가능’보다 먼저 확인할 수 있도록 한다.</w:t>
      </w:r>
    </w:p>
    <w:p>
      <w:r>
        <w:rPr>
          <w:rFonts w:ascii="Noto Sans CJK KR" w:hAnsi="Noto Sans CJK KR" w:eastAsia="Noto Sans CJK KR"/>
          <w:b/>
          <w:color w:val="148277"/>
          <w:sz w:val="19"/>
        </w:rPr>
        <w:t>두 보기 방식의 정보 우선순위 통일</w:t>
      </w:r>
      <w:r>
        <w:rPr>
          <w:rFonts w:ascii="Noto Sans CJK KR" w:hAnsi="Noto Sans CJK KR" w:eastAsia="Noto Sans CJK KR"/>
          <w:b w:val="0"/>
          <w:color w:val="20262E"/>
          <w:sz w:val="19"/>
        </w:rPr>
        <w:t xml:space="preserve">  제품별 보기와 성분·속성별 보기 모두 사용자가 먼저 확인해야 할 위험·주의 상태를 상단에서 확인할 수 있도록 동일한 우선순위를 적용한다.</w:t>
      </w:r>
    </w:p>
    <w:p>
      <w:pPr>
        <w:pStyle w:val="Heading1"/>
      </w:pPr>
      <w:r>
        <w:t>3. 의도된 표시 순서</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7324D"/>
            <w:tcMar>
              <w:top w:w="90" w:type="dxa"/>
              <w:start w:w="120" w:type="dxa"/>
              <w:bottom w:w="90" w:type="dxa"/>
              <w:end w:w="120" w:type="dxa"/>
            </w:tcMar>
            <w:vAlign w:val="center"/>
          </w:tcPr>
          <w:p>
            <w:pPr>
              <w:jc w:val="center"/>
            </w:pPr>
            <w:r>
              <w:rPr>
                <w:rFonts w:ascii="Noto Sans CJK KR" w:hAnsi="Noto Sans CJK KR" w:eastAsia="Noto Sans CJK KR"/>
                <w:b/>
                <w:color w:val="FFFFFF"/>
                <w:sz w:val="17"/>
              </w:rPr>
              <w:t>우선순위</w:t>
            </w:r>
          </w:p>
        </w:tc>
        <w:tc>
          <w:tcPr>
            <w:tcW w:type="dxa" w:w="3324"/>
            <w:shd w:fill="17324D"/>
            <w:tcMar>
              <w:top w:w="90" w:type="dxa"/>
              <w:start w:w="120" w:type="dxa"/>
              <w:bottom w:w="90" w:type="dxa"/>
              <w:end w:w="120" w:type="dxa"/>
            </w:tcMar>
            <w:vAlign w:val="center"/>
          </w:tcPr>
          <w:p>
            <w:pPr>
              <w:jc w:val="center"/>
            </w:pPr>
            <w:r>
              <w:rPr>
                <w:rFonts w:ascii="Noto Sans CJK KR" w:hAnsi="Noto Sans CJK KR" w:eastAsia="Noto Sans CJK KR"/>
                <w:b/>
                <w:color w:val="FFFFFF"/>
                <w:sz w:val="17"/>
              </w:rPr>
              <w:t>판정</w:t>
            </w:r>
          </w:p>
        </w:tc>
        <w:tc>
          <w:tcPr>
            <w:tcW w:type="dxa" w:w="3324"/>
            <w:shd w:fill="17324D"/>
            <w:tcMar>
              <w:top w:w="90" w:type="dxa"/>
              <w:start w:w="120" w:type="dxa"/>
              <w:bottom w:w="90" w:type="dxa"/>
              <w:end w:w="120" w:type="dxa"/>
            </w:tcMar>
            <w:vAlign w:val="center"/>
          </w:tcPr>
          <w:p>
            <w:pPr>
              <w:jc w:val="center"/>
            </w:pPr>
            <w:r>
              <w:rPr>
                <w:rFonts w:ascii="Noto Sans CJK KR" w:hAnsi="Noto Sans CJK KR" w:eastAsia="Noto Sans CJK KR"/>
                <w:b/>
                <w:color w:val="FFFFFF"/>
                <w:sz w:val="17"/>
              </w:rPr>
              <w:t>화면 표시 의도</w:t>
            </w:r>
          </w:p>
        </w:tc>
      </w:tr>
      <w:tr>
        <w:tc>
          <w:tcPr>
            <w:tcW w:type="dxa" w:w="3324"/>
            <w:tcMar>
              <w:top w:w="90" w:type="dxa"/>
              <w:start w:w="120" w:type="dxa"/>
              <w:bottom w:w="90" w:type="dxa"/>
              <w:end w:w="120" w:type="dxa"/>
            </w:tcMar>
            <w:vAlign w:val="center"/>
          </w:tcPr>
          <w:p>
            <w:r>
              <w:rPr>
                <w:rFonts w:ascii="Noto Sans CJK KR" w:hAnsi="Noto Sans CJK KR" w:eastAsia="Noto Sans CJK KR"/>
                <w:b w:val="0"/>
                <w:color w:val="20262E"/>
                <w:sz w:val="17"/>
              </w:rPr>
              <w:t>1</w:t>
            </w:r>
          </w:p>
        </w:tc>
        <w:tc>
          <w:tcPr>
            <w:tcW w:type="dxa" w:w="3324"/>
            <w:tcMar>
              <w:top w:w="90" w:type="dxa"/>
              <w:start w:w="120" w:type="dxa"/>
              <w:bottom w:w="90" w:type="dxa"/>
              <w:end w:w="120" w:type="dxa"/>
            </w:tcMar>
            <w:vAlign w:val="center"/>
          </w:tcPr>
          <w:p>
            <w:r>
              <w:rPr>
                <w:rFonts w:ascii="Noto Sans CJK KR" w:hAnsi="Noto Sans CJK KR" w:eastAsia="Noto Sans CJK KR"/>
                <w:b/>
                <w:color w:val="20262E"/>
                <w:sz w:val="17"/>
              </w:rPr>
              <w:t>중단 (stop)</w:t>
            </w:r>
          </w:p>
        </w:tc>
        <w:tc>
          <w:tcPr>
            <w:tcW w:type="dxa" w:w="3324"/>
            <w:tcMar>
              <w:top w:w="90" w:type="dxa"/>
              <w:start w:w="120" w:type="dxa"/>
              <w:bottom w:w="90" w:type="dxa"/>
              <w:end w:w="120" w:type="dxa"/>
            </w:tcMar>
            <w:vAlign w:val="center"/>
          </w:tcPr>
          <w:p>
            <w:r>
              <w:rPr>
                <w:rFonts w:ascii="Noto Sans CJK KR" w:hAnsi="Noto Sans CJK KR" w:eastAsia="Noto Sans CJK KR"/>
                <w:b w:val="0"/>
                <w:color w:val="20262E"/>
                <w:sz w:val="17"/>
              </w:rPr>
              <w:t>가장 먼저 확인해야 하는 항목</w:t>
            </w:r>
          </w:p>
        </w:tc>
      </w:tr>
      <w:tr>
        <w:tc>
          <w:tcPr>
            <w:tcW w:type="dxa" w:w="3324"/>
            <w:tcMar>
              <w:top w:w="90" w:type="dxa"/>
              <w:start w:w="120" w:type="dxa"/>
              <w:bottom w:w="90" w:type="dxa"/>
              <w:end w:w="120" w:type="dxa"/>
            </w:tcMar>
            <w:vAlign w:val="center"/>
            <w:shd w:fill="F5F7F9"/>
          </w:tcPr>
          <w:p>
            <w:r>
              <w:rPr>
                <w:rFonts w:ascii="Noto Sans CJK KR" w:hAnsi="Noto Sans CJK KR" w:eastAsia="Noto Sans CJK KR"/>
                <w:b w:val="0"/>
                <w:color w:val="20262E"/>
                <w:sz w:val="17"/>
              </w:rPr>
              <w:t>2</w:t>
            </w:r>
          </w:p>
        </w:tc>
        <w:tc>
          <w:tcPr>
            <w:tcW w:type="dxa" w:w="3324"/>
            <w:tcMar>
              <w:top w:w="90" w:type="dxa"/>
              <w:start w:w="120" w:type="dxa"/>
              <w:bottom w:w="90" w:type="dxa"/>
              <w:end w:w="120" w:type="dxa"/>
            </w:tcMar>
            <w:vAlign w:val="center"/>
            <w:shd w:fill="F5F7F9"/>
          </w:tcPr>
          <w:p>
            <w:r>
              <w:rPr>
                <w:rFonts w:ascii="Noto Sans CJK KR" w:hAnsi="Noto Sans CJK KR" w:eastAsia="Noto Sans CJK KR"/>
                <w:b/>
                <w:color w:val="20262E"/>
                <w:sz w:val="17"/>
              </w:rPr>
              <w:t>주의 (care)</w:t>
            </w:r>
          </w:p>
        </w:tc>
        <w:tc>
          <w:tcPr>
            <w:tcW w:type="dxa" w:w="3324"/>
            <w:tcMar>
              <w:top w:w="90" w:type="dxa"/>
              <w:start w:w="120" w:type="dxa"/>
              <w:bottom w:w="90" w:type="dxa"/>
              <w:end w:w="120" w:type="dxa"/>
            </w:tcMar>
            <w:vAlign w:val="center"/>
            <w:shd w:fill="F5F7F9"/>
          </w:tcPr>
          <w:p>
            <w:r>
              <w:rPr>
                <w:rFonts w:ascii="Noto Sans CJK KR" w:hAnsi="Noto Sans CJK KR" w:eastAsia="Noto Sans CJK KR"/>
                <w:b w:val="0"/>
                <w:color w:val="20262E"/>
                <w:sz w:val="17"/>
              </w:rPr>
              <w:t>중단 다음으로 우선 확인</w:t>
            </w:r>
          </w:p>
        </w:tc>
      </w:tr>
      <w:tr>
        <w:tc>
          <w:tcPr>
            <w:tcW w:type="dxa" w:w="3324"/>
            <w:tcMar>
              <w:top w:w="90" w:type="dxa"/>
              <w:start w:w="120" w:type="dxa"/>
              <w:bottom w:w="90" w:type="dxa"/>
              <w:end w:w="120" w:type="dxa"/>
            </w:tcMar>
            <w:vAlign w:val="center"/>
          </w:tcPr>
          <w:p>
            <w:r>
              <w:rPr>
                <w:rFonts w:ascii="Noto Sans CJK KR" w:hAnsi="Noto Sans CJK KR" w:eastAsia="Noto Sans CJK KR"/>
                <w:b w:val="0"/>
                <w:color w:val="20262E"/>
                <w:sz w:val="17"/>
              </w:rPr>
              <w:t>3</w:t>
            </w:r>
          </w:p>
        </w:tc>
        <w:tc>
          <w:tcPr>
            <w:tcW w:type="dxa" w:w="3324"/>
            <w:tcMar>
              <w:top w:w="90" w:type="dxa"/>
              <w:start w:w="120" w:type="dxa"/>
              <w:bottom w:w="90" w:type="dxa"/>
              <w:end w:w="120" w:type="dxa"/>
            </w:tcMar>
            <w:vAlign w:val="center"/>
          </w:tcPr>
          <w:p>
            <w:r>
              <w:rPr>
                <w:rFonts w:ascii="Noto Sans CJK KR" w:hAnsi="Noto Sans CJK KR" w:eastAsia="Noto Sans CJK KR"/>
                <w:b/>
                <w:color w:val="20262E"/>
                <w:sz w:val="17"/>
              </w:rPr>
              <w:t>정보 없음 (unknown)</w:t>
            </w:r>
          </w:p>
        </w:tc>
        <w:tc>
          <w:tcPr>
            <w:tcW w:type="dxa" w:w="3324"/>
            <w:tcMar>
              <w:top w:w="90" w:type="dxa"/>
              <w:start w:w="120" w:type="dxa"/>
              <w:bottom w:w="90" w:type="dxa"/>
              <w:end w:w="120" w:type="dxa"/>
            </w:tcMar>
            <w:vAlign w:val="center"/>
          </w:tcPr>
          <w:p>
            <w:r>
              <w:rPr>
                <w:rFonts w:ascii="Noto Sans CJK KR" w:hAnsi="Noto Sans CJK KR" w:eastAsia="Noto Sans CJK KR"/>
                <w:b w:val="0"/>
                <w:color w:val="20262E"/>
                <w:sz w:val="17"/>
              </w:rPr>
              <w:t>판단 근거가 부족하므로 가능보다 먼저 확인</w:t>
            </w:r>
          </w:p>
        </w:tc>
      </w:tr>
      <w:tr>
        <w:tc>
          <w:tcPr>
            <w:tcW w:type="dxa" w:w="3324"/>
            <w:tcMar>
              <w:top w:w="90" w:type="dxa"/>
              <w:start w:w="120" w:type="dxa"/>
              <w:bottom w:w="90" w:type="dxa"/>
              <w:end w:w="120" w:type="dxa"/>
            </w:tcMar>
            <w:vAlign w:val="center"/>
            <w:shd w:fill="F5F7F9"/>
          </w:tcPr>
          <w:p>
            <w:r>
              <w:rPr>
                <w:rFonts w:ascii="Noto Sans CJK KR" w:hAnsi="Noto Sans CJK KR" w:eastAsia="Noto Sans CJK KR"/>
                <w:b w:val="0"/>
                <w:color w:val="20262E"/>
                <w:sz w:val="17"/>
              </w:rPr>
              <w:t>4</w:t>
            </w:r>
          </w:p>
        </w:tc>
        <w:tc>
          <w:tcPr>
            <w:tcW w:type="dxa" w:w="3324"/>
            <w:tcMar>
              <w:top w:w="90" w:type="dxa"/>
              <w:start w:w="120" w:type="dxa"/>
              <w:bottom w:w="90" w:type="dxa"/>
              <w:end w:w="120" w:type="dxa"/>
            </w:tcMar>
            <w:vAlign w:val="center"/>
            <w:shd w:fill="F5F7F9"/>
          </w:tcPr>
          <w:p>
            <w:r>
              <w:rPr>
                <w:rFonts w:ascii="Noto Sans CJK KR" w:hAnsi="Noto Sans CJK KR" w:eastAsia="Noto Sans CJK KR"/>
                <w:b/>
                <w:color w:val="20262E"/>
                <w:sz w:val="17"/>
              </w:rPr>
              <w:t>가능 (go)</w:t>
            </w:r>
          </w:p>
        </w:tc>
        <w:tc>
          <w:tcPr>
            <w:tcW w:type="dxa" w:w="3324"/>
            <w:tcMar>
              <w:top w:w="90" w:type="dxa"/>
              <w:start w:w="120" w:type="dxa"/>
              <w:bottom w:w="90" w:type="dxa"/>
              <w:end w:w="120" w:type="dxa"/>
            </w:tcMar>
            <w:vAlign w:val="center"/>
            <w:shd w:fill="F5F7F9"/>
          </w:tcPr>
          <w:p>
            <w:r>
              <w:rPr>
                <w:rFonts w:ascii="Noto Sans CJK KR" w:hAnsi="Noto Sans CJK KR" w:eastAsia="Noto Sans CJK KR"/>
                <w:b w:val="0"/>
                <w:color w:val="20262E"/>
                <w:sz w:val="17"/>
              </w:rPr>
              <w:t>상대적으로 우선도가 낮은 항목</w:t>
            </w:r>
          </w:p>
        </w:tc>
      </w:tr>
    </w:tbl>
    <w:p>
      <w:pPr>
        <w:pStyle w:val="Heading1"/>
      </w:pPr>
      <w:r>
        <w:t>4. 정렬 단위</w:t>
      </w:r>
    </w:p>
    <w:p>
      <w:r>
        <w:rPr>
          <w:rFonts w:ascii="Noto Sans CJK KR" w:hAnsi="Noto Sans CJK KR" w:eastAsia="Noto Sans CJK KR"/>
          <w:b w:val="0"/>
          <w:color w:val="20262E"/>
          <w:sz w:val="20"/>
        </w:rPr>
        <w:t>성분·속성별 보기에서는 같은 속성을 가진 여러 제품을 하나의 그룹으로 묶는다. 해당 그룹에 포함된 제품 중 가장 높은 우선순위의 판정을 그 그룹의 대표 판정으로 사용하고, 이 대표 판정에 따라 속성 그룹 전체의 위치를 정한다.</w:t>
      </w:r>
    </w:p>
    <w:p>
      <w:r>
        <w:rPr>
          <w:rFonts w:ascii="Noto Sans CJK KR" w:hAnsi="Noto Sans CJK KR" w:eastAsia="Noto Sans CJK KR"/>
          <w:b/>
          <w:color w:val="148277"/>
          <w:sz w:val="19"/>
        </w:rPr>
        <w:t xml:space="preserve">예시  </w:t>
      </w:r>
      <w:r>
        <w:rPr>
          <w:rFonts w:ascii="Noto Sans CJK KR" w:hAnsi="Noto Sans CJK KR" w:eastAsia="Noto Sans CJK KR"/>
          <w:b w:val="0"/>
          <w:color w:val="20262E"/>
          <w:sz w:val="19"/>
        </w:rPr>
        <w:t>A 속성에 ‘주의’ 제품과 ‘가능’ 제품이 함께 있으면 A 속성 그룹의 대표 판정은 ‘주의’가 된다. 따라서 ‘가능’만 포함한 속성 그룹보다 위에 표시된다.</w:t>
      </w:r>
    </w:p>
    <w:p>
      <w:pPr>
        <w:pStyle w:val="Heading1"/>
      </w:pPr>
      <w:r>
        <w:t>5. 유지되는 기존 기능</w:t>
      </w:r>
    </w:p>
    <w:p>
      <w:r>
        <w:rPr>
          <w:rFonts w:ascii="Noto Sans CJK KR" w:hAnsi="Noto Sans CJK KR" w:eastAsia="Noto Sans CJK KR"/>
          <w:b w:val="0"/>
          <w:color w:val="20262E"/>
          <w:sz w:val="19"/>
        </w:rPr>
        <w:t>• 제품별 보기는 기존과 동일하게 제품의 전체 판정 수준을 기준으로 우선순위 정렬한다.</w:t>
      </w:r>
    </w:p>
    <w:p>
      <w:r>
        <w:rPr>
          <w:rFonts w:ascii="Noto Sans CJK KR" w:hAnsi="Noto Sans CJK KR" w:eastAsia="Noto Sans CJK KR"/>
          <w:b w:val="0"/>
          <w:color w:val="20262E"/>
          <w:sz w:val="19"/>
        </w:rPr>
        <w:t>• 상단 요약 영역은 중단·주의·정보 없음·가능 제품 수를 계속 표시한다.</w:t>
      </w:r>
    </w:p>
    <w:p>
      <w:r>
        <w:rPr>
          <w:rFonts w:ascii="Noto Sans CJK KR" w:hAnsi="Noto Sans CJK KR" w:eastAsia="Noto Sans CJK KR"/>
          <w:b w:val="0"/>
          <w:color w:val="20262E"/>
          <w:sz w:val="19"/>
        </w:rPr>
        <w:t>• ‘제품별 / 성분·속성별’ segmented control을 통해 두 보기 방식을 전환할 수 있다.</w:t>
      </w:r>
    </w:p>
    <w:p>
      <w:r>
        <w:rPr>
          <w:rFonts w:ascii="Noto Sans CJK KR" w:hAnsi="Noto Sans CJK KR" w:eastAsia="Noto Sans CJK KR"/>
          <w:b w:val="0"/>
          <w:color w:val="20262E"/>
          <w:sz w:val="19"/>
        </w:rPr>
        <w:t>• 제품별 목록에서 제품을 누르면 해당 제품 상세 화면으로 이동한다.</w:t>
      </w:r>
    </w:p>
    <w:p>
      <w:r>
        <w:rPr>
          <w:rFonts w:ascii="Noto Sans CJK KR" w:hAnsi="Noto Sans CJK KR" w:eastAsia="Noto Sans CJK KR"/>
          <w:b w:val="0"/>
          <w:color w:val="20262E"/>
          <w:sz w:val="19"/>
        </w:rPr>
        <w:t>• 등록 제품이 없으면 제품 등록 안내 empty state를 표시한다.</w:t>
      </w:r>
    </w:p>
    <w:p>
      <w:r>
        <w:rPr>
          <w:rFonts w:ascii="Noto Sans CJK KR" w:hAnsi="Noto Sans CJK KR" w:eastAsia="Noto Sans CJK KR"/>
          <w:b w:val="0"/>
          <w:color w:val="20262E"/>
          <w:sz w:val="19"/>
        </w:rPr>
        <w:t>• 하단 ‘제품 등록하기’ 버튼을 통해 신규 제품 등록 흐름으로 이동한다.</w:t>
      </w:r>
    </w:p>
    <w:p>
      <w:r>
        <w:rPr>
          <w:rFonts w:ascii="Noto Sans CJK KR" w:hAnsi="Noto Sans CJK KR" w:eastAsia="Noto Sans CJK KR"/>
          <w:b w:val="0"/>
          <w:color w:val="20262E"/>
          <w:sz w:val="19"/>
        </w:rPr>
        <w:t>• 실제 판정값은 evaluateProduct와 룰팩 결과를 사용하며 이 화면에서 의료 판정을 직접 생성하지 않는다.</w:t>
      </w:r>
    </w:p>
    <w:p>
      <w:pPr>
        <w:pStyle w:val="Heading1"/>
      </w:pPr>
      <w:r>
        <w:t>6. 확인해야 할 동작</w:t>
      </w:r>
    </w:p>
    <w:p>
      <w:r>
        <w:rPr>
          <w:rFonts w:ascii="Noto Sans CJK KR" w:hAnsi="Noto Sans CJK KR" w:eastAsia="Noto Sans CJK KR"/>
          <w:b w:val="0"/>
          <w:color w:val="20262E"/>
          <w:sz w:val="19"/>
        </w:rPr>
        <w:t>□ 제품별 보기에서 기존의 중단 → 주의 → 정보 없음 → 가능 순서가 유지되는가.</w:t>
      </w:r>
    </w:p>
    <w:p>
      <w:r>
        <w:rPr>
          <w:rFonts w:ascii="Noto Sans CJK KR" w:hAnsi="Noto Sans CJK KR" w:eastAsia="Noto Sans CJK KR"/>
          <w:b w:val="0"/>
          <w:color w:val="20262E"/>
          <w:sz w:val="19"/>
        </w:rPr>
        <w:t>□ 성분·속성별 보기에서도 중단 → 주의 → 정보 없음 → 가능 순서로 그룹이 배치되는가.</w:t>
      </w:r>
    </w:p>
    <w:p>
      <w:r>
        <w:rPr>
          <w:rFonts w:ascii="Noto Sans CJK KR" w:hAnsi="Noto Sans CJK KR" w:eastAsia="Noto Sans CJK KR"/>
          <w:b w:val="0"/>
          <w:color w:val="20262E"/>
          <w:sz w:val="19"/>
        </w:rPr>
        <w:t>□ 하나의 속성에 서로 다른 판정의 제품이 포함되면 가장 높은 우선순위 판정이 그룹 대표값으로 표시되는가.</w:t>
      </w:r>
    </w:p>
    <w:p>
      <w:r>
        <w:rPr>
          <w:rFonts w:ascii="Noto Sans CJK KR" w:hAnsi="Noto Sans CJK KR" w:eastAsia="Noto Sans CJK KR"/>
          <w:b w:val="0"/>
          <w:color w:val="20262E"/>
          <w:sz w:val="19"/>
        </w:rPr>
        <w:t>□ 판정 수준이 없는 예외 상황이 발생해도 해당 그룹이 가능 항목보다 뒤로 밀리지 않는가.</w:t>
      </w:r>
    </w:p>
    <w:p>
      <w:r>
        <w:rPr>
          <w:rFonts w:ascii="Noto Sans CJK KR" w:hAnsi="Noto Sans CJK KR" w:eastAsia="Noto Sans CJK KR"/>
          <w:b w:val="0"/>
          <w:color w:val="20262E"/>
          <w:sz w:val="19"/>
        </w:rPr>
        <w:t>□ 제품이 없는 속성 그룹은 기존처럼 화면에 표시되지 않는가.</w:t>
      </w:r>
    </w:p>
    <w:p>
      <w:r>
        <w:rPr>
          <w:rFonts w:ascii="Noto Sans CJK KR" w:hAnsi="Noto Sans CJK KR" w:eastAsia="Noto Sans CJK KR"/>
          <w:b w:val="0"/>
          <w:color w:val="20262E"/>
          <w:sz w:val="19"/>
        </w:rPr>
        <w:t>□ 제품별/성분·속성별 보기 전환 및 제품 등록 버튼이 기존과 동일하게 작동하는가.</w:t>
      </w:r>
    </w:p>
    <w:p>
      <w:pPr>
        <w:pStyle w:val="Heading1"/>
      </w:pPr>
      <w:r>
        <w:t>7. 이번 파일에서 변경하지 않은 영역</w:t>
      </w:r>
    </w:p>
    <w:p>
      <w:r>
        <w:rPr>
          <w:rFonts w:ascii="Noto Sans CJK KR" w:hAnsi="Noto Sans CJK KR" w:eastAsia="Noto Sans CJK KR"/>
          <w:b w:val="0"/>
          <w:color w:val="20262E"/>
          <w:sz w:val="20"/>
        </w:rPr>
        <w:t>룰팩의 의료적 기준, 각 속성의 판정 기간, 제품 등록 데이터 구조, 제품 상세 화면의 삭제 동작은 이번 파일의 수정 범위가 아니다. 이번 변경은 성분·속성별 화면에서 이미 계산된 판정 결과의 표시 순서를 정리하는 UI 로직에 한정한다.</w:t>
      </w:r>
    </w:p>
    <w:p>
      <w:r>
        <w:rPr>
          <w:rFonts w:ascii="Noto Sans CJK KR" w:hAnsi="Noto Sans CJK KR" w:eastAsia="Noto Sans CJK KR"/>
          <w:b w:val="0"/>
          <w:color w:val="667085"/>
          <w:sz w:val="16"/>
        </w:rPr>
        <w:t>문서 관리 메모: 판정 등급의 종류나 우선순위 정책이 변경되면 rank와 본 문서의 표시 순서를 함께 갱신한다.</w:t>
      </w:r>
    </w:p>
    <w:sectPr w:rsidR="00FC693F" w:rsidRPr="0006063C" w:rsidSect="00034616">
      <w:headerReference w:type="default" r:id="rId9"/>
      <w:footerReference w:type="default" r:id="rId10"/>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667085"/>
        <w:sz w:val="16"/>
      </w:rPr>
      <w:t>대상 파일: src/app/products/page.tsx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color w:val="667085"/>
        <w:sz w:val="16"/>
      </w:rPr>
      <w:t>회복노트 MVP · 화면별 기획서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CJK KR" w:hAnsi="Noto Sans CJK KR" w:eastAsia="Noto Sans CJK KR"/>
      <w:color w:val="2026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24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