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3756"/>
          <w:sz w:val="40"/>
        </w:rPr>
        <w:t>4月基准对比1月素材侧付费留存分析</w:t>
      </w:r>
    </w:p>
    <w:p>
      <w:pPr>
        <w:jc w:val="center"/>
      </w:pPr>
      <w:r>
        <w:rPr>
          <w:color w:val="595959"/>
          <w:sz w:val="20"/>
        </w:rPr>
        <w:t>分析周期：2026-04-04至2026-04-08 对比 2026-01-13至2026-01-15｜口径：素材级付费用户留存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200"/>
      </w:tblGrid>
      <w:tr>
        <w:tc>
          <w:tcPr>
            <w:tcW w:type="dxa" w:w="10200"/>
            <w:shd w:fill="EFF6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756"/>
                <w:sz w:val="22"/>
              </w:rPr>
              <w:t>总判断</w:t>
            </w:r>
          </w:p>
          <w:p>
            <w:pPr>
              <w:spacing w:line="276" w:lineRule="auto"/>
            </w:pPr>
            <w:r>
              <w:rPr>
                <w:sz w:val="20"/>
              </w:rPr>
              <w:t>4月不是整体变好，而是买量规模明显放大，但付费留存和首日 ROI 被稀释；少数素材能承接放量，多数新增或放量素材没有形成稳定留存。</w:t>
            </w:r>
          </w:p>
        </w:tc>
      </w:tr>
    </w:tbl>
    <w:p/>
    <w:p>
      <w:pPr>
        <w:pStyle w:val="Heading1"/>
      </w:pPr>
      <w:r>
        <w:rPr>
          <w:b/>
          <w:color w:val="1F3756"/>
        </w:rPr>
        <w:t>一、总盘变化</w:t>
      </w:r>
    </w:p>
    <w:p>
      <w:pPr>
        <w:spacing w:after="120" w:line="276" w:lineRule="auto"/>
      </w:pPr>
      <w:r>
        <w:t>4月花费、注册和首日付费人数均明显增长，但新增量的付费质量偏弱。买量花费从 19.8 万增加到 34.6 万，注册人数翻倍以上；同时首日付费率、首日 ROI、7日留存、14日留存同步下降。</w:t>
      </w:r>
    </w:p>
    <w:tbl>
      <w:tblPr>
        <w:tblStyle w:val="TableGrid"/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指标</w:t>
            </w:r>
          </w:p>
        </w:tc>
        <w:tc>
          <w:tcPr>
            <w:tcW w:type="dxa" w:w="1701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1月</w:t>
            </w:r>
          </w:p>
        </w:tc>
        <w:tc>
          <w:tcPr>
            <w:tcW w:type="dxa" w:w="1701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</w:t>
            </w:r>
          </w:p>
        </w:tc>
        <w:tc>
          <w:tcPr>
            <w:tcW w:type="dxa" w:w="1701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变化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买量花费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198,423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346,184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E2F0D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+74.5%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注册人数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4,278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9,311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E2F0D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+117.7%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首日付费人数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214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E2F0D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+75.4%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首日付费率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2.9%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2.3%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-0.6pp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加权首日 ROI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2.7%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-0.8pp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付费用户 7日留存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32.3%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27.5%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-4.8pp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付费用户 14日留存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23.1%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17.6%</w:t>
            </w:r>
          </w:p>
        </w:tc>
        <w:tc>
          <w:tcPr>
            <w:tcW w:type="dxa" w:w="170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-5.5pp</w:t>
            </w:r>
          </w:p>
        </w:tc>
      </w:tr>
    </w:tbl>
    <w:p/>
    <w:p>
      <w:pPr>
        <w:pStyle w:val="Heading1"/>
      </w:pPr>
      <w:r>
        <w:rPr>
          <w:b/>
          <w:color w:val="1F3756"/>
        </w:rPr>
        <w:t>二、素材分层结论</w:t>
      </w:r>
    </w:p>
    <w:p>
      <w:pPr>
        <w:pStyle w:val="Heading2"/>
      </w:pPr>
      <w:r>
        <w:rPr>
          <w:b/>
          <w:color w:val="2E5B8C"/>
        </w:rPr>
        <w:t>1. 高消耗且可继续承接</w:t>
      </w:r>
    </w:p>
    <w:tbl>
      <w:tblPr>
        <w:tblStyle w:val="TableGrid"/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3628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素材</w:t>
            </w:r>
          </w:p>
        </w:tc>
        <w:tc>
          <w:tcPr>
            <w:tcW w:type="dxa" w:w="1191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4月花费</w:t>
            </w:r>
          </w:p>
        </w:tc>
        <w:tc>
          <w:tcPr>
            <w:tcW w:type="dxa" w:w="1020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 D7</w:t>
            </w:r>
          </w:p>
        </w:tc>
        <w:tc>
          <w:tcPr>
            <w:tcW w:type="dxa" w:w="1020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 D14</w:t>
            </w:r>
          </w:p>
        </w:tc>
        <w:tc>
          <w:tcPr>
            <w:tcW w:type="dxa" w:w="2268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判断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试玩-护城2代迭代+zc</w:t>
            </w:r>
          </w:p>
        </w:tc>
        <w:tc>
          <w:tcPr>
            <w:tcW w:type="dxa" w:w="119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47,163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35.5%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29.0%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继续保留，是当前最稳主力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试玩-国王养成迭代1+DA+zc</w:t>
            </w:r>
          </w:p>
        </w:tc>
        <w:tc>
          <w:tcPr>
            <w:tcW w:type="dxa" w:w="119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20,752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42.9%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28.6%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留存较1月明显改善，可继续验证放量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试玩-护城2代迭代05+zc</w:t>
            </w:r>
          </w:p>
        </w:tc>
        <w:tc>
          <w:tcPr>
            <w:tcW w:type="dxa" w:w="119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19,395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30.0%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30.0%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留存合格，但 ROI 低，需要控成本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试玩BJ-海岛守卫新传2+XL+zc-251107</w:t>
            </w:r>
          </w:p>
        </w:tc>
        <w:tc>
          <w:tcPr>
            <w:tcW w:type="dxa" w:w="119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16,669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37.5%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25.0%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放量后没有破坏留存，可小幅加预算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试玩-骑士养成迭代新传1+DA+zc</w:t>
            </w:r>
          </w:p>
        </w:tc>
        <w:tc>
          <w:tcPr>
            <w:tcW w:type="dxa" w:w="119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9,566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57.1%</w:t>
            </w:r>
          </w:p>
        </w:tc>
        <w:tc>
          <w:tcPr>
            <w:tcW w:type="dxa" w:w="102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42.9%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样本小但留存好，适合加预算验证</w:t>
            </w:r>
          </w:p>
        </w:tc>
      </w:tr>
    </w:tbl>
    <w:p/>
    <w:p>
      <w:pPr>
        <w:pStyle w:val="Heading2"/>
      </w:pPr>
      <w:r>
        <w:rPr>
          <w:b/>
          <w:color w:val="2E5B8C"/>
        </w:rPr>
        <w:t>2. 高消耗但需要降量或重做表达</w:t>
      </w:r>
    </w:p>
    <w:tbl>
      <w:tblPr>
        <w:tblStyle w:val="TableGrid"/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3515"/>
            <w:shd w:fill="FCE4D6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素材</w:t>
            </w:r>
          </w:p>
        </w:tc>
        <w:tc>
          <w:tcPr>
            <w:tcW w:type="dxa" w:w="964"/>
            <w:shd w:fill="FCE4D6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4月花费</w:t>
            </w:r>
          </w:p>
        </w:tc>
        <w:tc>
          <w:tcPr>
            <w:tcW w:type="dxa" w:w="737"/>
            <w:shd w:fill="FCE4D6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ROI</w:t>
            </w:r>
          </w:p>
        </w:tc>
        <w:tc>
          <w:tcPr>
            <w:tcW w:type="dxa" w:w="737"/>
            <w:shd w:fill="FCE4D6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D7</w:t>
            </w:r>
          </w:p>
        </w:tc>
        <w:tc>
          <w:tcPr>
            <w:tcW w:type="dxa" w:w="737"/>
            <w:shd w:fill="FCE4D6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D14</w:t>
            </w:r>
          </w:p>
        </w:tc>
        <w:tc>
          <w:tcPr>
            <w:tcW w:type="dxa" w:w="2381"/>
            <w:shd w:fill="FCE4D6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主要问题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试玩-护城2代迭代02+zc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34,037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1.2%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24.0%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238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1月 D14 为 27.3%，4月明显塌陷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ZC-展示+玩法展示+选择战斗3...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20,981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5.6%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20.8%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12.5%</w:t>
            </w:r>
          </w:p>
        </w:tc>
        <w:tc>
          <w:tcPr>
            <w:tcW w:type="dxa" w:w="238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首日回收强，但后续留存弱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试玩-骑士养成迭代1+DA+zc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19,183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238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从1月 D7 35.3%、D14 29.4% 直接失效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XW-Ai+场景展示+国王的家-250724-720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11,176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25.0%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238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低付费率、低回收，不应继续放大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SP-融合玩法+变种塔防+WAW战斗-250523-720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5,276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无首日付费，停投优先级高</w:t>
            </w:r>
          </w:p>
        </w:tc>
      </w:tr>
    </w:tbl>
    <w:p/>
    <w:p>
      <w:pPr>
        <w:pStyle w:val="Heading1"/>
      </w:pPr>
      <w:r>
        <w:rPr>
          <w:b/>
          <w:color w:val="1F3756"/>
        </w:rPr>
        <w:t>三、共同素材对比</w:t>
      </w:r>
    </w:p>
    <w:p>
      <w:pPr>
        <w:spacing w:after="120" w:line="276" w:lineRule="auto"/>
      </w:pPr>
      <w:r>
        <w:t>两期买量共同素材有 68 个，但两期都有留存记录的只有 16 个，因此真正能严肃同比的样本不多。结论应优先看高消耗且 pay 样本足够的素材。</w:t>
      </w:r>
    </w:p>
    <w:tbl>
      <w:tblPr>
        <w:tblStyle w:val="TableGrid"/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3175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素材</w:t>
            </w:r>
          </w:p>
        </w:tc>
        <w:tc>
          <w:tcPr>
            <w:tcW w:type="dxa" w:w="964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1月花费</w:t>
            </w:r>
          </w:p>
        </w:tc>
        <w:tc>
          <w:tcPr>
            <w:tcW w:type="dxa" w:w="964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4月花费</w:t>
            </w:r>
          </w:p>
        </w:tc>
        <w:tc>
          <w:tcPr>
            <w:tcW w:type="dxa" w:w="1247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1月 D7/D14</w:t>
            </w:r>
          </w:p>
        </w:tc>
        <w:tc>
          <w:tcPr>
            <w:tcW w:type="dxa" w:w="1247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 D7/D14</w:t>
            </w:r>
          </w:p>
        </w:tc>
        <w:tc>
          <w:tcPr>
            <w:tcW w:type="dxa" w:w="2041"/>
            <w:shd w:fill="D9EAF7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判断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试玩-护城2代迭代+zc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49,433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47,163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30.6% / 13.9%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35.5% / 29.0%</w:t>
            </w:r>
          </w:p>
        </w:tc>
        <w:tc>
          <w:tcPr>
            <w:tcW w:type="dxa" w:w="20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次留下降，但中后期更稳，是核心素材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试玩-国王养成迭代1+DA+zc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17,009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20,752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11.1% / 11.1%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42.9% / 28.6%</w:t>
            </w:r>
          </w:p>
        </w:tc>
        <w:tc>
          <w:tcPr>
            <w:tcW w:type="dxa" w:w="20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方向明显变好，但 pay 样本只有 7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试玩BJ-海岛守卫新传2+XL+zc-251107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8,963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16,669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20.0% / 20.0%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37.5% / 25.0%</w:t>
            </w:r>
          </w:p>
        </w:tc>
        <w:tc>
          <w:tcPr>
            <w:tcW w:type="dxa" w:w="20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放量后留存改善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试玩-护城2代迭代02+zc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32,708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34,037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27.3% / 27.3%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24.0% / 8.0%</w:t>
            </w:r>
          </w:p>
        </w:tc>
        <w:tc>
          <w:tcPr>
            <w:tcW w:type="dxa" w:w="20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D14 明显塌陷，需要降量排查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试玩-骑士养成迭代1+DA+zc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19,442</w:t>
            </w:r>
          </w:p>
        </w:tc>
        <w:tc>
          <w:tcPr>
            <w:tcW w:type="dxa" w:w="96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19,183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35.3% / 29.4%</w:t>
            </w:r>
          </w:p>
        </w:tc>
        <w:tc>
          <w:tcPr>
            <w:tcW w:type="dxa" w:w="1247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 / 0.0%</w:t>
            </w:r>
          </w:p>
        </w:tc>
        <w:tc>
          <w:tcPr>
            <w:tcW w:type="dxa" w:w="20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明确失效素材</w:t>
            </w:r>
          </w:p>
        </w:tc>
      </w:tr>
    </w:tbl>
    <w:p/>
    <w:p>
      <w:pPr>
        <w:pStyle w:val="Heading1"/>
      </w:pPr>
      <w:r>
        <w:rPr>
          <w:b/>
          <w:color w:val="1F3756"/>
        </w:rPr>
        <w:t>四、结构原因</w:t>
      </w:r>
    </w:p>
    <w:p>
      <w:pPr>
        <w:spacing w:after="120" w:line="276" w:lineRule="auto"/>
      </w:pPr>
      <w:r>
        <w:t>4月留存下降不是单一素材造成，而是系统、版位和首充金额结构同时改变。新增量集中在更容易拉低后续留存的人群上。</w:t>
      </w:r>
    </w:p>
    <w:tbl>
      <w:tblPr>
        <w:tblStyle w:val="TableGrid"/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F2F2F2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维度</w:t>
            </w:r>
          </w:p>
        </w:tc>
        <w:tc>
          <w:tcPr>
            <w:tcW w:type="dxa" w:w="2268"/>
            <w:shd w:fill="F2F2F2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1月</w:t>
            </w:r>
          </w:p>
        </w:tc>
        <w:tc>
          <w:tcPr>
            <w:tcW w:type="dxa" w:w="2268"/>
            <w:shd w:fill="F2F2F2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4月</w:t>
            </w:r>
          </w:p>
        </w:tc>
        <w:tc>
          <w:tcPr>
            <w:tcW w:type="dxa" w:w="2835"/>
            <w:shd w:fill="F2F2F2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F3756"/>
                <w:sz w:val="18"/>
              </w:rPr>
              <w:t>影响判断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Android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76；D7 32.9%；D14 22.4%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127；D7 25.2%；D14 18.1%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最大拖累项，新增 Android 量质量偏弱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iOS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50；D7 32.0%；D14 24.0%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64；D7 34.4%；D14 18.7%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D7 略升，但 D14 下降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激励版位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17；D7 35.3%；D14 29.4%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69；D7 15.9%；D14 13.0%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扩量后留存明显变差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激励试玩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65；D7 26.2%；D14 24.6%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87；D7 36.8%；D14 19.5%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7日改善，但14日承接不足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低首充 [1,7)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71；D7 25.4%；D14 19.7%</w:t>
            </w:r>
          </w:p>
        </w:tc>
        <w:tc>
          <w:tcPr>
            <w:tcW w:type="dxa" w:w="226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pay 140；D7 23.6%；D14 15.7%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低额付费占比提升，拉低中后期留存</w:t>
            </w:r>
          </w:p>
        </w:tc>
      </w:tr>
    </w:tbl>
    <w:p/>
    <w:p>
      <w:pPr>
        <w:pStyle w:val="Heading1"/>
      </w:pPr>
      <w:r>
        <w:rPr>
          <w:b/>
          <w:color w:val="1F3756"/>
        </w:rPr>
        <w:t>五、执行建议</w:t>
      </w:r>
    </w:p>
    <w:p>
      <w:pPr>
        <w:pStyle w:val="ListBullet"/>
        <w:spacing w:after="60" w:line="269" w:lineRule="auto"/>
      </w:pPr>
      <w:r>
        <w:t>保留并继续放量：试玩-护城2代迭代+zc、试玩BJ-海岛守卫新传2+XL+zc-251107、试玩-国王养成迭代1+DA+zc。</w:t>
      </w:r>
    </w:p>
    <w:p>
      <w:pPr>
        <w:pStyle w:val="ListBullet"/>
        <w:spacing w:after="60" w:line="269" w:lineRule="auto"/>
      </w:pPr>
      <w:r>
        <w:t>小预算验证放量：试玩-骑士养成迭代新传1+DA+zc、way-氛围+红白机甲-251031-1280、试玩KS-护城4代近战+ZC-251128。</w:t>
      </w:r>
    </w:p>
    <w:p>
      <w:pPr>
        <w:pStyle w:val="ListBullet"/>
        <w:spacing w:after="60" w:line="269" w:lineRule="auto"/>
      </w:pPr>
      <w:r>
        <w:t>降量观察：ZC-展示+玩法展示+选择战斗3...。它首日 ROI 好，但 D7/D14 不够稳，适合短回收，不适合作为长期留存主力。</w:t>
      </w:r>
    </w:p>
    <w:p>
      <w:pPr>
        <w:pStyle w:val="ListBullet"/>
        <w:spacing w:after="60" w:line="269" w:lineRule="auto"/>
      </w:pPr>
      <w:r>
        <w:t>优先停投或重做表达：试玩-骑士养成迭代1+DA+zc、XW-Ai+场景展示+国王的家-250724-720、SP-融合玩法+变种塔防+WAW战斗-250523-720。</w:t>
      </w:r>
    </w:p>
    <w:p>
      <w:pPr>
        <w:pStyle w:val="ListBullet"/>
        <w:spacing w:after="60" w:line="269" w:lineRule="auto"/>
      </w:pPr>
      <w:r>
        <w:t>投放策略上，4月的问题不是缺量，而是新增量质量被稀释；后续应把预算从“能买到首日付费”转向“D7/D14 能承接”的素材。</w:t>
      </w:r>
    </w:p>
    <w:p>
      <w:pPr>
        <w:pStyle w:val="Heading1"/>
      </w:pPr>
      <w:r>
        <w:rPr>
          <w:b/>
          <w:color w:val="1F3756"/>
        </w:rPr>
        <w:t>六、口径说明</w:t>
      </w:r>
    </w:p>
    <w:p>
      <w:pPr>
        <w:pStyle w:val="ListBullet"/>
        <w:spacing w:after="60" w:line="269" w:lineRule="auto"/>
      </w:pPr>
      <w:r>
        <w:t>本报告中的留存指付费用户留存，不代表全部注册用户留存。</w:t>
      </w:r>
    </w:p>
    <w:p>
      <w:pPr>
        <w:pStyle w:val="ListBullet"/>
        <w:spacing w:after="60" w:line="269" w:lineRule="auto"/>
      </w:pPr>
      <w:r>
        <w:t>素材名完全一致时才视为同一素材；不做模糊合并，避免误合并不同迭代素材。</w:t>
      </w:r>
    </w:p>
    <w:p>
      <w:pPr>
        <w:pStyle w:val="ListBullet"/>
        <w:spacing w:after="60" w:line="269" w:lineRule="auto"/>
      </w:pPr>
      <w:r>
        <w:t>留存表按素材聚合时，使用 pay用户数 加权：sum(pay用户数 × 留存率) / sum(pay用户数)。</w:t>
      </w:r>
    </w:p>
    <w:p>
      <w:pPr>
        <w:pStyle w:val="ListBullet"/>
        <w:spacing w:after="60" w:line="269" w:lineRule="auto"/>
      </w:pPr>
      <w:r>
        <w:t>买量表中的 '-' 按缺失值处理，不参与对应指标计算。</w:t>
      </w:r>
    </w:p>
    <w:p>
      <w:pPr>
        <w:pStyle w:val="ListBullet"/>
        <w:spacing w:after="60" w:line="269" w:lineRule="auto"/>
      </w:pPr>
      <w:r>
        <w:t>小样本素材只作为方向参考，不作为强结论。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