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bookmarkStart w:id="1" w:name="_GoBack"/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校准湿度参数，对应功能码0x08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rPr>
          <w:rFonts w:ascii="幼圆" w:hAnsi="宋体" w:eastAsia="幼圆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TotalTime>0</TotalTime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2020-03-06T08:38:00Z</dcterms:created>
  <dc:creator>Yang Leo</dc:creator>
  <cp:lastModifiedBy>zhangmeng</cp:lastModifiedBy>
  <dcterms:modified xsi:type="dcterms:W3CDTF">2020-10-13T14:33:04Z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