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农业采集控制LORA网关</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型号：LLAN-01-01</w:t>
      </w:r>
    </w:p>
    <w:p>
      <w:pPr>
        <w:ind w:firstLine="2835" w:firstLineChars="1350"/>
        <w:rPr>
          <w:rFonts w:ascii="幼圆" w:eastAsia="幼圆"/>
        </w:rPr>
      </w:pPr>
      <w:r>
        <w:rPr>
          <w:rFonts w:hint="eastAsia" w:ascii="幼圆" w:eastAsia="幼圆"/>
        </w:rPr>
        <w:t>版本号：V0.02</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网关适用于农业传感器如土壤墒情、温度、光照等参数的采集，通过LORA无线模块与农业采集控制终端通信，并将无线接收到的数据帧通过485或NB-IOT实时传输给服务器或推肥系统（可设置）。当以上设置的链路断开时将上报的数据本地存储，当收到PC控制器的485读取信号时将存储在本地的所有数据帧加上时间编码传送给控制电脑。农业采集控制网关可与农业采集控制终端搭配使用。农业采集控制网关以下简称网关。</w:t>
      </w:r>
    </w:p>
    <w:p>
      <w:pPr>
        <w:ind w:left="360" w:firstLine="360" w:firstLineChars="200"/>
        <w:jc w:val="left"/>
        <w:rPr>
          <w:rFonts w:ascii="幼圆" w:eastAsia="幼圆"/>
          <w:sz w:val="18"/>
          <w:szCs w:val="18"/>
        </w:rPr>
      </w:pPr>
      <w:r>
        <w:rPr>
          <w:rFonts w:hint="eastAsia" w:ascii="幼圆" w:eastAsia="幼圆"/>
          <w:sz w:val="18"/>
          <w:szCs w:val="18"/>
        </w:rPr>
        <w:t>网关可选板载NB-IOT无线收发模组，当接收到终端上报的数据后实时传输给云服务器。同时云服务器也可对网关和终端进行配置查询等命令。</w:t>
      </w:r>
    </w:p>
    <w:p>
      <w:pPr>
        <w:ind w:left="360" w:firstLine="360" w:firstLineChars="200"/>
        <w:jc w:val="left"/>
        <w:rPr>
          <w:rFonts w:ascii="幼圆" w:eastAsia="幼圆"/>
          <w:sz w:val="18"/>
          <w:szCs w:val="18"/>
        </w:rPr>
      </w:pPr>
      <w:r>
        <w:rPr>
          <w:rFonts w:hint="eastAsia" w:ascii="幼圆" w:eastAsia="幼圆"/>
          <w:sz w:val="18"/>
          <w:szCs w:val="18"/>
        </w:rPr>
        <w:t>所有与该网关相连的设备（农业采集控制终端）均应遵守该控制采集终端的通信规约，否则无法正常通信。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12V DC（配件220AC转12V/1A电源适配器）</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&lt;50uA含传感器和控制部件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LLAN</w:t>
      </w:r>
      <w:r>
        <w:rPr>
          <w:rFonts w:hint="eastAsia" w:ascii="幼圆" w:eastAsia="幼圆"/>
        </w:rPr>
        <w:t>-</w:t>
      </w:r>
      <w:r>
        <w:rPr>
          <w:rFonts w:hint="eastAsia" w:ascii="幼圆" w:eastAsia="幼圆"/>
          <w:u w:val="single"/>
        </w:rPr>
        <w:t>AB-CD-EF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a，LLAN：农业采集控制网关</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c，CD：指网络类型，目前仅有一款类型：LORA网关，即固定为01.</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d，EF：01-&gt;带电源适配器；00-&gt;不带电源适配器</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网关采用12VDC输入，可选配AC220转12VDC电源适配器一起出货，具体请看选型指南。网关板载LORA无线收发模组，LORA作为中心模式与各农业采集控制终端节点进行通信。</w:t>
      </w:r>
    </w:p>
    <w:p>
      <w:pPr>
        <w:ind w:left="357" w:firstLine="453"/>
        <w:jc w:val="left"/>
        <w:rPr>
          <w:rFonts w:ascii="幼圆" w:eastAsia="幼圆"/>
          <w:sz w:val="18"/>
          <w:szCs w:val="18"/>
        </w:rPr>
      </w:pPr>
      <w:r>
        <w:rPr>
          <w:rFonts w:hint="eastAsia" w:ascii="幼圆" w:eastAsia="幼圆"/>
          <w:sz w:val="18"/>
          <w:szCs w:val="18"/>
        </w:rPr>
        <w:t>网关与节点采集控制终端的通信有三种方式：</w:t>
      </w:r>
    </w:p>
    <w:p>
      <w:pPr>
        <w:ind w:left="810" w:firstLine="453"/>
        <w:jc w:val="left"/>
        <w:rPr>
          <w:rFonts w:ascii="幼圆" w:eastAsia="幼圆"/>
          <w:sz w:val="18"/>
          <w:szCs w:val="18"/>
        </w:rPr>
      </w:pPr>
      <w:r>
        <w:rPr>
          <w:rFonts w:hint="eastAsia" w:ascii="幼圆" w:eastAsia="幼圆"/>
          <w:sz w:val="18"/>
          <w:szCs w:val="18"/>
        </w:rPr>
        <w:t>1），节点上报模式，节点采集控制终端工作在低功耗休眠模式，通过设置农业采集控制终</w:t>
      </w:r>
    </w:p>
    <w:p>
      <w:pPr>
        <w:ind w:left="1680"/>
        <w:jc w:val="left"/>
        <w:rPr>
          <w:rFonts w:ascii="幼圆" w:eastAsia="幼圆"/>
          <w:sz w:val="18"/>
          <w:szCs w:val="18"/>
        </w:rPr>
      </w:pPr>
      <w:r>
        <w:rPr>
          <w:rFonts w:hint="eastAsia" w:ascii="幼圆" w:eastAsia="幼圆"/>
          <w:sz w:val="18"/>
          <w:szCs w:val="18"/>
        </w:rPr>
        <w:t>端的F002H和F003H寄存器可以设置密集采样上报和非密集采样上报的时间间隔。当时间间隔达到时自动上报当前的终端采集控制数据给网关。</w:t>
      </w:r>
    </w:p>
    <w:p>
      <w:pPr>
        <w:ind w:left="810" w:firstLine="453"/>
        <w:jc w:val="left"/>
        <w:rPr>
          <w:rFonts w:ascii="幼圆" w:eastAsia="幼圆"/>
          <w:sz w:val="18"/>
          <w:szCs w:val="18"/>
        </w:rPr>
      </w:pPr>
      <w:r>
        <w:rPr>
          <w:rFonts w:hint="eastAsia" w:ascii="幼圆" w:eastAsia="幼圆"/>
          <w:sz w:val="18"/>
          <w:szCs w:val="18"/>
        </w:rPr>
        <w:t>2），网关查询模式，网关工作在中心模式下，发送查询指令查询农业采集控制终端的寄存</w:t>
      </w:r>
    </w:p>
    <w:p>
      <w:pPr>
        <w:ind w:left="1227" w:firstLine="453"/>
        <w:jc w:val="left"/>
        <w:rPr>
          <w:rFonts w:ascii="幼圆" w:eastAsia="幼圆"/>
          <w:sz w:val="18"/>
          <w:szCs w:val="18"/>
        </w:rPr>
      </w:pPr>
      <w:r>
        <w:rPr>
          <w:rFonts w:hint="eastAsia" w:ascii="幼圆" w:eastAsia="幼圆"/>
          <w:sz w:val="18"/>
          <w:szCs w:val="18"/>
        </w:rPr>
        <w:t>器信息，采集控制终端节点在收到查询命令后返回被查询寄存器的数值。</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3），网关写采集控制终端寄存器，网关工作在中心模式下，发送写指令设置农业采集控制</w:t>
      </w:r>
    </w:p>
    <w:p>
      <w:pPr>
        <w:ind w:left="1260" w:firstLine="420"/>
        <w:jc w:val="left"/>
        <w:rPr>
          <w:rFonts w:ascii="幼圆" w:eastAsia="幼圆"/>
          <w:sz w:val="18"/>
          <w:szCs w:val="18"/>
        </w:rPr>
      </w:pPr>
      <w:r>
        <w:rPr>
          <w:rFonts w:hint="eastAsia" w:ascii="幼圆" w:eastAsia="幼圆"/>
          <w:sz w:val="18"/>
          <w:szCs w:val="18"/>
        </w:rPr>
        <w:t>终端的寄存器。</w:t>
      </w:r>
    </w:p>
    <w:p>
      <w:pPr>
        <w:ind w:left="840"/>
        <w:jc w:val="left"/>
        <w:rPr>
          <w:rFonts w:ascii="幼圆" w:eastAsia="幼圆"/>
          <w:sz w:val="18"/>
          <w:szCs w:val="18"/>
        </w:rPr>
      </w:pPr>
      <w:r>
        <w:rPr>
          <w:rFonts w:hint="eastAsia" w:ascii="幼圆" w:eastAsia="幼圆"/>
          <w:sz w:val="18"/>
          <w:szCs w:val="18"/>
        </w:rPr>
        <w:t>注：由于采集控制终端工作在休眠模式，所以网关下行命令不可以实时到达终端，网关下行数</w:t>
      </w:r>
    </w:p>
    <w:p>
      <w:pPr>
        <w:ind w:left="840" w:firstLine="420"/>
        <w:jc w:val="left"/>
        <w:rPr>
          <w:rFonts w:ascii="幼圆" w:eastAsia="幼圆"/>
          <w:sz w:val="18"/>
          <w:szCs w:val="18"/>
        </w:rPr>
      </w:pPr>
      <w:r>
        <w:rPr>
          <w:rFonts w:hint="eastAsia" w:ascii="幼圆" w:eastAsia="幼圆"/>
          <w:sz w:val="18"/>
          <w:szCs w:val="18"/>
        </w:rPr>
        <w:t>据应该采取如下方式，否则命令不可达。</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节点上报时，采集控制终端处于短暂激活时间，此激活时间内网关的下行命令可以到</w:t>
      </w:r>
    </w:p>
    <w:p>
      <w:pPr>
        <w:ind w:left="840"/>
        <w:jc w:val="left"/>
        <w:rPr>
          <w:rFonts w:ascii="幼圆" w:eastAsia="幼圆"/>
          <w:sz w:val="18"/>
          <w:szCs w:val="18"/>
        </w:rPr>
      </w:pPr>
      <w:r>
        <w:rPr>
          <w:rFonts w:hint="eastAsia" w:ascii="幼圆" w:eastAsia="幼圆"/>
          <w:sz w:val="18"/>
          <w:szCs w:val="18"/>
        </w:rPr>
        <w:t>达终端。激活时间默认为5s（可设置）。超时后自动进入休眠模式。节点上报分为密集采样周期和非密集采样周期，密集采样周期采样上报时间和非密集采样上报时间间隔均可设置。</w:t>
      </w:r>
    </w:p>
    <w:p>
      <w:pPr>
        <w:ind w:left="357" w:firstLine="483"/>
        <w:jc w:val="left"/>
        <w:rPr>
          <w:rFonts w:ascii="幼圆" w:eastAsia="幼圆"/>
          <w:sz w:val="18"/>
          <w:szCs w:val="18"/>
        </w:rPr>
      </w:pPr>
      <w:r>
        <w:rPr>
          <w:rFonts w:hint="eastAsia" w:ascii="幼圆" w:eastAsia="幼圆"/>
          <w:sz w:val="18"/>
          <w:szCs w:val="18"/>
        </w:rPr>
        <w:t>网关通过串口与PC电脑通信和NB-IOT与云服务器通信的通信协议参照《PROTOCOL-E》。每当网关接收到采集控制终端的上报数据时均通过NB-IOT或485实时上报传输给云服务器或推肥系统（可设置NB有效还是485有效）。当以上设置的链路断开（重发机制依然不可达）时，则网关应当将上报的数据帧附上采集的时间帧存储于Flash中（最大存储2000帧），当设置的链路接通后网关新接收的终端上报数据不再存储依然实时上报给服务器或推肥系统。</w:t>
      </w:r>
    </w:p>
    <w:p>
      <w:pPr>
        <w:ind w:left="357" w:firstLine="483"/>
        <w:jc w:val="left"/>
        <w:rPr>
          <w:rFonts w:ascii="幼圆" w:eastAsia="幼圆"/>
          <w:sz w:val="18"/>
          <w:szCs w:val="18"/>
        </w:rPr>
      </w:pPr>
      <w:r>
        <w:rPr>
          <w:rFonts w:hint="eastAsia" w:ascii="幼圆" w:eastAsia="幼圆"/>
          <w:sz w:val="18"/>
          <w:szCs w:val="18"/>
        </w:rPr>
        <w:t>由于网关与服务器或网关与推肥系统离线造成的终端上报给网关的数据帧存储，可通过云服务器和PC电脑参照4.1.3方式读取出来，每读取一帧后，相应寄存器同时变化。</w:t>
      </w:r>
    </w:p>
    <w:p>
      <w:pPr>
        <w:ind w:left="420" w:firstLine="420"/>
        <w:jc w:val="left"/>
        <w:rPr>
          <w:rFonts w:ascii="幼圆" w:eastAsia="幼圆"/>
          <w:sz w:val="18"/>
          <w:szCs w:val="18"/>
        </w:rPr>
      </w:pPr>
      <w:r>
        <w:rPr>
          <w:rFonts w:hint="eastAsia" w:ascii="幼圆" w:eastAsia="幼圆"/>
          <w:sz w:val="18"/>
          <w:szCs w:val="18"/>
        </w:rPr>
        <w:t>推肥系统可通过串口查询和配置网关以及终端的参数（《PROTOCOL_E》）。PC下发的命令的设备地址不是网关时，则该命令表示采集控制终端节点的命令，则需将下达给终端设备。</w:t>
      </w:r>
    </w:p>
    <w:p>
      <w:pPr>
        <w:ind w:left="420" w:firstLine="420"/>
        <w:jc w:val="left"/>
        <w:rPr>
          <w:rFonts w:ascii="幼圆" w:eastAsia="幼圆"/>
          <w:sz w:val="18"/>
          <w:szCs w:val="18"/>
        </w:rPr>
      </w:pPr>
      <w:r>
        <w:rPr>
          <w:rFonts w:hint="eastAsia" w:ascii="幼圆" w:eastAsia="幼圆"/>
          <w:sz w:val="18"/>
          <w:szCs w:val="18"/>
        </w:rPr>
        <w:t>服务器也可通过NB-IOT查询和配置网关以及终端的参数《PROTOCOL-E》。服务器下发的命令的设备地址不是网关时，则该命令表示采集控制终端节点的命令，则需将该命令下发到终端设备。</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5274310" cy="1006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5274310" cy="1006636"/>
                    </a:xfrm>
                    <a:prstGeom prst="rect">
                      <a:avLst/>
                    </a:prstGeom>
                  </pic:spPr>
                </pic:pic>
              </a:graphicData>
            </a:graphic>
          </wp:inline>
        </w:drawing>
      </w:r>
    </w:p>
    <w:p>
      <w:pPr>
        <w:ind w:firstLine="450" w:firstLineChars="250"/>
        <w:jc w:val="left"/>
        <w:rPr>
          <w:rFonts w:ascii="幼圆" w:eastAsia="幼圆"/>
          <w:b/>
          <w:sz w:val="18"/>
          <w:szCs w:val="18"/>
        </w:rPr>
      </w:pPr>
      <w:r>
        <w:rPr>
          <w:rFonts w:hint="eastAsia" w:ascii="幼圆" w:eastAsia="幼圆"/>
          <w:b/>
          <w:sz w:val="18"/>
          <w:szCs w:val="18"/>
        </w:rPr>
        <w:t>图1.5.2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板载LORA无线收发模组，并工作在中心模式下。为节省功耗，终端要求LORA模组工作在低功耗休眠模式，此时LORA网关的下行数据和命令不可以下达到终端。农业采集控制终端当遇到突发情况或唤醒时间间隔到时可退出LORA休眠模式上传数据。这时网关的下发命令才可以到达终端。农业采集控制终端与LORA网关的通信规约请查看《附录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可选板载NB-IOT无线收发模组，每接收到农业采集控制终端上报的数据后将该数据帧实时传输给基站或485，即云服务器和推肥系统（链路可设置）。网关NB-IOT与基站云服务器和推肥系统通信协议规约参照《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农业采集控制终端。命令下行延迟时间最大为唤醒周期（即唤醒时间间隔）设定的时间。唤醒时间间隔可以通过命令设置。唤醒时间间隔越大，功耗越小，终端的电池寿命越长；唤醒时间越小，功耗越大，电池寿命越短。</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终端上报数据帧存储个数：2000个数据帧，当存储溢出时最新的上报帧覆盖最早的上报帧。</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DC12V</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485 通信正极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485 通信负极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485通信GND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bl>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ascii="幼圆" w:eastAsia="幼圆"/>
          <w:sz w:val="18"/>
          <w:szCs w:val="18"/>
        </w:rPr>
        <w:t>3500m</w:t>
      </w:r>
      <w:r>
        <w:rPr>
          <w:rFonts w:hint="eastAsia" w:ascii="幼圆" w:eastAsia="幼圆"/>
          <w:sz w:val="18"/>
          <w:szCs w:val="18"/>
        </w:rPr>
        <w:t>（ 现场实际情况保证1.5Km）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我们可以在模块允许的情况下使用最大功率，另采取将网关升高的做法来满足距离要求，具体网关高度暂时定为12米，后期根据实际更改。</w:t>
      </w:r>
    </w:p>
    <w:p>
      <w:pPr>
        <w:jc w:val="left"/>
        <w:rPr>
          <w:rFonts w:ascii="幼圆" w:eastAsia="幼圆"/>
          <w:sz w:val="18"/>
          <w:szCs w:val="18"/>
        </w:rPr>
      </w:pPr>
      <w:r>
        <w:drawing>
          <wp:inline distT="0" distB="0" distL="0" distR="0">
            <wp:extent cx="5274310" cy="2221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221437"/>
                    </a:xfrm>
                    <a:prstGeom prst="rect">
                      <a:avLst/>
                    </a:prstGeom>
                  </pic:spPr>
                </pic:pic>
              </a:graphicData>
            </a:graphic>
          </wp:inline>
        </w:drawing>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通信协议解析（校验位采用CRC16算法）</w:t>
      </w:r>
    </w:p>
    <w:p>
      <w:pPr>
        <w:ind w:firstLine="270" w:firstLineChars="150"/>
        <w:jc w:val="left"/>
        <w:rPr>
          <w:rFonts w:ascii="幼圆" w:eastAsia="幼圆"/>
          <w:b/>
          <w:sz w:val="18"/>
          <w:szCs w:val="18"/>
        </w:rPr>
      </w:pPr>
      <w:r>
        <w:rPr>
          <w:rFonts w:hint="eastAsia" w:ascii="幼圆" w:eastAsia="幼圆"/>
          <w:b/>
          <w:sz w:val="18"/>
          <w:szCs w:val="18"/>
        </w:rPr>
        <w:t>4.1  PROTOCOL-E电脑PC485，服务器与网关通信规约；网关与采集控制终端通信规约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4.1.1电脑/服务器设置网关或网关设置农业采集终端寄存器：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bookmarkStart w:id="0" w:name="OLE_LINK1"/>
      <w:bookmarkStart w:id="1" w:name="OLE_LINK2"/>
      <w:r>
        <w:rPr>
          <w:rFonts w:hint="eastAsia" w:ascii="幼圆" w:eastAsia="幼圆"/>
          <w:sz w:val="18"/>
          <w:szCs w:val="18"/>
        </w:rPr>
        <w:t>FDH：指网关</w:t>
      </w:r>
      <w:bookmarkEnd w:id="0"/>
      <w:bookmarkEnd w:id="1"/>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PC写网关或终端寄存器配置</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both"/>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网关或农业采集终端应答数据帧，应答时钟报告当确认信息：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4.1.2读取寄存器：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PC电脑读网关N个数据命令，网关读取农业采集终端N个数据命令</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color w:val="FF0000"/>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jc w:val="left"/>
        <w:rPr>
          <w:rFonts w:ascii="幼圆" w:eastAsia="幼圆"/>
          <w:sz w:val="18"/>
          <w:szCs w:val="18"/>
        </w:rPr>
      </w:pPr>
      <w:r>
        <w:rPr>
          <w:rFonts w:hint="eastAsia" w:ascii="幼圆" w:eastAsia="幼圆"/>
          <w:sz w:val="18"/>
          <w:szCs w:val="18"/>
        </w:rPr>
        <w:tab/>
      </w: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-设备读数据信息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4.1.3电脑/服务器读取网关存储的有效数据帧：</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1，电脑/服务器首先查询网关有效帧计数，寄存器地址4001.</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2，网关返回4001有效数据帧个数</w:t>
      </w:r>
    </w:p>
    <w:p>
      <w:pPr>
        <w:ind w:left="1110" w:leftChars="400" w:hanging="270" w:hangingChars="150"/>
        <w:jc w:val="left"/>
        <w:rPr>
          <w:rFonts w:ascii="幼圆" w:eastAsia="幼圆"/>
          <w:b/>
          <w:sz w:val="18"/>
          <w:szCs w:val="18"/>
        </w:rPr>
      </w:pPr>
      <w:r>
        <w:rPr>
          <w:rFonts w:hint="eastAsia" w:ascii="幼圆" w:eastAsia="幼圆"/>
          <w:b/>
          <w:sz w:val="18"/>
          <w:szCs w:val="18"/>
        </w:rPr>
        <w:t>3，电脑/网关写入4003需要读取的有效帧个数，网关返回时间报文，写入数值不可以大于4001寄存器数值。</w:t>
      </w:r>
    </w:p>
    <w:p>
      <w:pPr>
        <w:ind w:left="1110" w:leftChars="400" w:hanging="270" w:hangingChars="150"/>
        <w:jc w:val="left"/>
        <w:rPr>
          <w:rFonts w:ascii="幼圆" w:eastAsia="幼圆"/>
          <w:b/>
          <w:sz w:val="18"/>
          <w:szCs w:val="18"/>
        </w:rPr>
      </w:pPr>
      <w:r>
        <w:rPr>
          <w:rFonts w:hint="eastAsia" w:ascii="幼圆" w:eastAsia="幼圆"/>
          <w:b/>
          <w:sz w:val="18"/>
          <w:szCs w:val="18"/>
        </w:rPr>
        <w:t>4，网关按时间从早到晚返回4003约定的有效数据帧个数，每返回一帧4001和4003寄存器减1.当4003寄存器为0时结束传输。返回的有效数据帧格式如下所示：</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30H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779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709"/>
        <w:gridCol w:w="709"/>
        <w:gridCol w:w="709"/>
        <w:gridCol w:w="708"/>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年</w:t>
            </w:r>
          </w:p>
        </w:tc>
        <w:tc>
          <w:tcPr>
            <w:tcW w:w="709" w:type="dxa"/>
          </w:tcPr>
          <w:p>
            <w:pPr>
              <w:jc w:val="left"/>
              <w:rPr>
                <w:rFonts w:ascii="幼圆" w:eastAsia="幼圆"/>
                <w:sz w:val="18"/>
                <w:szCs w:val="18"/>
              </w:rPr>
            </w:pPr>
            <w:r>
              <w:rPr>
                <w:rFonts w:hint="eastAsia" w:ascii="幼圆" w:eastAsia="幼圆"/>
                <w:sz w:val="18"/>
                <w:szCs w:val="18"/>
              </w:rPr>
              <w:t>月</w:t>
            </w:r>
          </w:p>
        </w:tc>
        <w:tc>
          <w:tcPr>
            <w:tcW w:w="709" w:type="dxa"/>
          </w:tcPr>
          <w:p>
            <w:pPr>
              <w:jc w:val="left"/>
              <w:rPr>
                <w:rFonts w:ascii="幼圆" w:eastAsia="幼圆"/>
                <w:sz w:val="18"/>
                <w:szCs w:val="18"/>
              </w:rPr>
            </w:pPr>
            <w:r>
              <w:rPr>
                <w:rFonts w:hint="eastAsia" w:ascii="幼圆" w:eastAsia="幼圆"/>
                <w:sz w:val="18"/>
                <w:szCs w:val="18"/>
              </w:rPr>
              <w:t>日</w:t>
            </w:r>
          </w:p>
        </w:tc>
        <w:tc>
          <w:tcPr>
            <w:tcW w:w="709" w:type="dxa"/>
          </w:tcPr>
          <w:p>
            <w:pPr>
              <w:jc w:val="left"/>
              <w:rPr>
                <w:rFonts w:ascii="幼圆" w:eastAsia="幼圆"/>
                <w:sz w:val="18"/>
                <w:szCs w:val="18"/>
              </w:rPr>
            </w:pPr>
            <w:r>
              <w:rPr>
                <w:rFonts w:hint="eastAsia" w:ascii="幼圆" w:eastAsia="幼圆"/>
                <w:sz w:val="18"/>
                <w:szCs w:val="18"/>
              </w:rPr>
              <w:t>时</w:t>
            </w:r>
          </w:p>
        </w:tc>
        <w:tc>
          <w:tcPr>
            <w:tcW w:w="708" w:type="dxa"/>
          </w:tcPr>
          <w:p>
            <w:pPr>
              <w:jc w:val="left"/>
              <w:rPr>
                <w:rFonts w:ascii="幼圆" w:eastAsia="幼圆"/>
                <w:sz w:val="18"/>
                <w:szCs w:val="18"/>
              </w:rPr>
            </w:pPr>
            <w:r>
              <w:rPr>
                <w:rFonts w:hint="eastAsia" w:ascii="幼圆" w:eastAsia="幼圆"/>
                <w:sz w:val="18"/>
                <w:szCs w:val="18"/>
              </w:rPr>
              <w:t>分</w:t>
            </w:r>
          </w:p>
        </w:tc>
        <w:tc>
          <w:tcPr>
            <w:tcW w:w="851" w:type="dxa"/>
          </w:tcPr>
          <w:p>
            <w:pPr>
              <w:jc w:val="left"/>
              <w:rPr>
                <w:rFonts w:ascii="幼圆" w:eastAsia="幼圆"/>
                <w:sz w:val="18"/>
                <w:szCs w:val="18"/>
              </w:rPr>
            </w:pPr>
            <w:r>
              <w:rPr>
                <w:rFonts w:hint="eastAsia" w:ascii="幼圆" w:eastAsia="幼圆"/>
                <w:sz w:val="18"/>
                <w:szCs w:val="18"/>
              </w:rPr>
              <w:t>秒</w:t>
            </w:r>
          </w:p>
        </w:tc>
        <w:tc>
          <w:tcPr>
            <w:tcW w:w="1702" w:type="dxa"/>
            <w:gridSpan w:val="2"/>
          </w:tcPr>
          <w:p>
            <w:pPr>
              <w:jc w:val="center"/>
              <w:rPr>
                <w:rFonts w:ascii="幼圆" w:eastAsia="幼圆"/>
                <w:sz w:val="18"/>
                <w:szCs w:val="18"/>
              </w:rPr>
            </w:pPr>
            <w:r>
              <w:rPr>
                <w:rFonts w:hint="eastAsia" w:ascii="幼圆" w:eastAsia="幼圆"/>
                <w:sz w:val="18"/>
                <w:szCs w:val="18"/>
              </w:rPr>
              <w:t>CRC1：2Bytes</w:t>
            </w:r>
          </w:p>
        </w:tc>
        <w:tc>
          <w:tcPr>
            <w:tcW w:w="1702"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8"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CRC1L</w:t>
            </w:r>
          </w:p>
        </w:tc>
        <w:tc>
          <w:tcPr>
            <w:tcW w:w="851" w:type="dxa"/>
          </w:tcPr>
          <w:p>
            <w:pPr>
              <w:jc w:val="left"/>
              <w:rPr>
                <w:rFonts w:ascii="幼圆" w:eastAsia="幼圆"/>
                <w:sz w:val="18"/>
                <w:szCs w:val="18"/>
              </w:rPr>
            </w:pPr>
            <w:r>
              <w:rPr>
                <w:rFonts w:hint="eastAsia" w:ascii="幼圆" w:eastAsia="幼圆"/>
                <w:sz w:val="18"/>
                <w:szCs w:val="18"/>
              </w:rPr>
              <w:t>CRC1H</w:t>
            </w:r>
          </w:p>
        </w:tc>
        <w:tc>
          <w:tcPr>
            <w:tcW w:w="851" w:type="dxa"/>
          </w:tcPr>
          <w:p>
            <w:pPr>
              <w:jc w:val="left"/>
              <w:rPr>
                <w:rFonts w:ascii="幼圆" w:eastAsia="幼圆"/>
                <w:sz w:val="18"/>
                <w:szCs w:val="18"/>
              </w:rPr>
            </w:pPr>
            <w:r>
              <w:rPr>
                <w:rFonts w:hint="eastAsia" w:ascii="幼圆" w:eastAsia="幼圆"/>
                <w:sz w:val="18"/>
                <w:szCs w:val="18"/>
              </w:rPr>
              <w:t>CRC2L</w:t>
            </w:r>
          </w:p>
        </w:tc>
        <w:tc>
          <w:tcPr>
            <w:tcW w:w="851"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8"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30</w:t>
      </w:r>
      <w:r>
        <w:rPr>
          <w:rFonts w:ascii="幼圆" w:eastAsia="幼圆"/>
          <w:sz w:val="18"/>
          <w:szCs w:val="18"/>
        </w:rPr>
        <w:t>-</w:t>
      </w:r>
      <w:r>
        <w:rPr>
          <w:rFonts w:hint="eastAsia" w:ascii="幼圆" w:eastAsia="幼圆"/>
          <w:sz w:val="18"/>
          <w:szCs w:val="18"/>
        </w:rPr>
        <w:t>表示当前网关上报数据帧</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hint="eastAsia" w:ascii="幼圆" w:eastAsia="幼圆"/>
          <w:sz w:val="18"/>
          <w:szCs w:val="18"/>
        </w:rPr>
        <w:t>年月日时分秒：表示LORA网关接收到该数据帧的时间。</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4.1.4主动上报方式，无线通讯协议的数据格式如下：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农业采集控制终端唤醒时间间隔后将数据上报给网关。网关接收到终端上报的数据帧后通过NB-IOT实时上报给服务器。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p>
    <w:p>
      <w:pPr>
        <w:ind w:left="271" w:firstLine="149"/>
        <w:jc w:val="left"/>
        <w:rPr>
          <w:rFonts w:ascii="幼圆" w:eastAsia="幼圆"/>
          <w:b/>
          <w:sz w:val="18"/>
          <w:szCs w:val="18"/>
        </w:rPr>
      </w:pPr>
      <w:r>
        <w:rPr>
          <w:rFonts w:hint="eastAsia" w:ascii="幼圆" w:eastAsia="幼圆"/>
          <w:b/>
          <w:sz w:val="18"/>
          <w:szCs w:val="18"/>
        </w:rPr>
        <w:t>4.1.5电脑配置农业采集控制终端</w:t>
      </w:r>
    </w:p>
    <w:p>
      <w:pPr>
        <w:ind w:left="420" w:firstLine="420"/>
        <w:jc w:val="left"/>
        <w:rPr>
          <w:rFonts w:ascii="幼圆" w:eastAsia="幼圆"/>
          <w:sz w:val="18"/>
          <w:szCs w:val="18"/>
        </w:rPr>
      </w:pPr>
      <w:r>
        <w:rPr>
          <w:rFonts w:hint="eastAsia" w:ascii="幼圆" w:eastAsia="幼圆"/>
          <w:sz w:val="18"/>
          <w:szCs w:val="18"/>
        </w:rPr>
        <w:t>电脑配置网关寄存器时，当设备地址不是网关时时，表明该配置是用来设置农业采集控制终端的。需将该命令下发传达给采集控制终端，同一指令最后一次传输有效。</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0"/>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1566"/>
        <w:gridCol w:w="896"/>
        <w:gridCol w:w="1470"/>
        <w:gridCol w:w="1372"/>
      </w:tblGrid>
      <w:tr>
        <w:tblPrEx>
          <w:tblLayout w:type="fixed"/>
        </w:tblPrEx>
        <w:tc>
          <w:tcPr>
            <w:tcW w:w="649" w:type="dxa"/>
          </w:tcPr>
          <w:p>
            <w:pPr>
              <w:jc w:val="left"/>
              <w:rPr>
                <w:rFonts w:ascii="幼圆" w:eastAsia="幼圆"/>
                <w:sz w:val="18"/>
                <w:szCs w:val="18"/>
              </w:rPr>
            </w:pPr>
            <w:r>
              <w:rPr>
                <w:rFonts w:hint="eastAsia" w:ascii="幼圆" w:eastAsia="幼圆"/>
                <w:sz w:val="18"/>
                <w:szCs w:val="18"/>
              </w:rPr>
              <w:t>帧</w:t>
            </w:r>
          </w:p>
        </w:tc>
        <w:tc>
          <w:tcPr>
            <w:tcW w:w="1566" w:type="dxa"/>
          </w:tcPr>
          <w:p>
            <w:pPr>
              <w:jc w:val="left"/>
              <w:rPr>
                <w:rFonts w:ascii="幼圆" w:eastAsia="幼圆"/>
                <w:sz w:val="18"/>
                <w:szCs w:val="18"/>
              </w:rPr>
            </w:pPr>
            <w:r>
              <w:rPr>
                <w:rFonts w:hint="eastAsia" w:ascii="幼圆" w:eastAsia="幼圆"/>
                <w:sz w:val="18"/>
                <w:szCs w:val="18"/>
              </w:rPr>
              <w:t>xxxxxxxxxxxxxxx</w:t>
            </w:r>
          </w:p>
        </w:tc>
        <w:tc>
          <w:tcPr>
            <w:tcW w:w="896" w:type="dxa"/>
          </w:tcPr>
          <w:p>
            <w:pPr>
              <w:jc w:val="left"/>
              <w:rPr>
                <w:rFonts w:ascii="幼圆" w:eastAsia="幼圆"/>
                <w:sz w:val="18"/>
                <w:szCs w:val="18"/>
              </w:rPr>
            </w:pPr>
            <w:r>
              <w:rPr>
                <w:rFonts w:hint="eastAsia" w:ascii="幼圆" w:eastAsia="幼圆"/>
                <w:sz w:val="18"/>
                <w:szCs w:val="18"/>
              </w:rPr>
              <w:t>01H</w:t>
            </w:r>
          </w:p>
        </w:tc>
        <w:tc>
          <w:tcPr>
            <w:tcW w:w="1470" w:type="dxa"/>
          </w:tcPr>
          <w:p>
            <w:pPr>
              <w:jc w:val="left"/>
              <w:rPr>
                <w:rFonts w:ascii="幼圆" w:eastAsia="幼圆"/>
                <w:sz w:val="18"/>
                <w:szCs w:val="18"/>
              </w:rPr>
            </w:pPr>
            <w:r>
              <w:rPr>
                <w:rFonts w:hint="eastAsia" w:ascii="幼圆" w:eastAsia="幼圆"/>
                <w:sz w:val="18"/>
                <w:szCs w:val="18"/>
              </w:rPr>
              <w:t>17H</w:t>
            </w:r>
          </w:p>
        </w:tc>
        <w:tc>
          <w:tcPr>
            <w:tcW w:w="1372" w:type="dxa"/>
          </w:tcPr>
          <w:p>
            <w:pPr>
              <w:jc w:val="left"/>
              <w:rPr>
                <w:rFonts w:ascii="幼圆" w:eastAsia="幼圆"/>
                <w:sz w:val="18"/>
                <w:szCs w:val="18"/>
              </w:rPr>
            </w:pPr>
            <w:r>
              <w:rPr>
                <w:rFonts w:hint="eastAsia" w:ascii="幼圆" w:eastAsia="幼圆"/>
                <w:sz w:val="18"/>
                <w:szCs w:val="18"/>
              </w:rPr>
              <w:t>10</w:t>
            </w:r>
          </w:p>
        </w:tc>
      </w:tr>
      <w:tr>
        <w:tblPrEx>
          <w:tblLayout w:type="fixed"/>
        </w:tblPrEx>
        <w:tc>
          <w:tcPr>
            <w:tcW w:w="649" w:type="dxa"/>
          </w:tcPr>
          <w:p>
            <w:pPr>
              <w:jc w:val="left"/>
              <w:rPr>
                <w:rFonts w:ascii="幼圆" w:eastAsia="幼圆"/>
                <w:sz w:val="18"/>
                <w:szCs w:val="18"/>
              </w:rPr>
            </w:pPr>
            <w:r>
              <w:rPr>
                <w:rFonts w:hint="eastAsia" w:ascii="幼圆" w:eastAsia="幼圆"/>
                <w:sz w:val="18"/>
                <w:szCs w:val="18"/>
              </w:rPr>
              <w:t>含义</w:t>
            </w:r>
          </w:p>
        </w:tc>
        <w:tc>
          <w:tcPr>
            <w:tcW w:w="1566" w:type="dxa"/>
          </w:tcPr>
          <w:p>
            <w:pPr>
              <w:jc w:val="left"/>
              <w:rPr>
                <w:rFonts w:ascii="幼圆" w:eastAsia="幼圆"/>
                <w:sz w:val="18"/>
                <w:szCs w:val="18"/>
              </w:rPr>
            </w:pPr>
            <w:r>
              <w:rPr>
                <w:rFonts w:hint="eastAsia" w:ascii="幼圆" w:eastAsia="幼圆"/>
                <w:sz w:val="18"/>
                <w:szCs w:val="18"/>
              </w:rPr>
              <w:t>字节地址</w:t>
            </w:r>
          </w:p>
        </w:tc>
        <w:tc>
          <w:tcPr>
            <w:tcW w:w="896" w:type="dxa"/>
          </w:tcPr>
          <w:p>
            <w:pPr>
              <w:jc w:val="left"/>
              <w:rPr>
                <w:rFonts w:ascii="幼圆" w:eastAsia="幼圆"/>
                <w:sz w:val="18"/>
                <w:szCs w:val="18"/>
              </w:rPr>
            </w:pPr>
            <w:r>
              <w:rPr>
                <w:rFonts w:hint="eastAsia" w:ascii="幼圆" w:eastAsia="幼圆"/>
                <w:sz w:val="18"/>
                <w:szCs w:val="18"/>
              </w:rPr>
              <w:t>设备地址</w:t>
            </w:r>
          </w:p>
        </w:tc>
        <w:tc>
          <w:tcPr>
            <w:tcW w:w="1470" w:type="dxa"/>
          </w:tcPr>
          <w:p>
            <w:pPr>
              <w:jc w:val="left"/>
              <w:rPr>
                <w:rFonts w:ascii="幼圆" w:eastAsia="幼圆"/>
                <w:sz w:val="18"/>
                <w:szCs w:val="18"/>
              </w:rPr>
            </w:pPr>
            <w:r>
              <w:rPr>
                <w:rFonts w:hint="eastAsia" w:ascii="幼圆" w:eastAsia="幼圆"/>
                <w:sz w:val="18"/>
                <w:szCs w:val="18"/>
              </w:rPr>
              <w:t>读取/查询功能码</w:t>
            </w:r>
          </w:p>
        </w:tc>
        <w:tc>
          <w:tcPr>
            <w:tcW w:w="1372"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p>
            <w:pPr>
              <w:pStyle w:val="13"/>
              <w:spacing w:before="71"/>
              <w:ind w:left="105"/>
              <w:rPr>
                <w:rFonts w:ascii="幼圆" w:eastAsia="幼圆" w:hAnsiTheme="minorHAnsi" w:cstheme="minorBidi"/>
                <w:kern w:val="2"/>
                <w:sz w:val="18"/>
                <w:szCs w:val="18"/>
                <w:lang w:val="en-US" w:eastAsia="zh-CN" w:bidi="ar-SA"/>
              </w:rPr>
            </w:pP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增加终端设备地址</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Pr>
                <w:rFonts w:ascii="幼圆" w:hAnsi="宋体" w:eastAsia="幼圆"/>
                <w:b/>
                <w:sz w:val="18"/>
                <w:szCs w:val="18"/>
              </w:rPr>
            </w:pPr>
            <w:bookmarkStart w:id="3" w:name="_GoBack"/>
            <w:r>
              <w:rPr>
                <w:rFonts w:ascii="幼圆" w:hAnsi="宋体" w:eastAsia="幼圆"/>
                <w:b/>
                <w:sz w:val="18"/>
                <w:szCs w:val="18"/>
              </w:rPr>
              <w:t>删除</w:t>
            </w:r>
            <w:bookmarkEnd w:id="3"/>
            <w:r>
              <w:rPr>
                <w:rFonts w:ascii="幼圆" w:hAnsi="宋体" w:eastAsia="幼圆"/>
                <w:b/>
                <w:sz w:val="18"/>
                <w:szCs w:val="18"/>
              </w:rPr>
              <w:t>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4612h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数据帧</w:t>
            </w: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jc w:val="left"/>
        <w:rPr>
          <w:rFonts w:ascii="幼圆" w:eastAsia="幼圆"/>
          <w:b/>
          <w:sz w:val="24"/>
          <w:szCs w:val="24"/>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ascii="幼圆" w:eastAsia="幼圆"/>
                <w:sz w:val="18"/>
                <w:szCs w:val="18"/>
              </w:rPr>
              <w:t>F7</w:t>
            </w:r>
          </w:p>
        </w:tc>
        <w:tc>
          <w:tcPr>
            <w:tcW w:w="2268" w:type="dxa"/>
          </w:tcPr>
          <w:p>
            <w:pPr>
              <w:jc w:val="left"/>
              <w:rPr>
                <w:rFonts w:ascii="幼圆" w:eastAsia="幼圆"/>
                <w:sz w:val="18"/>
                <w:szCs w:val="18"/>
              </w:rPr>
            </w:pPr>
            <w:r>
              <w:rPr>
                <w:rFonts w:ascii="幼圆" w:eastAsia="幼圆"/>
                <w:sz w:val="18"/>
                <w:szCs w:val="18"/>
              </w:rPr>
              <w:t>终端地址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1925"/>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66AB4"/>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13556"/>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 w:val="5FFE73BC"/>
    <w:rsid w:val="6F9F3209"/>
    <w:rsid w:val="7B7D0FB9"/>
    <w:rsid w:val="7BFF8B8B"/>
    <w:rsid w:val="7DFBF104"/>
    <w:rsid w:val="87FEAD64"/>
    <w:rsid w:val="A9EB5891"/>
    <w:rsid w:val="BDDFBA14"/>
    <w:rsid w:val="BDFFB061"/>
    <w:rsid w:val="CB2F3B88"/>
    <w:rsid w:val="EE5F8426"/>
    <w:rsid w:val="FBDEC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2338</Words>
  <Characters>13331</Characters>
  <Lines>111</Lines>
  <Paragraphs>31</Paragraphs>
  <ScaleCrop>false</ScaleCrop>
  <LinksUpToDate>false</LinksUpToDate>
  <CharactersWithSpaces>15638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2020-03-13T06:39:00Z</dcterms:created>
  <dc:creator>china</dc:creator>
  <cp:lastModifiedBy>zhangmeng</cp:lastModifiedBy>
  <dcterms:modified xsi:type="dcterms:W3CDTF">2020-11-26T13:37:31Z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