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Icebreaker | Implementation Work Packages</w:t>
      </w:r>
    </w:p>
    <w:p>
      <w:pPr>
        <w:pStyle w:val="Subtitle"/>
      </w:pPr>
      <w:r>
        <w:t>Prioritized milestones, engineering tasks, dependencies, and objective exit criteria</w:t>
      </w:r>
    </w:p>
    <w:p>
      <w:r>
        <w:t>Status: implementation baseline; subject to rulebook, security, hardware, and stakeholder approval.  |  Revision: 3.0  |  12 October 2026</w:t>
      </w:r>
    </w:p>
    <w:p>
      <w:pPr>
        <w:pStyle w:val="Heading1"/>
      </w:pPr>
      <w:r>
        <w:t>1. Delivery strategy</w:t>
      </w:r>
    </w:p>
    <w:p>
      <w:r>
        <w:t>Do not build four disconnected apps. Build shared contracts, domain engine and sync before investing heavily in layouts or integrations. Keep a continuously executable vertical slice. All work is committed with code, tests, documentation and migration scripts in the same pull request.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c>
          <w:tcPr>
            <w:tcW w:type="dxa" w:w="2441"/>
          </w:tcPr>
          <w:p>
            <w:r>
              <w:t>Work package</w:t>
            </w:r>
          </w:p>
        </w:tc>
        <w:tc>
          <w:tcPr>
            <w:tcW w:type="dxa" w:w="2441"/>
          </w:tcPr>
          <w:p>
            <w:r>
              <w:t>Rough effort</w:t>
            </w:r>
          </w:p>
        </w:tc>
        <w:tc>
          <w:tcPr>
            <w:tcW w:type="dxa" w:w="2441"/>
          </w:tcPr>
          <w:p>
            <w:r>
              <w:t>Scope</w:t>
            </w:r>
          </w:p>
        </w:tc>
        <w:tc>
          <w:tcPr>
            <w:tcW w:type="dxa" w:w="2441"/>
          </w:tcPr>
          <w:p>
            <w:r>
              <w:t>Exit</w:t>
            </w:r>
          </w:p>
        </w:tc>
      </w:tr>
      <w:tr>
        <w:tc>
          <w:tcPr>
            <w:tcW w:type="dxa" w:w="2441"/>
          </w:tcPr>
          <w:p>
            <w:r>
              <w:t>WP0 Foundations</w:t>
            </w:r>
          </w:p>
        </w:tc>
        <w:tc>
          <w:tcPr>
            <w:tcW w:type="dxa" w:w="2441"/>
          </w:tcPr>
          <w:p>
            <w:r>
              <w:t>2–3 weeks</w:t>
            </w:r>
          </w:p>
        </w:tc>
        <w:tc>
          <w:tcPr>
            <w:tcW w:type="dxa" w:w="2441"/>
          </w:tcPr>
          <w:p>
            <w:r>
              <w:t>Repository, license, CI, architecture decision records, schema discipline, benchmark target hardware</w:t>
            </w:r>
          </w:p>
        </w:tc>
        <w:tc>
          <w:tcPr>
            <w:tcW w:type="dxa" w:w="2441"/>
          </w:tcPr>
          <w:p>
            <w:r>
              <w:t>Clean Windows/Linux CLI builds; P0 requirement-to-test map; solution boots</w:t>
            </w:r>
          </w:p>
        </w:tc>
      </w:tr>
      <w:tr>
        <w:tc>
          <w:tcPr>
            <w:tcW w:type="dxa" w:w="2441"/>
          </w:tcPr>
          <w:p>
            <w:r>
              <w:t>WP1 Game authority</w:t>
            </w:r>
          </w:p>
        </w:tc>
        <w:tc>
          <w:tcPr>
            <w:tcW w:type="dxa" w:w="2441"/>
          </w:tcPr>
          <w:p>
            <w:r>
              <w:t>5–8 weeks</w:t>
            </w:r>
          </w:p>
        </w:tc>
        <w:tc>
          <w:tcPr>
            <w:tcW w:type="dxa" w:w="2441"/>
          </w:tcPr>
          <w:p>
            <w:r>
              <w:t>Event envelopes, rules profile, deterministic clock, local SQLite transactions, audit projections</w:t>
            </w:r>
          </w:p>
        </w:tc>
        <w:tc>
          <w:tcPr>
            <w:tcW w:type="dxa" w:w="2441"/>
          </w:tcPr>
          <w:p>
            <w:r>
              <w:t>Complete game simulation; 10k replay; crash cases pass</w:t>
            </w:r>
          </w:p>
        </w:tc>
      </w:tr>
      <w:tr>
        <w:tc>
          <w:tcPr>
            <w:tcW w:type="dxa" w:w="2441"/>
          </w:tcPr>
          <w:p>
            <w:r>
              <w:t>WP2 Windows scorer</w:t>
            </w:r>
          </w:p>
        </w:tc>
        <w:tc>
          <w:tcPr>
            <w:tcW w:type="dxa" w:w="2441"/>
          </w:tcPr>
          <w:p>
            <w:r>
              <w:t>5–8 weeks</w:t>
            </w:r>
          </w:p>
        </w:tc>
        <w:tc>
          <w:tcPr>
            <w:tcW w:type="dxa" w:w="2441"/>
          </w:tcPr>
          <w:p>
            <w:r>
              <w:t>Avalonia touchscreen, local rosters, accessibility, manual corrections, export scoresheet</w:t>
            </w:r>
          </w:p>
        </w:tc>
        <w:tc>
          <w:tcPr>
            <w:tcW w:type="dxa" w:w="2441"/>
          </w:tcPr>
          <w:p>
            <w:r>
              <w:t>Usability trial; offline end-to-end game with no critical clipping</w:t>
            </w:r>
          </w:p>
        </w:tc>
      </w:tr>
      <w:tr>
        <w:tc>
          <w:tcPr>
            <w:tcW w:type="dxa" w:w="2441"/>
          </w:tcPr>
          <w:p>
            <w:r>
              <w:t>WP3 Cloud sync</w:t>
            </w:r>
          </w:p>
        </w:tc>
        <w:tc>
          <w:tcPr>
            <w:tcW w:type="dxa" w:w="2441"/>
          </w:tcPr>
          <w:p>
            <w:r>
              <w:t>4–7 weeks</w:t>
            </w:r>
          </w:p>
        </w:tc>
        <w:tc>
          <w:tcPr>
            <w:tcW w:type="dxa" w:w="2441"/>
          </w:tcPr>
          <w:p>
            <w:r>
              <w:t>Tenant auth, event ingest, acknowledgment, conflict queues, Delta API, backup/restore</w:t>
            </w:r>
          </w:p>
        </w:tc>
        <w:tc>
          <w:tcPr>
            <w:tcW w:type="dxa" w:w="2441"/>
          </w:tcPr>
          <w:p>
            <w:r>
              <w:t>Repeated upload and 24h offline/reconnect exercises pass</w:t>
            </w:r>
          </w:p>
        </w:tc>
      </w:tr>
      <w:tr>
        <w:tc>
          <w:tcPr>
            <w:tcW w:type="dxa" w:w="2441"/>
          </w:tcPr>
          <w:p>
            <w:r>
              <w:t>WP4 League web</w:t>
            </w:r>
          </w:p>
        </w:tc>
        <w:tc>
          <w:tcPr>
            <w:tcW w:type="dxa" w:w="2441"/>
          </w:tcPr>
          <w:p>
            <w:r>
              <w:t>4–7 weeks</w:t>
            </w:r>
          </w:p>
        </w:tc>
        <w:tc>
          <w:tcPr>
            <w:tcW w:type="dxa" w:w="2441"/>
          </w:tcPr>
          <w:p>
            <w:r>
              <w:t>Admin and public website, stats, schedules, standings, live feed, certification</w:t>
            </w:r>
          </w:p>
        </w:tc>
        <w:tc>
          <w:tcPr>
            <w:tcW w:type="dxa" w:w="2441"/>
          </w:tcPr>
          <w:p>
            <w:r>
              <w:t>Hosted pilot league; privacy/cross-tenant checks pass</w:t>
            </w:r>
          </w:p>
        </w:tc>
      </w:tr>
      <w:tr>
        <w:tc>
          <w:tcPr>
            <w:tcW w:type="dxa" w:w="2441"/>
          </w:tcPr>
          <w:p>
            <w:r>
              <w:t>WP5 Tournament Director</w:t>
            </w:r>
          </w:p>
        </w:tc>
        <w:tc>
          <w:tcPr>
            <w:tcW w:type="dxa" w:w="2441"/>
          </w:tcPr>
          <w:p>
            <w:r>
              <w:t>8–12 weeks</w:t>
            </w:r>
          </w:p>
        </w:tc>
        <w:tc>
          <w:tcPr>
            <w:tcW w:type="dxa" w:w="2441"/>
          </w:tcPr>
          <w:p>
            <w:r>
              <w:t>Registrations, pools, multivenue CP-SAT scheduling, officials, travel, brackets, schedule revisions</w:t>
            </w:r>
          </w:p>
        </w:tc>
        <w:tc>
          <w:tcPr>
            <w:tcW w:type="dxa" w:w="2441"/>
          </w:tcPr>
          <w:p>
            <w:r>
              <w:t>150-game test corpus, feasible and infeasible cases, director pilot</w:t>
            </w:r>
          </w:p>
        </w:tc>
      </w:tr>
      <w:tr>
        <w:tc>
          <w:tcPr>
            <w:tcW w:type="dxa" w:w="2441"/>
          </w:tcPr>
          <w:p>
            <w:r>
              <w:t>WP6 Arena integration</w:t>
            </w:r>
          </w:p>
        </w:tc>
        <w:tc>
          <w:tcPr>
            <w:tcW w:type="dxa" w:w="2441"/>
          </w:tcPr>
          <w:p>
            <w:r>
              <w:t>Per adapter 4–10 weeks</w:t>
            </w:r>
          </w:p>
        </w:tc>
        <w:tc>
          <w:tcPr>
            <w:tcW w:type="dxa" w:w="2441"/>
          </w:tcPr>
          <w:p>
            <w:r>
              <w:t>HDMI viewer, camera observations, protocol-specific verified controllers</w:t>
            </w:r>
          </w:p>
        </w:tc>
        <w:tc>
          <w:tcPr>
            <w:tcW w:type="dxa" w:w="2441"/>
          </w:tcPr>
          <w:p>
            <w:r>
              <w:t>Adapter HIL and independent failure tests</w:t>
            </w:r>
          </w:p>
        </w:tc>
      </w:tr>
      <w:tr>
        <w:tc>
          <w:tcPr>
            <w:tcW w:type="dxa" w:w="2441"/>
          </w:tcPr>
          <w:p>
            <w:r>
              <w:t>WP7 Mobile</w:t>
            </w:r>
          </w:p>
        </w:tc>
        <w:tc>
          <w:tcPr>
            <w:tcW w:type="dxa" w:w="2441"/>
          </w:tcPr>
          <w:p>
            <w:r>
              <w:t>After stable desktop</w:t>
            </w:r>
          </w:p>
        </w:tc>
        <w:tc>
          <w:tcPr>
            <w:tcW w:type="dxa" w:w="2441"/>
          </w:tcPr>
          <w:p>
            <w:r>
              <w:t>Avalonia Android/iPad adaptation; platform-specific permissions and distribution</w:t>
            </w:r>
          </w:p>
        </w:tc>
        <w:tc>
          <w:tcPr>
            <w:tcW w:type="dxa" w:w="2441"/>
          </w:tcPr>
          <w:p>
            <w:r>
              <w:t>Same game fixtures, touch test matrix, sync parity</w:t>
            </w:r>
          </w:p>
        </w:tc>
      </w:tr>
    </w:tbl>
    <w:p/>
    <w:p>
      <w:r>
        <w:t>Effort ranges assume a small experienced engineering team and are planning estimates, not delivery promises. Dependencies and parallel work change elapsed duration. Full production rollout requires actual operator pilots and official policy sign-off.</w:t>
      </w:r>
    </w:p>
    <w:p>
      <w:pPr>
        <w:pStyle w:val="Heading1"/>
      </w:pPr>
      <w:r>
        <w:t>2. First eight weeks—engineering tickets</w:t>
      </w:r>
    </w:p>
    <w:p>
      <w:pPr>
        <w:pStyle w:val="Heading2"/>
      </w:pPr>
      <w:r>
        <w:t>Sprint 1</w:t>
      </w:r>
    </w:p>
    <w:p>
      <w:r>
        <w:t>Repository scaffolding, CI matrix, signed package/version policy; domain event schema; deterministic virtual clock abstraction; SQLite migration test harness.</w:t>
      </w:r>
    </w:p>
    <w:p>
      <w:pPr>
        <w:pStyle w:val="Heading2"/>
      </w:pPr>
      <w:r>
        <w:t>Sprint 2</w:t>
      </w:r>
    </w:p>
    <w:p>
      <w:r>
        <w:t>Single writer command processor; command/version validation; transactional journal+outbox; initial game start/stop/goal rules; process kill/restart tests.</w:t>
      </w:r>
    </w:p>
    <w:p>
      <w:pPr>
        <w:pStyle w:val="Heading2"/>
      </w:pPr>
      <w:r>
        <w:t>Sprint 3</w:t>
      </w:r>
    </w:p>
    <w:p>
      <w:r>
        <w:t>Penalties and period engine; golden casebook fixtures; game projection; local command-line harness; serialization/compatibility tests.</w:t>
      </w:r>
    </w:p>
    <w:p>
      <w:pPr>
        <w:pStyle w:val="Heading2"/>
      </w:pPr>
      <w:r>
        <w:t>Sprint 4</w:t>
      </w:r>
    </w:p>
    <w:p>
      <w:r>
        <w:t>Touchscreen basic scorer, status indicators and roster cache; PDF/print export prototype; simulated server sync endpoint; accessibility first pass.</w:t>
      </w:r>
    </w:p>
    <w:p>
      <w:pPr>
        <w:pStyle w:val="Heading1"/>
      </w:pPr>
      <w:r>
        <w:t>3. Decision log and owner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3255"/>
          </w:tcPr>
          <w:p>
            <w:r>
              <w:t>Decision</w:t>
            </w:r>
          </w:p>
        </w:tc>
        <w:tc>
          <w:tcPr>
            <w:tcW w:type="dxa" w:w="3255"/>
          </w:tcPr>
          <w:p>
            <w:r>
              <w:t>Required approval</w:t>
            </w:r>
          </w:p>
        </w:tc>
        <w:tc>
          <w:tcPr>
            <w:tcW w:type="dxa" w:w="3255"/>
          </w:tcPr>
          <w:p>
            <w:r>
              <w:t>Latest point</w:t>
            </w:r>
          </w:p>
        </w:tc>
      </w:tr>
      <w:tr>
        <w:tc>
          <w:tcPr>
            <w:tcW w:type="dxa" w:w="3255"/>
          </w:tcPr>
          <w:p>
            <w:r>
              <w:t>Supported USA Hockey rules version / casebook interpretations</w:t>
            </w:r>
          </w:p>
        </w:tc>
        <w:tc>
          <w:tcPr>
            <w:tcW w:type="dxa" w:w="3255"/>
          </w:tcPr>
          <w:p>
            <w:r>
              <w:t>Rules SME + referee reviewer</w:t>
            </w:r>
          </w:p>
        </w:tc>
        <w:tc>
          <w:tcPr>
            <w:tcW w:type="dxa" w:w="3255"/>
          </w:tcPr>
          <w:p>
            <w:r>
              <w:t>Before WP1 penalty certification</w:t>
            </w:r>
          </w:p>
        </w:tc>
      </w:tr>
      <w:tr>
        <w:tc>
          <w:tcPr>
            <w:tcW w:type="dxa" w:w="3255"/>
          </w:tcPr>
          <w:p>
            <w:r>
              <w:t>Touchscreen layout / timer UX</w:t>
            </w:r>
          </w:p>
        </w:tc>
        <w:tc>
          <w:tcPr>
            <w:tcW w:type="dxa" w:w="3255"/>
          </w:tcPr>
          <w:p>
            <w:r>
              <w:t>Scorekeeper/timekeeper pilot</w:t>
            </w:r>
          </w:p>
        </w:tc>
        <w:tc>
          <w:tcPr>
            <w:tcW w:type="dxa" w:w="3255"/>
          </w:tcPr>
          <w:p>
            <w:r>
              <w:t>Before WP2 release</w:t>
            </w:r>
          </w:p>
        </w:tc>
      </w:tr>
      <w:tr>
        <w:tc>
          <w:tcPr>
            <w:tcW w:type="dxa" w:w="3255"/>
          </w:tcPr>
          <w:p>
            <w:r>
              <w:t>Youth identity and visibility</w:t>
            </w:r>
          </w:p>
        </w:tc>
        <w:tc>
          <w:tcPr>
            <w:tcW w:type="dxa" w:w="3255"/>
          </w:tcPr>
          <w:p>
            <w:r>
              <w:t>Organization counsel / privacy lead</w:t>
            </w:r>
          </w:p>
        </w:tc>
        <w:tc>
          <w:tcPr>
            <w:tcW w:type="dxa" w:w="3255"/>
          </w:tcPr>
          <w:p>
            <w:r>
              <w:t>Before WP4 hosting</w:t>
            </w:r>
          </w:p>
        </w:tc>
      </w:tr>
      <w:tr>
        <w:tc>
          <w:tcPr>
            <w:tcW w:type="dxa" w:w="3255"/>
          </w:tcPr>
          <w:p>
            <w:r>
              <w:t>Tournament tie-breakers and scheduling policy</w:t>
            </w:r>
          </w:p>
        </w:tc>
        <w:tc>
          <w:tcPr>
            <w:tcW w:type="dxa" w:w="3255"/>
          </w:tcPr>
          <w:p>
            <w:r>
              <w:t>Tournament director / league official</w:t>
            </w:r>
          </w:p>
        </w:tc>
        <w:tc>
          <w:tcPr>
            <w:tcW w:type="dxa" w:w="3255"/>
          </w:tcPr>
          <w:p>
            <w:r>
              <w:t>Before WP5 pilot</w:t>
            </w:r>
          </w:p>
        </w:tc>
      </w:tr>
      <w:tr>
        <w:tc>
          <w:tcPr>
            <w:tcW w:type="dxa" w:w="3255"/>
          </w:tcPr>
          <w:p>
            <w:r>
              <w:t>Protocol access and scoreboard authority</w:t>
            </w:r>
          </w:p>
        </w:tc>
        <w:tc>
          <w:tcPr>
            <w:tcW w:type="dxa" w:w="3255"/>
          </w:tcPr>
          <w:p>
            <w:r>
              <w:t>Arena hardware owner / vendor</w:t>
            </w:r>
          </w:p>
        </w:tc>
        <w:tc>
          <w:tcPr>
            <w:tcW w:type="dxa" w:w="3255"/>
          </w:tcPr>
          <w:p>
            <w:r>
              <w:t>Before WP6 physical write control</w:t>
            </w:r>
          </w:p>
        </w:tc>
      </w:tr>
      <w:tr>
        <w:tc>
          <w:tcPr>
            <w:tcW w:type="dxa" w:w="3255"/>
          </w:tcPr>
          <w:p>
            <w:r>
              <w:t>Managed hosting SLA, support, pricing</w:t>
            </w:r>
          </w:p>
        </w:tc>
        <w:tc>
          <w:tcPr>
            <w:tcW w:type="dxa" w:w="3255"/>
          </w:tcPr>
          <w:p>
            <w:r>
              <w:t>Business owner + operations</w:t>
            </w:r>
          </w:p>
        </w:tc>
        <w:tc>
          <w:tcPr>
            <w:tcW w:type="dxa" w:w="3255"/>
          </w:tcPr>
          <w:p>
            <w:r>
              <w:t>Before public production</w:t>
            </w:r>
          </w:p>
        </w:tc>
      </w:tr>
    </w:tbl>
    <w:p/>
    <w:p>
      <w:pPr>
        <w:pStyle w:val="Heading1"/>
      </w:pPr>
      <w:r>
        <w:t>4. Version-control and open-source release practices</w:t>
      </w:r>
    </w:p>
    <w:p>
      <w:r>
        <w:t>License code Apache-2.0 (verify third-party dependencies), reserve trademarks and artwork rights, use a documented CONTRIBUTING.md, security policy, public issue templates, CLA/DCO policy decision, ADR records, semantically versioned contracts and migration notes. Automated provenance and SBOM accompany releases. Build scripts shall require only published SDK and open tools.</w:t>
      </w:r>
    </w:p>
    <w:p>
      <w:pPr>
        <w:pStyle w:val="Heading1"/>
      </w:pPr>
      <w:r>
        <w:t>5. Definition of done</w:t>
      </w:r>
    </w:p>
    <w:p>
      <w:r>
        <w:t>A change is done only when its acceptance criteria and requirement IDs are linked; tests and negative-path tests pass; failure state is visible; migration/backward-compatibility impact reviewed; operator wording/accessibility reviewed; logs avoid private records; documentation and threat model updated; PR reviewed by another contributor.</w:t>
      </w:r>
    </w:p>
    <w:sectPr w:rsidR="00FC693F" w:rsidRPr="0006063C" w:rsidSect="00034616">
      <w:footerReference w:type="default" r:id="rId9"/>
      <w:pgSz w:w="12240" w:h="15840"/>
      <w:pgMar w:top="1037" w:right="1238" w:bottom="936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ICEBREAKER  •  Engineering specification  •  v3.0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37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E7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B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