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Icebreaker | Product &amp; System Specification</w:t>
      </w:r>
    </w:p>
    <w:p>
      <w:pPr>
        <w:pStyle w:val="Subtitle"/>
      </w:pPr>
      <w:r>
        <w:t>Normative product boundaries, acceptance architecture, and lifecycle</w:t>
      </w:r>
    </w:p>
    <w:p>
      <w:r>
        <w:t>Status: implementation baseline; subject to rulebook, security, hardware, and stakeholder approval.  |  Revision: 3.0  |  12 October 2026</w:t>
      </w:r>
    </w:p>
    <w:p>
      <w:pPr>
        <w:pStyle w:val="Heading1"/>
      </w:pPr>
      <w:r>
        <w:t>1. Purpose, conformance, and terminology</w:t>
      </w:r>
    </w:p>
    <w:p>
      <w:r>
        <w:t>Icebreaker comprises Scorekeeper (Windows touchscreen local game authority), Arena (hardware and video scoreboard gateway), League (hosted management and statistics), and Tournament Director (multi-venue scheduling and operations). Shared contracts and business rules are versioned. A deployment may use one or several modules.</w:t>
      </w:r>
    </w:p>
    <w:p>
      <w:r>
        <w:t>Normative “shall” statements are implementation obligations; SHOULD marks a recommendation; MAY marks an optional capability. P0 means mandatory for its named release, not necessarily mandatory for initial MVP. “Official” means approved by the organizer under its governing rules, not independently certified by Icebreaker.</w:t>
      </w:r>
    </w:p>
    <w:p>
      <w:r>
        <w:t>Requirements catalog source: v2 identifiers PLT/UX/CLK/GAME/ROSTER/SYNC/WEB/TRN/ARENA/SEC/TEST; all 116 IDs retained unchanged in requirements_v3.csv. This production document clarifies their testable implementation. Any apparent rulebook ambiguity is explicitly unresolved pending governing-body approval.</w:t>
      </w:r>
    </w:p>
    <w:p>
      <w:pPr>
        <w:pStyle w:val="Heading1"/>
      </w:pPr>
      <w:r>
        <w:t>2. Product boundary and deployment modes</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tcPr>
          <w:p>
            <w:r>
              <w:t>Mode</w:t>
            </w:r>
          </w:p>
        </w:tc>
        <w:tc>
          <w:tcPr>
            <w:tcW w:type="dxa" w:w="2441"/>
          </w:tcPr>
          <w:p>
            <w:r>
              <w:t>Authoritative system</w:t>
            </w:r>
          </w:p>
        </w:tc>
        <w:tc>
          <w:tcPr>
            <w:tcW w:type="dxa" w:w="2441"/>
          </w:tcPr>
          <w:p>
            <w:r>
              <w:t>Cloud behavior</w:t>
            </w:r>
          </w:p>
        </w:tc>
        <w:tc>
          <w:tcPr>
            <w:tcW w:type="dxa" w:w="2441"/>
          </w:tcPr>
          <w:p>
            <w:r>
              <w:t>Permitted outputs</w:t>
            </w:r>
          </w:p>
        </w:tc>
      </w:tr>
      <w:tr>
        <w:tc>
          <w:tcPr>
            <w:tcW w:type="dxa" w:w="2441"/>
          </w:tcPr>
          <w:p>
            <w:r>
              <w:t>Disconnected local rink</w:t>
            </w:r>
          </w:p>
        </w:tc>
        <w:tc>
          <w:tcPr>
            <w:tcW w:type="dxa" w:w="2441"/>
          </w:tcPr>
          <w:p>
            <w:r>
              <w:t>Windows Scorekeeper with durable local SQLite journal</w:t>
            </w:r>
          </w:p>
        </w:tc>
        <w:tc>
          <w:tcPr>
            <w:tcW w:type="dxa" w:w="2441"/>
          </w:tcPr>
          <w:p>
            <w:r>
              <w:t>Outbox queues; no blocking cloud call</w:t>
            </w:r>
          </w:p>
        </w:tc>
        <w:tc>
          <w:tcPr>
            <w:tcW w:type="dxa" w:w="2441"/>
          </w:tcPr>
          <w:p>
            <w:r>
              <w:t>UI; optional local arena hardware</w:t>
            </w:r>
          </w:p>
        </w:tc>
      </w:tr>
      <w:tr>
        <w:tc>
          <w:tcPr>
            <w:tcW w:type="dxa" w:w="2441"/>
          </w:tcPr>
          <w:p>
            <w:r>
              <w:t>Connected rink</w:t>
            </w:r>
          </w:p>
        </w:tc>
        <w:tc>
          <w:tcPr>
            <w:tcW w:type="dxa" w:w="2441"/>
          </w:tcPr>
          <w:p>
            <w:r>
              <w:t>Windows Scorekeeper</w:t>
            </w:r>
          </w:p>
        </w:tc>
        <w:tc>
          <w:tcPr>
            <w:tcW w:type="dxa" w:w="2441"/>
          </w:tcPr>
          <w:p>
            <w:r>
              <w:t>Continuous event upload and configuration download</w:t>
            </w:r>
          </w:p>
        </w:tc>
        <w:tc>
          <w:tcPr>
            <w:tcW w:type="dxa" w:w="2441"/>
          </w:tcPr>
          <w:p>
            <w:r>
              <w:t>Live web scores; arena mirrors</w:t>
            </w:r>
          </w:p>
        </w:tc>
      </w:tr>
      <w:tr>
        <w:tc>
          <w:tcPr>
            <w:tcW w:type="dxa" w:w="2441"/>
          </w:tcPr>
          <w:p>
            <w:r>
              <w:t>Hosted tournament</w:t>
            </w:r>
          </w:p>
        </w:tc>
        <w:tc>
          <w:tcPr>
            <w:tcW w:type="dxa" w:w="2441"/>
          </w:tcPr>
          <w:p>
            <w:r>
              <w:t>Per-sheet local game authorities; central scheduling authority</w:t>
            </w:r>
          </w:p>
        </w:tc>
        <w:tc>
          <w:tcPr>
            <w:tcW w:type="dxa" w:w="2441"/>
          </w:tcPr>
          <w:p>
            <w:r>
              <w:t>Director publishes versioned allocations and standings</w:t>
            </w:r>
          </w:p>
        </w:tc>
        <w:tc>
          <w:tcPr>
            <w:tcW w:type="dxa" w:w="2441"/>
          </w:tcPr>
          <w:p>
            <w:r>
              <w:t>Public portal; scorer downloads assigned games</w:t>
            </w:r>
          </w:p>
        </w:tc>
      </w:tr>
      <w:tr>
        <w:tc>
          <w:tcPr>
            <w:tcW w:type="dxa" w:w="2441"/>
          </w:tcPr>
          <w:p>
            <w:r>
              <w:t>Self-hosted league</w:t>
            </w:r>
          </w:p>
        </w:tc>
        <w:tc>
          <w:tcPr>
            <w:tcW w:type="dxa" w:w="2441"/>
          </w:tcPr>
          <w:p>
            <w:r>
              <w:t>Per-sheet local game authorities; organization-owned Linux server</w:t>
            </w:r>
          </w:p>
        </w:tc>
        <w:tc>
          <w:tcPr>
            <w:tcW w:type="dxa" w:w="2441"/>
          </w:tcPr>
          <w:p>
            <w:r>
              <w:t>Identical versioned protocol</w:t>
            </w:r>
          </w:p>
        </w:tc>
        <w:tc>
          <w:tcPr>
            <w:tcW w:type="dxa" w:w="2441"/>
          </w:tcPr>
          <w:p>
            <w:r>
              <w:t>Admin/public websites and exports</w:t>
            </w:r>
          </w:p>
        </w:tc>
      </w:tr>
    </w:tbl>
    <w:p/>
    <w:p>
      <w:pPr>
        <w:pStyle w:val="Heading1"/>
      </w:pPr>
      <w:r>
        <w:t>3. Technical baseline</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Layer</w:t>
            </w:r>
          </w:p>
        </w:tc>
        <w:tc>
          <w:tcPr>
            <w:tcW w:type="dxa" w:w="3255"/>
          </w:tcPr>
          <w:p>
            <w:r>
              <w:t>Production decision</w:t>
            </w:r>
          </w:p>
        </w:tc>
        <w:tc>
          <w:tcPr>
            <w:tcW w:type="dxa" w:w="3255"/>
          </w:tcPr>
          <w:p>
            <w:r>
              <w:t>Boundary</w:t>
            </w:r>
          </w:p>
        </w:tc>
      </w:tr>
      <w:tr>
        <w:tc>
          <w:tcPr>
            <w:tcW w:type="dxa" w:w="3255"/>
          </w:tcPr>
          <w:p>
            <w:r>
              <w:t>Runtime</w:t>
            </w:r>
          </w:p>
        </w:tc>
        <w:tc>
          <w:tcPr>
            <w:tcW w:type="dxa" w:w="3255"/>
          </w:tcPr>
          <w:p>
            <w:r>
              <w:t>Supported .NET LTS release, initially .NET 10</w:t>
            </w:r>
          </w:p>
        </w:tc>
        <w:tc>
          <w:tcPr>
            <w:tcW w:type="dxa" w:w="3255"/>
          </w:tcPr>
          <w:p>
            <w:r>
              <w:t>Upgrade each LTS cycle; no UI reference in core</w:t>
            </w:r>
          </w:p>
        </w:tc>
      </w:tr>
      <w:tr>
        <w:tc>
          <w:tcPr>
            <w:tcW w:type="dxa" w:w="3255"/>
          </w:tcPr>
          <w:p>
            <w:r>
              <w:t>Desktop</w:t>
            </w:r>
          </w:p>
        </w:tc>
        <w:tc>
          <w:tcPr>
            <w:tcW w:type="dxa" w:w="3255"/>
          </w:tcPr>
          <w:p>
            <w:r>
              <w:t>C# + Avalonia on Windows 11 touchscreen</w:t>
            </w:r>
          </w:p>
        </w:tc>
        <w:tc>
          <w:tcPr>
            <w:tcW w:type="dxa" w:w="3255"/>
          </w:tcPr>
          <w:p>
            <w:r>
              <w:t>Windows-specific device code confined to adapters</w:t>
            </w:r>
          </w:p>
        </w:tc>
      </w:tr>
      <w:tr>
        <w:tc>
          <w:tcPr>
            <w:tcW w:type="dxa" w:w="3255"/>
          </w:tcPr>
          <w:p>
            <w:r>
              <w:t>Local store</w:t>
            </w:r>
          </w:p>
        </w:tc>
        <w:tc>
          <w:tcPr>
            <w:tcW w:type="dxa" w:w="3255"/>
          </w:tcPr>
          <w:p>
            <w:r>
              <w:t>SQLite in WAL mode; single local authority</w:t>
            </w:r>
          </w:p>
        </w:tc>
        <w:tc>
          <w:tcPr>
            <w:tcW w:type="dxa" w:w="3255"/>
          </w:tcPr>
          <w:p>
            <w:r>
              <w:t>Transactions commit command/event/outbox atomically</w:t>
            </w:r>
          </w:p>
        </w:tc>
      </w:tr>
      <w:tr>
        <w:tc>
          <w:tcPr>
            <w:tcW w:type="dxa" w:w="3255"/>
          </w:tcPr>
          <w:p>
            <w:r>
              <w:t>Backend</w:t>
            </w:r>
          </w:p>
        </w:tc>
        <w:tc>
          <w:tcPr>
            <w:tcW w:type="dxa" w:w="3255"/>
          </w:tcPr>
          <w:p>
            <w:r>
              <w:t>ASP.NET Core modular monolith on Linux</w:t>
            </w:r>
          </w:p>
        </w:tc>
        <w:tc>
          <w:tcPr>
            <w:tcW w:type="dxa" w:w="3255"/>
          </w:tcPr>
          <w:p>
            <w:r>
              <w:t>REST API; SignalR read-only streams; hosted background jobs</w:t>
            </w:r>
          </w:p>
        </w:tc>
      </w:tr>
      <w:tr>
        <w:tc>
          <w:tcPr>
            <w:tcW w:type="dxa" w:w="3255"/>
          </w:tcPr>
          <w:p>
            <w:r>
              <w:t>Hosted store</w:t>
            </w:r>
          </w:p>
        </w:tc>
        <w:tc>
          <w:tcPr>
            <w:tcW w:type="dxa" w:w="3255"/>
          </w:tcPr>
          <w:p>
            <w:r>
              <w:t>PostgreSQL</w:t>
            </w:r>
          </w:p>
        </w:tc>
        <w:tc>
          <w:tcPr>
            <w:tcW w:type="dxa" w:w="3255"/>
          </w:tcPr>
          <w:p>
            <w:r>
              <w:t>Per-tenant scoped access enforced in application and tested</w:t>
            </w:r>
          </w:p>
        </w:tc>
      </w:tr>
      <w:tr>
        <w:tc>
          <w:tcPr>
            <w:tcW w:type="dxa" w:w="3255"/>
          </w:tcPr>
          <w:p>
            <w:r>
              <w:t>Tournament solver</w:t>
            </w:r>
          </w:p>
        </w:tc>
        <w:tc>
          <w:tcPr>
            <w:tcW w:type="dxa" w:w="3255"/>
          </w:tcPr>
          <w:p>
            <w:r>
              <w:t>OR-Tools CP-SAT hosted or local service</w:t>
            </w:r>
          </w:p>
        </w:tc>
        <w:tc>
          <w:tcPr>
            <w:tcW w:type="dxa" w:w="3255"/>
          </w:tcPr>
          <w:p>
            <w:r>
              <w:t>Constraint definitions are Icebreaker-owned and solver-independent</w:t>
            </w:r>
          </w:p>
        </w:tc>
      </w:tr>
      <w:tr>
        <w:tc>
          <w:tcPr>
            <w:tcW w:type="dxa" w:w="3255"/>
          </w:tcPr>
          <w:p>
            <w:r>
              <w:t>Transport</w:t>
            </w:r>
          </w:p>
        </w:tc>
        <w:tc>
          <w:tcPr>
            <w:tcW w:type="dxa" w:w="3255"/>
          </w:tcPr>
          <w:p>
            <w:r>
              <w:t>TLS HTTPS with JSON versioned contracts</w:t>
            </w:r>
          </w:p>
        </w:tc>
        <w:tc>
          <w:tcPr>
            <w:tcW w:type="dxa" w:w="3255"/>
          </w:tcPr>
          <w:p>
            <w:r>
              <w:t>Client-initiated outbound connections; API auth</w:t>
            </w:r>
          </w:p>
        </w:tc>
      </w:tr>
      <w:tr>
        <w:tc>
          <w:tcPr>
            <w:tcW w:type="dxa" w:w="3255"/>
          </w:tcPr>
          <w:p>
            <w:r>
              <w:t>Infrastructure</w:t>
            </w:r>
          </w:p>
        </w:tc>
        <w:tc>
          <w:tcPr>
            <w:tcW w:type="dxa" w:w="3255"/>
          </w:tcPr>
          <w:p>
            <w:r>
              <w:t>Docker Compose or systemd + Caddy</w:t>
            </w:r>
          </w:p>
        </w:tc>
        <w:tc>
          <w:tcPr>
            <w:tcW w:type="dxa" w:w="3255"/>
          </w:tcPr>
          <w:p>
            <w:r>
              <w:t>Cloud-provider neutrality; no Kubernetes requirement</w:t>
            </w:r>
          </w:p>
        </w:tc>
      </w:tr>
    </w:tbl>
    <w:p/>
    <w:p>
      <w:pPr>
        <w:pStyle w:val="Heading1"/>
      </w:pPr>
      <w:r>
        <w:t>4. Ownership and consistency invariants</w:t>
      </w:r>
    </w:p>
    <w:p>
      <w:pPr>
        <w:pStyle w:val="ListBullet"/>
      </w:pPr>
      <w:r>
        <w:t>One authoritative local writer per active game. All score/clock/penalty mutations are serialized through a command processor.</w:t>
      </w:r>
    </w:p>
    <w:p>
      <w:pPr>
        <w:pStyle w:val="ListBullet"/>
      </w:pPr>
      <w:r>
        <w:t>Game projections derive from persisted events and versioned rule profiles. Event IDs never change; correction events append history.</w:t>
      </w:r>
    </w:p>
    <w:p>
      <w:pPr>
        <w:pStyle w:val="ListBullet"/>
      </w:pPr>
      <w:r>
        <w:t>Local durability precedes “recorded” confirmation. Cloud confirmation and official certification have distinct UI status indicators.</w:t>
      </w:r>
    </w:p>
    <w:p>
      <w:pPr>
        <w:pStyle w:val="ListBullet"/>
      </w:pPr>
      <w:r>
        <w:t>Cloud never remotely starts/stops the live clock. A schedule revision cannot change an active game without explicit authorized acceptance.</w:t>
      </w:r>
    </w:p>
    <w:p>
      <w:pPr>
        <w:pStyle w:val="ListBullet"/>
      </w:pPr>
      <w:r>
        <w:t>Server accepts at-least-once transport with idempotent effects; exact-once end-to-end transport is not claimed.</w:t>
      </w:r>
    </w:p>
    <w:p>
      <w:pPr>
        <w:pStyle w:val="ListBullet"/>
      </w:pPr>
      <w:r>
        <w:t>Every game has a ruleProfileId and ruleProfileVersion frozen at its start; rule changes require controlled administrative process.</w:t>
      </w:r>
    </w:p>
    <w:p>
      <w:pPr>
        <w:pStyle w:val="ListBullet"/>
      </w:pPr>
      <w:r>
        <w:t>Every historical roster appearance identifies an immutable player ID and snapshot of jersey/name as recorded for the game.</w:t>
      </w:r>
    </w:p>
    <w:p>
      <w:pPr>
        <w:pStyle w:val="ListBullet"/>
      </w:pPr>
      <w:r>
        <w:t>No camera OCR result or remote spectator request can mutate official state without an explicit operator-approved command.</w:t>
      </w:r>
    </w:p>
    <w:p>
      <w:pPr>
        <w:pStyle w:val="Heading1"/>
      </w:pPr>
      <w:r>
        <w:t>5. Screen/readability standards</w:t>
      </w:r>
    </w:p>
    <w:p>
      <w:r>
        <w:t>Baseline device: landscape 1920×1080 Windows touchscreen, 125–200% UI scaling; minimum verified viewport 1366×768 with no critical-control clipping. Touch control target &gt;=48×48 effective pixels, preferred &gt;=56×56 for start/stop and score controls; precise final metric to be validated on actual equipment. Contrast and color-independent state are mandatory. Avoid modal prompts in routine clock operation.</w:t>
      </w:r>
    </w:p>
    <w:p>
      <w:r>
        <w:t>Score, period, authoritative clock, goal controls, both penalty states, cloud status, and hardware status remain visible during active play. All consequential actions expose pending, locally committed, uploaded, and officially approved states. Touch, mouse, and keyboard flows need equivalent action coverage.</w:t>
      </w:r>
    </w:p>
    <w:p>
      <w:pPr>
        <w:pStyle w:val="Heading1"/>
      </w:pPr>
      <w:r>
        <w:t>6. Roster and tournament hierarchy</w:t>
      </w:r>
    </w:p>
    <w:p>
      <w:r>
        <w:t>Canonical objects: Organization &gt; Season &gt; Division &gt; Team; Tournament &gt; Division &gt; Pool &gt; Registration &gt; TournamentRoster; Game &gt; GameRosterSnapshot &gt; Participation; Venue &gt; IceSheet &gt; AvailabilityWindow; Tournament &gt; GameSlot &gt; Assignment; Official &gt; Availability and Assignment.</w:t>
      </w:r>
    </w:p>
    <w:p>
      <w:r>
        <w:t>Local organizer may edit tournament and game roster drafts offline with permission; finalized season registration remains untouched. Conflicts use per-object version/ETag and a human reconciliation workflow. Roster exceptions require actor, reason, approval authority, and audit trail. A completed game retains its original game-roster snapshot even after later roster edits.</w:t>
      </w:r>
    </w:p>
    <w:p>
      <w:pPr>
        <w:pStyle w:val="Heading1"/>
      </w:pPr>
      <w:r>
        <w:t>7. Scheduling policy</w:t>
      </w:r>
    </w:p>
    <w:p>
      <w:r>
        <w:t>Hard constraints: no team/sheet/official overlaps; assigned slot within sheet availability; game length and resurfacing window; tournament-specific minimum rest; inter-venue travel matrix; eligibility; playoff prerequisites. The optimizer must never silently relax a hard constraint. Soft objectives are configurable weighted penalties: back-to-back games, arena switching, uneven start times, long gaps, and ice utilization.</w:t>
      </w:r>
    </w:p>
    <w:p>
      <w:r>
        <w:t>When infeasible, return a human-readable conflict report naming violated constraints and unscheduled games; do not publish a partial solution as final. A director may lock games, request scoped repair, preview changes, and publish a new schedule revision. Clients acknowledge schedule revisions without silently overriding active games.</w:t>
      </w:r>
    </w:p>
    <w:p>
      <w:pPr>
        <w:pStyle w:val="Heading1"/>
      </w:pPr>
      <w:r>
        <w:t>8. Security, privacy, and operations</w:t>
      </w:r>
    </w:p>
    <w:p>
      <w:r>
        <w:t>Internet-facing administration uses organization-scoped roles and least privilege: PlatformOperator, TournamentDirector, LeagueAdministrator, TeamManager, CertifiedScorekeeper, ReadOnlyViewer. Reauthentication required for sensitive administrative changes. Separate tournament/team permissions from global platform privilege. Public youth profiles default to minimal identifiers; public statistical visibility is governed by league policy and guardian/organizational consent where applicable.</w:t>
      </w:r>
    </w:p>
    <w:p>
      <w:r>
        <w:t>Backups encrypted in transit and at rest; restore tested quarterly. Structured logs must redact credentials, player contact details, and private roster notes. Production security review includes dependency SBOM, secret rotation, vulnerability patch cadence, abuse limits, tenant isolation tests, and incident response drills.</w:t>
      </w:r>
    </w:p>
    <w:p>
      <w:pPr>
        <w:pStyle w:val="Heading1"/>
      </w:pPr>
      <w:r>
        <w:t>9. Nonfunctional acceptance objectives (provisional engineering targets)</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Metric</w:t>
            </w:r>
          </w:p>
        </w:tc>
        <w:tc>
          <w:tcPr>
            <w:tcW w:type="dxa" w:w="3255"/>
          </w:tcPr>
          <w:p>
            <w:r>
              <w:t>Initial target</w:t>
            </w:r>
          </w:p>
        </w:tc>
        <w:tc>
          <w:tcPr>
            <w:tcW w:type="dxa" w:w="3255"/>
          </w:tcPr>
          <w:p>
            <w:r>
              <w:t>Test method</w:t>
            </w:r>
          </w:p>
        </w:tc>
      </w:tr>
      <w:tr>
        <w:tc>
          <w:tcPr>
            <w:tcW w:type="dxa" w:w="3255"/>
          </w:tcPr>
          <w:p>
            <w:r>
              <w:t>Operator action UI feedback</w:t>
            </w:r>
          </w:p>
        </w:tc>
        <w:tc>
          <w:tcPr>
            <w:tcW w:type="dxa" w:w="3255"/>
          </w:tcPr>
          <w:p>
            <w:r>
              <w:t>Visible feedback within 100 ms for 95% of local interactions</w:t>
            </w:r>
          </w:p>
        </w:tc>
        <w:tc>
          <w:tcPr>
            <w:tcW w:type="dxa" w:w="3255"/>
          </w:tcPr>
          <w:p>
            <w:r>
              <w:t>Instrumented touchscreen workflow</w:t>
            </w:r>
          </w:p>
        </w:tc>
      </w:tr>
      <w:tr>
        <w:tc>
          <w:tcPr>
            <w:tcW w:type="dxa" w:w="3255"/>
          </w:tcPr>
          <w:p>
            <w:r>
              <w:t>Local commit acknowledgement</w:t>
            </w:r>
          </w:p>
        </w:tc>
        <w:tc>
          <w:tcPr>
            <w:tcW w:type="dxa" w:w="3255"/>
          </w:tcPr>
          <w:p>
            <w:r>
              <w:t>&lt;=250 ms p95 on certified Windows reference hardware</w:t>
            </w:r>
          </w:p>
        </w:tc>
        <w:tc>
          <w:tcPr>
            <w:tcW w:type="dxa" w:w="3255"/>
          </w:tcPr>
          <w:p>
            <w:r>
              <w:t>10k mixed-event storage benchmark</w:t>
            </w:r>
          </w:p>
        </w:tc>
      </w:tr>
      <w:tr>
        <w:tc>
          <w:tcPr>
            <w:tcW w:type="dxa" w:w="3255"/>
          </w:tcPr>
          <w:p>
            <w:r>
              <w:t>Game-clock drift</w:t>
            </w:r>
          </w:p>
        </w:tc>
        <w:tc>
          <w:tcPr>
            <w:tcW w:type="dxa" w:w="3255"/>
          </w:tcPr>
          <w:p>
            <w:r>
              <w:t>&lt;=100 ms relative to monotonic elapsed time over 60 minutes under simulated UI load</w:t>
            </w:r>
          </w:p>
        </w:tc>
        <w:tc>
          <w:tcPr>
            <w:tcW w:type="dxa" w:w="3255"/>
          </w:tcPr>
          <w:p>
            <w:r>
              <w:t>Virtual time plus bench physical time</w:t>
            </w:r>
          </w:p>
        </w:tc>
      </w:tr>
      <w:tr>
        <w:tc>
          <w:tcPr>
            <w:tcW w:type="dxa" w:w="3255"/>
          </w:tcPr>
          <w:p>
            <w:r>
              <w:t>Disconnected gameplay</w:t>
            </w:r>
          </w:p>
        </w:tc>
        <w:tc>
          <w:tcPr>
            <w:tcW w:type="dxa" w:w="3255"/>
          </w:tcPr>
          <w:p>
            <w:r>
              <w:t>24h offline without lost committed events (capacity permitting)</w:t>
            </w:r>
          </w:p>
        </w:tc>
        <w:tc>
          <w:tcPr>
            <w:tcW w:type="dxa" w:w="3255"/>
          </w:tcPr>
          <w:p>
            <w:r>
              <w:t>Outage simulation + journal verification</w:t>
            </w:r>
          </w:p>
        </w:tc>
      </w:tr>
      <w:tr>
        <w:tc>
          <w:tcPr>
            <w:tcW w:type="dxa" w:w="3255"/>
          </w:tcPr>
          <w:p>
            <w:r>
              <w:t>Sync delivery</w:t>
            </w:r>
          </w:p>
        </w:tc>
        <w:tc>
          <w:tcPr>
            <w:tcW w:type="dxa" w:w="3255"/>
          </w:tcPr>
          <w:p>
            <w:r>
              <w:t>Backlog drains automatically; p95 &lt;60 s for 100 queued events after link recovery under reference conditions</w:t>
            </w:r>
          </w:p>
        </w:tc>
        <w:tc>
          <w:tcPr>
            <w:tcW w:type="dxa" w:w="3255"/>
          </w:tcPr>
          <w:p>
            <w:r>
              <w:t>Network fault bench</w:t>
            </w:r>
          </w:p>
        </w:tc>
      </w:tr>
      <w:tr>
        <w:tc>
          <w:tcPr>
            <w:tcW w:type="dxa" w:w="3255"/>
          </w:tcPr>
          <w:p>
            <w:r>
              <w:t>Server availability</w:t>
            </w:r>
          </w:p>
        </w:tc>
        <w:tc>
          <w:tcPr>
            <w:tcW w:type="dxa" w:w="3255"/>
          </w:tcPr>
          <w:p>
            <w:r>
              <w:t>99.9% monthly target for managed hosting excluding announced maintenance</w:t>
            </w:r>
          </w:p>
        </w:tc>
        <w:tc>
          <w:tcPr>
            <w:tcW w:type="dxa" w:w="3255"/>
          </w:tcPr>
          <w:p>
            <w:r>
              <w:t>Synthetic monitoring</w:t>
            </w:r>
          </w:p>
        </w:tc>
      </w:tr>
      <w:tr>
        <w:tc>
          <w:tcPr>
            <w:tcW w:type="dxa" w:w="3255"/>
          </w:tcPr>
          <w:p>
            <w:r>
              <w:t>UI operability</w:t>
            </w:r>
          </w:p>
        </w:tc>
        <w:tc>
          <w:tcPr>
            <w:tcW w:type="dxa" w:w="3255"/>
          </w:tcPr>
          <w:p>
            <w:r>
              <w:t>No critical clipped controls at supported viewport/scaling combinations</w:t>
            </w:r>
          </w:p>
        </w:tc>
        <w:tc>
          <w:tcPr>
            <w:tcW w:type="dxa" w:w="3255"/>
          </w:tcPr>
          <w:p>
            <w:r>
              <w:t>Screenshot and usability matrix</w:t>
            </w:r>
          </w:p>
        </w:tc>
      </w:tr>
      <w:tr>
        <w:tc>
          <w:tcPr>
            <w:tcW w:type="dxa" w:w="3255"/>
          </w:tcPr>
          <w:p>
            <w:r>
              <w:t>Recovery</w:t>
            </w:r>
          </w:p>
        </w:tc>
        <w:tc>
          <w:tcPr>
            <w:tcW w:type="dxa" w:w="3255"/>
          </w:tcPr>
          <w:p>
            <w:r>
              <w:t>No committed-event loss after forced process termination</w:t>
            </w:r>
          </w:p>
        </w:tc>
        <w:tc>
          <w:tcPr>
            <w:tcW w:type="dxa" w:w="3255"/>
          </w:tcPr>
          <w:p>
            <w:r>
              <w:t>Crash after each persistence checkpoint</w:t>
            </w:r>
          </w:p>
        </w:tc>
      </w:tr>
    </w:tbl>
    <w:p/>
    <w:p>
      <w:r>
        <w:t>These are initial design targets requiring pilot calibration, not achieved test results. Windows clock cannot promise hard real-time guarantees; hardware authority and drift under actual arena conditions must be measured.</w:t>
      </w:r>
    </w:p>
    <w:p>
      <w:pPr>
        <w:pStyle w:val="Heading1"/>
      </w:pPr>
      <w:r>
        <w:t>10. Readiness gates and unresolved approvals</w:t>
      </w:r>
    </w:p>
    <w:p>
      <w:pPr>
        <w:pStyle w:val="ListBullet"/>
      </w:pPr>
      <w:r>
        <w:t>USA Hockey and other enabled rulebook profiles must be independently checked against current official rules/casebooks; special cases have golden fixtures.</w:t>
      </w:r>
    </w:p>
    <w:p>
      <w:pPr>
        <w:pStyle w:val="ListBullet"/>
      </w:pPr>
      <w:r>
        <w:t>Referee, timekeeper, coach, tournament director, and league administrator must complete observed pilot trials; simulated prior reviews do not substitute.</w:t>
      </w:r>
    </w:p>
    <w:p>
      <w:pPr>
        <w:pStyle w:val="ListBullet"/>
      </w:pPr>
      <w:r>
        <w:t>At least one real physical scoreboard protocol requires vendor-authorized validation before enabled for write-control.</w:t>
      </w:r>
    </w:p>
    <w:p>
      <w:pPr>
        <w:pStyle w:val="ListBullet"/>
      </w:pPr>
      <w:r>
        <w:t>Independent privacy/security assessment required before production youth data, managed hosting, or payments.</w:t>
      </w:r>
    </w:p>
    <w:p>
      <w:pPr>
        <w:pStyle w:val="ListBullet"/>
      </w:pPr>
      <w:r>
        <w:t>Tournament venue operating policies, tiebreakers, and eligibility rules must be defined for each organization.</w:t>
      </w:r>
    </w:p>
    <w:sectPr w:rsidR="00FC693F" w:rsidRPr="0006063C" w:rsidSect="00034616">
      <w:footerReference w:type="default" r:id="rId9"/>
      <w:pgSz w:w="12240" w:h="15840"/>
      <w:pgMar w:top="1037" w:right="1238" w:bottom="936"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ICEBREAKER  •  Engineering specification  •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7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B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