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Icebreaker | Production Technical Design</w:t>
      </w:r>
    </w:p>
    <w:p>
      <w:pPr>
        <w:pStyle w:val="Subtitle"/>
      </w:pPr>
      <w:r>
        <w:t>Subsystem interfaces, state transitions, persistence, and distributed consistency</w:t>
      </w:r>
    </w:p>
    <w:p>
      <w:r>
        <w:t>Status: implementation baseline; subject to rulebook, security, hardware, and stakeholder approval.  |  Revision: 3.0  |  12 October 2026</w:t>
      </w:r>
    </w:p>
    <w:p>
      <w:pPr>
        <w:pStyle w:val="Heading1"/>
      </w:pPr>
      <w:r>
        <w:t>1. Solution structure</w:t>
      </w:r>
    </w:p>
    <w:p>
      <w:r>
        <w:t>Repository shall build with dotnet CLI on Windows and Linux. Explicit projects: Icebreaker.Domain, Icebreaker.Rules, Icebreaker.Application, Icebreaker.Persistence.Sqlite, Icebreaker.Contracts, Icebreaker.Sync.Client, Icebreaker.Sync.Server, Icebreaker.Hardware.Abstractions, Icebreaker.Scorekeeper.Desktop, Icebreaker.League.Api, Icebreaker.Tournament.Scheduling, Icebreaker.Web, tests/*, docs/*. Domain shall not reference UI, database, network, clocks, or operating-system packages.</w:t>
      </w:r>
    </w:p>
    <w:p>
      <w:pPr>
        <w:pStyle w:val="Heading1"/>
      </w:pPr>
      <w:r>
        <w:t>2. Command processing model</w:t>
      </w:r>
    </w:p>
    <w:p>
      <w:r>
        <w:t>The UI submits GameCommand through a bounded Channel&lt;GameCommandEnvelope&gt;. One consumer validates expected aggregate version, actor authorization, rule profile and domain invariants, evaluates command against immutable state, then persists events and outbox records in a SQLite transaction. Only after commit is the new state snapshot published to UI and adapters. A rejected command does not mutate official state.</w:t>
      </w:r>
    </w:p>
    <w:p>
      <w:r>
        <w:t>Concurrency discipline: no Task.Run per user event; no async-void mutation handlers; no UI-thread I/O; background processors use async I/O, bounded queues and CancellationToken. Device adapters subscribe to committed read-only snapshots; retries never mutate original event sequence. Long OCR jobs are isolated and cancelable. A watchdog monitors worker health and stale queues.</w:t>
      </w:r>
    </w:p>
    <w:p>
      <w:pPr>
        <w:pStyle w:val="Heading1"/>
      </w:pPr>
      <w:r>
        <w:t>3. Clock semantics and state machine</w:t>
      </w:r>
    </w:p>
    <w:p>
      <w:r>
        <w:t>Clock modes: NOT_STARTED, STOPPED, RUNNING, PERIOD_ENDED, REVIEW_REQUIRED, FINAL. Allowed transitions are described below. Every clock command records an observed monotonic timestamp, actor, prior clock value, period, and reason for manual adjustments. Wall-clock UTC is audit metadata only, not the countdown timebase.</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tcPr>
          <w:p>
            <w:r>
              <w:t>From</w:t>
            </w:r>
          </w:p>
        </w:tc>
        <w:tc>
          <w:tcPr>
            <w:tcW w:type="dxa" w:w="2441"/>
          </w:tcPr>
          <w:p>
            <w:r>
              <w:t>Command</w:t>
            </w:r>
          </w:p>
        </w:tc>
        <w:tc>
          <w:tcPr>
            <w:tcW w:type="dxa" w:w="2441"/>
          </w:tcPr>
          <w:p>
            <w:r>
              <w:t>To</w:t>
            </w:r>
          </w:p>
        </w:tc>
        <w:tc>
          <w:tcPr>
            <w:tcW w:type="dxa" w:w="2441"/>
          </w:tcPr>
          <w:p>
            <w:r>
              <w:t>Rule</w:t>
            </w:r>
          </w:p>
        </w:tc>
      </w:tr>
      <w:tr>
        <w:tc>
          <w:tcPr>
            <w:tcW w:type="dxa" w:w="2441"/>
          </w:tcPr>
          <w:p>
            <w:r>
              <w:t>NOT_STARTED</w:t>
            </w:r>
          </w:p>
        </w:tc>
        <w:tc>
          <w:tcPr>
            <w:tcW w:type="dxa" w:w="2441"/>
          </w:tcPr>
          <w:p>
            <w:r>
              <w:t>StartPeriod</w:t>
            </w:r>
          </w:p>
        </w:tc>
        <w:tc>
          <w:tcPr>
            <w:tcW w:type="dxa" w:w="2441"/>
          </w:tcPr>
          <w:p>
            <w:r>
              <w:t>STOPPED</w:t>
            </w:r>
          </w:p>
        </w:tc>
        <w:tc>
          <w:tcPr>
            <w:tcW w:type="dxa" w:w="2441"/>
          </w:tcPr>
          <w:p>
            <w:r>
              <w:t>Load frozen period duration and start period</w:t>
            </w:r>
          </w:p>
        </w:tc>
      </w:tr>
      <w:tr>
        <w:tc>
          <w:tcPr>
            <w:tcW w:type="dxa" w:w="2441"/>
          </w:tcPr>
          <w:p>
            <w:r>
              <w:t>STOPPED</w:t>
            </w:r>
          </w:p>
        </w:tc>
        <w:tc>
          <w:tcPr>
            <w:tcW w:type="dxa" w:w="2441"/>
          </w:tcPr>
          <w:p>
            <w:r>
              <w:t>StartClock</w:t>
            </w:r>
          </w:p>
        </w:tc>
        <w:tc>
          <w:tcPr>
            <w:tcW w:type="dxa" w:w="2441"/>
          </w:tcPr>
          <w:p>
            <w:r>
              <w:t>RUNNING</w:t>
            </w:r>
          </w:p>
        </w:tc>
        <w:tc>
          <w:tcPr>
            <w:tcW w:type="dxa" w:w="2441"/>
          </w:tcPr>
          <w:p>
            <w:r>
              <w:t>Capture monotonic anchor and remaining duration</w:t>
            </w:r>
          </w:p>
        </w:tc>
      </w:tr>
      <w:tr>
        <w:tc>
          <w:tcPr>
            <w:tcW w:type="dxa" w:w="2441"/>
          </w:tcPr>
          <w:p>
            <w:r>
              <w:t>RUNNING</w:t>
            </w:r>
          </w:p>
        </w:tc>
        <w:tc>
          <w:tcPr>
            <w:tcW w:type="dxa" w:w="2441"/>
          </w:tcPr>
          <w:p>
            <w:r>
              <w:t>StopClock</w:t>
            </w:r>
          </w:p>
        </w:tc>
        <w:tc>
          <w:tcPr>
            <w:tcW w:type="dxa" w:w="2441"/>
          </w:tcPr>
          <w:p>
            <w:r>
              <w:t>STOPPED</w:t>
            </w:r>
          </w:p>
        </w:tc>
        <w:tc>
          <w:tcPr>
            <w:tcW w:type="dxa" w:w="2441"/>
          </w:tcPr>
          <w:p>
            <w:r>
              <w:t>Calculate remaining duration from monotonic elapsed time; commit event</w:t>
            </w:r>
          </w:p>
        </w:tc>
      </w:tr>
      <w:tr>
        <w:tc>
          <w:tcPr>
            <w:tcW w:type="dxa" w:w="2441"/>
          </w:tcPr>
          <w:p>
            <w:r>
              <w:t>RUNNING</w:t>
            </w:r>
          </w:p>
        </w:tc>
        <w:tc>
          <w:tcPr>
            <w:tcW w:type="dxa" w:w="2441"/>
          </w:tcPr>
          <w:p>
            <w:r>
              <w:t>TimeExpired</w:t>
            </w:r>
          </w:p>
        </w:tc>
        <w:tc>
          <w:tcPr>
            <w:tcW w:type="dxa" w:w="2441"/>
          </w:tcPr>
          <w:p>
            <w:r>
              <w:t>PERIOD_ENDED</w:t>
            </w:r>
          </w:p>
        </w:tc>
        <w:tc>
          <w:tcPr>
            <w:tcW w:type="dxa" w:w="2441"/>
          </w:tcPr>
          <w:p>
            <w:r>
              <w:t>Clamp to zero, initiate end-of-period workflow</w:t>
            </w:r>
          </w:p>
        </w:tc>
      </w:tr>
      <w:tr>
        <w:tc>
          <w:tcPr>
            <w:tcW w:type="dxa" w:w="2441"/>
          </w:tcPr>
          <w:p>
            <w:r>
              <w:t>STOPPED</w:t>
            </w:r>
          </w:p>
        </w:tc>
        <w:tc>
          <w:tcPr>
            <w:tcW w:type="dxa" w:w="2441"/>
          </w:tcPr>
          <w:p>
            <w:r>
              <w:t>AdjustClock</w:t>
            </w:r>
          </w:p>
        </w:tc>
        <w:tc>
          <w:tcPr>
            <w:tcW w:type="dxa" w:w="2441"/>
          </w:tcPr>
          <w:p>
            <w:r>
              <w:t>STOPPED</w:t>
            </w:r>
          </w:p>
        </w:tc>
        <w:tc>
          <w:tcPr>
            <w:tcW w:type="dxa" w:w="2441"/>
          </w:tcPr>
          <w:p>
            <w:r>
              <w:t>Reason and privileged audit event required</w:t>
            </w:r>
          </w:p>
        </w:tc>
      </w:tr>
      <w:tr>
        <w:tc>
          <w:tcPr>
            <w:tcW w:type="dxa" w:w="2441"/>
          </w:tcPr>
          <w:p>
            <w:r>
              <w:t>PERIOD_ENDED</w:t>
            </w:r>
          </w:p>
        </w:tc>
        <w:tc>
          <w:tcPr>
            <w:tcW w:type="dxa" w:w="2441"/>
          </w:tcPr>
          <w:p>
            <w:r>
              <w:t>AdvancePeriod</w:t>
            </w:r>
          </w:p>
        </w:tc>
        <w:tc>
          <w:tcPr>
            <w:tcW w:type="dxa" w:w="2441"/>
          </w:tcPr>
          <w:p>
            <w:r>
              <w:t>STOPPED</w:t>
            </w:r>
          </w:p>
        </w:tc>
        <w:tc>
          <w:tcPr>
            <w:tcW w:type="dxa" w:w="2441"/>
          </w:tcPr>
          <w:p>
            <w:r>
              <w:t>Verify approvals, initialize next period</w:t>
            </w:r>
          </w:p>
        </w:tc>
      </w:tr>
      <w:tr>
        <w:tc>
          <w:tcPr>
            <w:tcW w:type="dxa" w:w="2441"/>
          </w:tcPr>
          <w:p>
            <w:r>
              <w:t>STOPPED / PERIOD_ENDED</w:t>
            </w:r>
          </w:p>
        </w:tc>
        <w:tc>
          <w:tcPr>
            <w:tcW w:type="dxa" w:w="2441"/>
          </w:tcPr>
          <w:p>
            <w:r>
              <w:t>FinalizeGame</w:t>
            </w:r>
          </w:p>
        </w:tc>
        <w:tc>
          <w:tcPr>
            <w:tcW w:type="dxa" w:w="2441"/>
          </w:tcPr>
          <w:p>
            <w:r>
              <w:t>FINAL</w:t>
            </w:r>
          </w:p>
        </w:tc>
        <w:tc>
          <w:tcPr>
            <w:tcW w:type="dxa" w:w="2441"/>
          </w:tcPr>
          <w:p>
            <w:r>
              <w:t>Official certification workflow required</w:t>
            </w:r>
          </w:p>
        </w:tc>
      </w:tr>
      <w:tr>
        <w:tc>
          <w:tcPr>
            <w:tcW w:type="dxa" w:w="2441"/>
          </w:tcPr>
          <w:p>
            <w:r>
              <w:t>RUNNING</w:t>
            </w:r>
          </w:p>
        </w:tc>
        <w:tc>
          <w:tcPr>
            <w:tcW w:type="dxa" w:w="2441"/>
          </w:tcPr>
          <w:p>
            <w:r>
              <w:t>RestartAfterCrash</w:t>
            </w:r>
          </w:p>
        </w:tc>
        <w:tc>
          <w:tcPr>
            <w:tcW w:type="dxa" w:w="2441"/>
          </w:tcPr>
          <w:p>
            <w:r>
              <w:t>REVIEW_REQUIRED</w:t>
            </w:r>
          </w:p>
        </w:tc>
        <w:tc>
          <w:tcPr>
            <w:tcW w:type="dxa" w:w="2441"/>
          </w:tcPr>
          <w:p>
            <w:r>
              <w:t>Require human clock reconciliation; never silently infer elapsed time</w:t>
            </w:r>
          </w:p>
        </w:tc>
      </w:tr>
    </w:tbl>
    <w:p/>
    <w:p>
      <w:r>
        <w:t>Running clock view = max(0, remainingAtAnchor - (monotonicNow - anchor)). Display ticks do not change authoritative state. On crash, after restart derive last durable STOPPED position or enter REVIEW_REQUIRED if running anchor continuity cannot be trusted. If scoreboard itself is authoritative, expose distinct source mode and reconciliation policy.</w:t>
      </w:r>
    </w:p>
    <w:p>
      <w:pPr>
        <w:pStyle w:val="Heading1"/>
      </w:pPr>
      <w:r>
        <w:t>4. Events, command preconditions, and versioning</w:t>
      </w:r>
    </w:p>
    <w:p>
      <w:r>
        <w:t>Command envelope: {commandId, gameId, expectedGameVersion, actorId, deviceId, commandType, payload, clientUtc}. Persisted event: {eventId, gameId, sequence, eventType, schemaVersion, ruleProfileId, payload, occurredGameClockMs, occurredUtc, actorId, causationCommandId, correlationId}. sequence strictly increments within game; server validates sequence/order, origin authorization, duplicate event IDs, and supported schemas.</w:t>
      </w:r>
    </w:p>
    <w:p>
      <w:r>
        <w:t>For goals: event references scoringTeamId, creditedScorerPlayerId or null pending resolution, up to allowed assist player IDs, period, gameClockMs, strength/manpower projection, and captured rosterVersion. For penalties: assessed team/player, class, duration segments, infraction code, offsetting group identifier, and rules engine-derived manpower impact. Do not embed arbitrary writable manpower flags without consistency checks.</w:t>
      </w:r>
    </w:p>
    <w:p>
      <w:r>
        <w:t>Corrections: Append CorrectionRecorded referencing targetEventId plus revised fields/reason; canonical projection applies versioned correction semantics while immutable original remains. Compensating events require a distinct command; audit viewer exposes both. Event schemas are additive; unknown mandatory event types block projection with operator-visible incompatibility rather than being silently dropped.</w:t>
      </w:r>
    </w:p>
    <w:p>
      <w:pPr>
        <w:pStyle w:val="Heading1"/>
      </w:pPr>
      <w:r>
        <w:t>5. Local SQLite and durability</w:t>
      </w:r>
    </w:p>
    <w:p>
      <w:r>
        <w:t>Required tables: games(game_id PK, rule_profile_id, state, version, updated_utc), game_events(game_id, seq PK-with-game, event_id UNIQUE, schema_version, event_type, payload_json, committed_utc), outbox(outbox_id PK, event_id UNIQUE, status, attempt_count, next_attempt_utc), inbox(object_type, object_id, revision, payload_json), roster_snapshots(game_id, team_id, roster_version, payload_json), device_settings(key PK, value_json), sync_checkpoint(scope PK, remote_version, updated_utc), and audit_local(audit_id, actor_id, action, reason, utc).</w:t>
      </w:r>
    </w:p>
    <w:p>
      <w:r>
        <w:t>SQLite configuration: foreign_keys=ON, busy_timeout, WAL, transactional migrations with backups, periodic integrity_check, safe disk-full error handling. Acknowledgment is shown only after committed transaction. Queue and database capacity alarms must be visible prior to disk exhaustion. No unsupported multi-process SQLite writers.</w:t>
      </w:r>
    </w:p>
    <w:p>
      <w:pPr>
        <w:pStyle w:val="Heading1"/>
      </w:pPr>
      <w:r>
        <w:t>6. Sync protocol and conflict handling</w:t>
      </w:r>
    </w:p>
    <w:p>
      <w:r>
        <w:t>API endpoint POST /api/v1/sync/batches accepts clientId, organizationId, gameId, firstSequence, events[], batchId, and knownServerRevision. The server performs authentication, organization/game assignment checks, schema checks, deduplication by eventId, sequence validation, and transactionally stores accepted events and materialized views. Response includes accepted event IDs, rejected events with machine-readable reason, nextExpectedSequence, and serverRevision.</w:t>
      </w:r>
    </w:p>
    <w:p>
      <w:r>
        <w:t>HTTP 200 with mixed acceptance is allowed only where per-event acknowledgments are unambiguous; 409 marks sequence/version divergence; 401/403 credentials/authorization; 422 invalid domain payload; 429 backoff; 5xx exponential retry with jitter. Client removes outbox entry only after durable server acknowledgment. Retries must be safe after lost acknowledgment.</w:t>
      </w:r>
    </w:p>
    <w:p>
      <w:r>
        <w:t>Inbound schedule/roster sync uses GET /api/v1/sync/changes?cursor=X. Each object has revision, effective time, tombstone indication and conflict policy. Active game_roster_snapshot is immutable once game begins except approved local correction events; tournament registration updates never overwrite it. Server is authoritative for published schedule revisions; local active game remains authoritative for game events.</w:t>
      </w:r>
    </w:p>
    <w:p>
      <w:pPr>
        <w:pStyle w:val="Heading1"/>
      </w:pPr>
      <w:r>
        <w:t>7. Hosted API surface</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Route</w:t>
            </w:r>
          </w:p>
        </w:tc>
        <w:tc>
          <w:tcPr>
            <w:tcW w:type="dxa" w:w="3255"/>
          </w:tcPr>
          <w:p>
            <w:r>
              <w:t>Methods</w:t>
            </w:r>
          </w:p>
        </w:tc>
        <w:tc>
          <w:tcPr>
            <w:tcW w:type="dxa" w:w="3255"/>
          </w:tcPr>
          <w:p>
            <w:r>
              <w:t>Purpose / access</w:t>
            </w:r>
          </w:p>
        </w:tc>
      </w:tr>
      <w:tr>
        <w:tc>
          <w:tcPr>
            <w:tcW w:type="dxa" w:w="3255"/>
          </w:tcPr>
          <w:p>
            <w:r>
              <w:t>/api/v1/auth/*</w:t>
            </w:r>
          </w:p>
        </w:tc>
        <w:tc>
          <w:tcPr>
            <w:tcW w:type="dxa" w:w="3255"/>
          </w:tcPr>
          <w:p>
            <w:r>
              <w:t>POST</w:t>
            </w:r>
          </w:p>
        </w:tc>
        <w:tc>
          <w:tcPr>
            <w:tcW w:type="dxa" w:w="3255"/>
          </w:tcPr>
          <w:p>
            <w:r>
              <w:t>Login/session or federated authentication; rate limited</w:t>
            </w:r>
          </w:p>
        </w:tc>
      </w:tr>
      <w:tr>
        <w:tc>
          <w:tcPr>
            <w:tcW w:type="dxa" w:w="3255"/>
          </w:tcPr>
          <w:p>
            <w:r>
              <w:t>/api/v1/organizations/{id}/teams</w:t>
            </w:r>
          </w:p>
        </w:tc>
        <w:tc>
          <w:tcPr>
            <w:tcW w:type="dxa" w:w="3255"/>
          </w:tcPr>
          <w:p>
            <w:r>
              <w:t>GET/POST/PATCH</w:t>
            </w:r>
          </w:p>
        </w:tc>
        <w:tc>
          <w:tcPr>
            <w:tcW w:type="dxa" w:w="3255"/>
          </w:tcPr>
          <w:p>
            <w:r>
              <w:t>Tenant-scoped team management</w:t>
            </w:r>
          </w:p>
        </w:tc>
      </w:tr>
      <w:tr>
        <w:tc>
          <w:tcPr>
            <w:tcW w:type="dxa" w:w="3255"/>
          </w:tcPr>
          <w:p>
            <w:r>
              <w:t>/api/v1/tournaments/{id}/registrations</w:t>
            </w:r>
          </w:p>
        </w:tc>
        <w:tc>
          <w:tcPr>
            <w:tcW w:type="dxa" w:w="3255"/>
          </w:tcPr>
          <w:p>
            <w:r>
              <w:t>GET/POST/PATCH</w:t>
            </w:r>
          </w:p>
        </w:tc>
        <w:tc>
          <w:tcPr>
            <w:tcW w:type="dxa" w:w="3255"/>
          </w:tcPr>
          <w:p>
            <w:r>
              <w:t>Registration/eligibility/workflow</w:t>
            </w:r>
          </w:p>
        </w:tc>
      </w:tr>
      <w:tr>
        <w:tc>
          <w:tcPr>
            <w:tcW w:type="dxa" w:w="3255"/>
          </w:tcPr>
          <w:p>
            <w:r>
              <w:t>/api/v1/tournaments/{id}/schedule</w:t>
            </w:r>
          </w:p>
        </w:tc>
        <w:tc>
          <w:tcPr>
            <w:tcW w:type="dxa" w:w="3255"/>
          </w:tcPr>
          <w:p>
            <w:r>
              <w:t>GET</w:t>
            </w:r>
          </w:p>
        </w:tc>
        <w:tc>
          <w:tcPr>
            <w:tcW w:type="dxa" w:w="3255"/>
          </w:tcPr>
          <w:p>
            <w:r>
              <w:t>Published schedule plus revision</w:t>
            </w:r>
          </w:p>
        </w:tc>
      </w:tr>
      <w:tr>
        <w:tc>
          <w:tcPr>
            <w:tcW w:type="dxa" w:w="3255"/>
          </w:tcPr>
          <w:p>
            <w:r>
              <w:t>/api/v1/tournaments/{id}/schedule/drafts</w:t>
            </w:r>
          </w:p>
        </w:tc>
        <w:tc>
          <w:tcPr>
            <w:tcW w:type="dxa" w:w="3255"/>
          </w:tcPr>
          <w:p>
            <w:r>
              <w:t>POST</w:t>
            </w:r>
          </w:p>
        </w:tc>
        <w:tc>
          <w:tcPr>
            <w:tcW w:type="dxa" w:w="3255"/>
          </w:tcPr>
          <w:p>
            <w:r>
              <w:t>Request solver proposal; admin only</w:t>
            </w:r>
          </w:p>
        </w:tc>
      </w:tr>
      <w:tr>
        <w:tc>
          <w:tcPr>
            <w:tcW w:type="dxa" w:w="3255"/>
          </w:tcPr>
          <w:p>
            <w:r>
              <w:t>/api/v1/tournaments/{id}/schedule/publish</w:t>
            </w:r>
          </w:p>
        </w:tc>
        <w:tc>
          <w:tcPr>
            <w:tcW w:type="dxa" w:w="3255"/>
          </w:tcPr>
          <w:p>
            <w:r>
              <w:t>POST</w:t>
            </w:r>
          </w:p>
        </w:tc>
        <w:tc>
          <w:tcPr>
            <w:tcW w:type="dxa" w:w="3255"/>
          </w:tcPr>
          <w:p>
            <w:r>
              <w:t>Validate and publish revision with ETag</w:t>
            </w:r>
          </w:p>
        </w:tc>
      </w:tr>
      <w:tr>
        <w:tc>
          <w:tcPr>
            <w:tcW w:type="dxa" w:w="3255"/>
          </w:tcPr>
          <w:p>
            <w:r>
              <w:t>/api/v1/games/{id}/events</w:t>
            </w:r>
          </w:p>
        </w:tc>
        <w:tc>
          <w:tcPr>
            <w:tcW w:type="dxa" w:w="3255"/>
          </w:tcPr>
          <w:p>
            <w:r>
              <w:t>GET</w:t>
            </w:r>
          </w:p>
        </w:tc>
        <w:tc>
          <w:tcPr>
            <w:tcW w:type="dxa" w:w="3255"/>
          </w:tcPr>
          <w:p>
            <w:r>
              <w:t>Read-only canonical event feed</w:t>
            </w:r>
          </w:p>
        </w:tc>
      </w:tr>
      <w:tr>
        <w:tc>
          <w:tcPr>
            <w:tcW w:type="dxa" w:w="3255"/>
          </w:tcPr>
          <w:p>
            <w:r>
              <w:t>/api/v1/games/{id}/certifications</w:t>
            </w:r>
          </w:p>
        </w:tc>
        <w:tc>
          <w:tcPr>
            <w:tcW w:type="dxa" w:w="3255"/>
          </w:tcPr>
          <w:p>
            <w:r>
              <w:t>POST</w:t>
            </w:r>
          </w:p>
        </w:tc>
        <w:tc>
          <w:tcPr>
            <w:tcW w:type="dxa" w:w="3255"/>
          </w:tcPr>
          <w:p>
            <w:r>
              <w:t>Official confirmation, authorization and signatures</w:t>
            </w:r>
          </w:p>
        </w:tc>
      </w:tr>
      <w:tr>
        <w:tc>
          <w:tcPr>
            <w:tcW w:type="dxa" w:w="3255"/>
          </w:tcPr>
          <w:p>
            <w:r>
              <w:t>/api/v1/sync/batches</w:t>
            </w:r>
          </w:p>
        </w:tc>
        <w:tc>
          <w:tcPr>
            <w:tcW w:type="dxa" w:w="3255"/>
          </w:tcPr>
          <w:p>
            <w:r>
              <w:t>POST</w:t>
            </w:r>
          </w:p>
        </w:tc>
        <w:tc>
          <w:tcPr>
            <w:tcW w:type="dxa" w:w="3255"/>
          </w:tcPr>
          <w:p>
            <w:r>
              <w:t>Durable idempotent game-event upload</w:t>
            </w:r>
          </w:p>
        </w:tc>
      </w:tr>
      <w:tr>
        <w:tc>
          <w:tcPr>
            <w:tcW w:type="dxa" w:w="3255"/>
          </w:tcPr>
          <w:p>
            <w:r>
              <w:t>/api/v1/sync/changes</w:t>
            </w:r>
          </w:p>
        </w:tc>
        <w:tc>
          <w:tcPr>
            <w:tcW w:type="dxa" w:w="3255"/>
          </w:tcPr>
          <w:p>
            <w:r>
              <w:t>GET</w:t>
            </w:r>
          </w:p>
        </w:tc>
        <w:tc>
          <w:tcPr>
            <w:tcW w:type="dxa" w:w="3255"/>
          </w:tcPr>
          <w:p>
            <w:r>
              <w:t>Delta download for offline clients</w:t>
            </w:r>
          </w:p>
        </w:tc>
      </w:tr>
      <w:tr>
        <w:tc>
          <w:tcPr>
            <w:tcW w:type="dxa" w:w="3255"/>
          </w:tcPr>
          <w:p>
            <w:r>
              <w:t>/api/v1/organizations/{id}/exports</w:t>
            </w:r>
          </w:p>
        </w:tc>
        <w:tc>
          <w:tcPr>
            <w:tcW w:type="dxa" w:w="3255"/>
          </w:tcPr>
          <w:p>
            <w:r>
              <w:t>POST/GET</w:t>
            </w:r>
          </w:p>
        </w:tc>
        <w:tc>
          <w:tcPr>
            <w:tcW w:type="dxa" w:w="3255"/>
          </w:tcPr>
          <w:p>
            <w:r>
              <w:t>Portable archive with schema manifest</w:t>
            </w:r>
          </w:p>
        </w:tc>
      </w:tr>
    </w:tbl>
    <w:p/>
    <w:p>
      <w:r>
        <w:t>All mutation operations require role permission, organization scope, optimistic concurrency via ETag or expectedVersion, CSRF protection where cookies are used, audit log, structured error codes, and OpenAPI documentation. Public results use read-optimized projections; SignalR is a best-effort notification channel, not a persistence path.</w:t>
      </w:r>
    </w:p>
    <w:p>
      <w:pPr>
        <w:pStyle w:val="Heading1"/>
      </w:pPr>
      <w:r>
        <w:t>8. Tournament scheduling engine specification</w:t>
      </w:r>
    </w:p>
    <w:p>
      <w:r>
        <w:t>Solver input: immutable ScheduleProblem {tournamentRevision, gameRequirements[], sheets[], availabilityWindows[], teamAvailability[], travelMatrixMinutes, officials[], restMinutesByDivision, resurfacingMinutesBySheet, lockedAssignments[], bracketDependencies[], objectiveWeights}. Candidate slot variables represent eligible (sheet,start) placements for each game. Hard constraint groups are tagged with human-readable diagnostic codes.</w:t>
      </w:r>
    </w:p>
    <w:p>
      <w:r>
        <w:t>CP-SAT creates exactly one placement for each must-schedule game; prohibits disallowed overlap by team, sheet, official and travel/rest window. Fixed game assignments remain fixed. Bracket-dependent future games are represented using placeholders and dependency time constraints. Variable start times are discrete (default 5-minute grid configurable). The solver limits wall time and records seed, version, gap and constraint weights for reproducibility.</w:t>
      </w:r>
    </w:p>
    <w:p>
      <w:r>
        <w:t>Outputs: SolvedSchedule {scheduleDraftId, problemHash, solverVersion, status, assignments, unscheduledGames, objectiveSummary, warnings, diagnostics}. Status values OPTIMAL, FEASIBLE, INFEASIBLE, TIME_LIMIT, ERROR. FEASIBLE requires explicit operator acceptance; INFEASIBLE may not be published. Publication uses expected schedule revision and creates audit events and notifications.</w:t>
      </w:r>
    </w:p>
    <w:p>
      <w:pPr>
        <w:pStyle w:val="Heading1"/>
      </w:pPr>
      <w:r>
        <w:t>9. League and statistics projection</w:t>
      </w:r>
    </w:p>
    <w:p>
      <w:r>
        <w:t>Scoresheet projection is immutable-input/rebuildable-output. Derived standings and leaderboards must store projectorVersion and sourceEventSequence; on corrections invalidate relevant projections and recompute. Division-specific standings/tiebreakers are configured via rulesets and require pre-publication approval. A score marked local-final is distinct from certified final and standings-eligible.</w:t>
      </w:r>
    </w:p>
    <w:p>
      <w:pPr>
        <w:pStyle w:val="Heading1"/>
      </w:pPr>
      <w:r>
        <w:t>10. Security architecture</w:t>
      </w:r>
    </w:p>
    <w:p>
      <w:r>
        <w:t>Local scorer auth permits pre-provisioned offline identities with limited scope and expiration; token secrets encrypted using OS facilities, with a server-side revocation workflow applied on reconnect. Device enrollments, lost-device revocation, and reassignment are auditable. Hosted auth uses strong password policy and MFA for privileged users; TLS enforced. Never log bearer tokens, private contact data or secrets. Publish a retention and deletion policy per organization, with explicit limits for minors.</w:t>
      </w:r>
    </w:p>
    <w:p>
      <w:pPr>
        <w:pStyle w:val="Heading1"/>
      </w:pPr>
      <w:r>
        <w:t>11. Hardware adapters and clock-source authority</w:t>
      </w:r>
    </w:p>
    <w:p>
      <w:r>
        <w:t>IClockSource exposes GetSnapshotAsync, Health, SourceIdentity, authority/read-only mode, and monotonic sample metadata. IScoreboardSink consumes committed GameSnapshot, returns Accepted/Transmitted/Confirmed statuses, and reports backpressure. An adapter cannot claim write support until a verified protocol/firmware matrix, watchdog behavior, real-device testing and operator override are complete.</w:t>
      </w:r>
    </w:p>
    <w:p>
      <w:r>
        <w:t>Camera OCR produces Observation {frameMonotonic, extractedClockMs, extractedScore, confidence, staleAfterMs, calibrationId}; observations are never official writes. Reconciliation policy handles OCR lag, skipped digits, pauses and score corrections, with explicit operator confirmation for changes to game clock authority.</w:t>
      </w:r>
    </w:p>
    <w:p>
      <w:pPr>
        <w:pStyle w:val="Heading1"/>
      </w:pPr>
      <w:r>
        <w:t>12. Deployment topology</w:t>
      </w:r>
    </w:p>
    <w:p>
      <w:r>
        <w:t>Minimum reference VPS: Linux + reverse proxy Caddy + ASP.NET Core API + PostgreSQL + encrypted daily offsite backups. Health probes distinguish readiness and liveness; graceful migrations require pre-migration backup, idempotent versioning and tested rollback path. Database migration must not silently rewrite historical event data. Prefer one VPS for pilot, separate database and API when scale or availability demands.</w:t>
      </w:r>
    </w:p>
    <w:p>
      <w:pPr>
        <w:pStyle w:val="Heading1"/>
      </w:pPr>
      <w:r>
        <w:t>13. Open questions requiring signed decisions</w:t>
      </w:r>
    </w:p>
    <w:p>
      <w:pPr>
        <w:pStyle w:val="ListBullet"/>
      </w:pPr>
      <w:r>
        <w:t>Official rulesets per competition and their edge-case fixtures; no universal hockey penalty algorithm can substitute for rulebook-specific interpretation.</w:t>
      </w:r>
    </w:p>
    <w:p>
      <w:pPr>
        <w:pStyle w:val="ListBullet"/>
      </w:pPr>
      <w:r>
        <w:t>Exact timekeeper correction permissions, signature requirements, and finalization/dispute workflow.</w:t>
      </w:r>
    </w:p>
    <w:p>
      <w:pPr>
        <w:pStyle w:val="ListBullet"/>
      </w:pPr>
      <w:r>
        <w:t>Offline identity enrollment lifetime, youth visibility policy and region-specific data retention.</w:t>
      </w:r>
    </w:p>
    <w:p>
      <w:pPr>
        <w:pStyle w:val="ListBullet"/>
      </w:pPr>
      <w:r>
        <w:t>Target arena hardware protocols, firmware matrices, isolation requirements and certification.</w:t>
      </w:r>
    </w:p>
    <w:p>
      <w:pPr>
        <w:pStyle w:val="ListBullet"/>
      </w:pPr>
      <w:r>
        <w:t>Paid hosted-service SLA, support staffing, backup RPO/RTO and data residency obligations.</w:t>
      </w:r>
    </w:p>
    <w:sectPr w:rsidR="00FC693F" w:rsidRPr="0006063C" w:rsidSect="00034616">
      <w:footerReference w:type="default" r:id="rId9"/>
      <w:pgSz w:w="12240" w:h="15840"/>
      <w:pgMar w:top="1037" w:right="1238" w:bottom="936"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ICEBREAKER  •  Engineering specification  •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B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