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TU NOMBRE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“TU ROL”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6.999999999999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68"/>
              <w:gridCol w:w="2131"/>
              <w:gridCol w:w="1699"/>
              <w:gridCol w:w="1699"/>
              <w:tblGridChange w:id="0">
                <w:tblGrid>
                  <w:gridCol w:w="1268"/>
                  <w:gridCol w:w="2131"/>
                  <w:gridCol w:w="1699"/>
                  <w:gridCol w:w="1699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>
                  <w:tcBorders>
                    <w:top w:color="3d444d" w:space="0" w:sz="6" w:val="single"/>
                    <w:left w:color="3d444d" w:space="0" w:sz="6" w:val="single"/>
                    <w:bottom w:color="3d444d" w:space="0" w:sz="6" w:val="single"/>
                    <w:right w:color="3d444d" w:space="0" w:sz="6" w:val="single"/>
                  </w:tcBorders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Modelado de entidades y DTOs base (Técnico, Operador, Cuenta genérica)</w:t>
                  </w:r>
                </w:p>
              </w:tc>
              <w:tc>
                <w:tcPr>
                  <w:tcBorders>
                    <w:top w:color="3d444d" w:space="0" w:sz="6" w:val="single"/>
                    <w:left w:color="3d444d" w:space="0" w:sz="6" w:val="single"/>
                    <w:bottom w:color="3d444d" w:space="0" w:sz="6" w:val="single"/>
                    <w:right w:color="3d444d" w:space="0" w:sz="6" w:val="single"/>
                  </w:tcBorders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Creación de clases del dominio y sus Data Transfer Objects para la capa de exposición y servicios.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Sebastian: Cumplio lo que se le asigno en esta HU.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Completó el frontend correctamente, las validaciones funcionan bien.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Buen trabajo en la UI, responsive y funcional.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Enzo Ordoñez: Colaboró en la integración con backend sin problemas.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Excelente manejo de estados y navegación.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p3lBoGewOUo7kGKb16BzE2//Q==">CgMxLjA4AHIhMW5aTG1NT295dC1mNDhNYUtXbmdsbXRUSFk5aTFXak41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