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120"/>
        <w:jc w:val="center"/>
      </w:pPr>
      <w:r>
        <w:rPr>
          <w:rFonts w:ascii="Arial" w:cs="Arial" w:eastAsia="Arial" w:hAnsi="Arial"/>
          <w:color w:val="666666"/>
          <w:sz w:val="28"/>
          <w:szCs w:val="28"/>
        </w:rPr>
        <w:t xml:space="preserve">NoUI Platform</w:t>
      </w:r>
    </w:p>
    <w:p>
      <w:pPr>
        <w:spacing w:after="80"/>
        <w:jc w:val="center"/>
      </w:pPr>
      <w:r>
        <w:rPr>
          <w:rFonts w:ascii="Arial" w:cs="Arial" w:eastAsia="Arial" w:hAnsi="Arial"/>
          <w:b/>
          <w:bCs/>
          <w:color w:val="1A5276"/>
          <w:sz w:val="48"/>
          <w:szCs w:val="48"/>
        </w:rPr>
        <w:t xml:space="preserve">Member Self-Service Portal</w:t>
      </w:r>
    </w:p>
    <w:p>
      <w:pPr>
        <w:spacing w:after="80"/>
        <w:jc w:val="center"/>
      </w:pPr>
      <w:r>
        <w:rPr>
          <w:rFonts w:ascii="Arial" w:cs="Arial" w:eastAsia="Arial" w:hAnsi="Arial"/>
          <w:b/>
          <w:bCs/>
          <w:color w:val="1A5276"/>
          <w:sz w:val="36"/>
          <w:szCs w:val="36"/>
        </w:rPr>
        <w:t xml:space="preserve">&amp; Application Lifecycle Architecture</w:t>
      </w:r>
    </w:p>
    <w:p>
      <w:pPr>
        <w:spacing w:after="0"/>
      </w:pPr>
    </w:p>
    <w:p>
      <w:pPr>
        <w:spacing w:after="80"/>
        <w:jc w:val="center"/>
      </w:pPr>
      <w:r>
        <w:rPr>
          <w:rFonts w:ascii="Arial" w:cs="Arial" w:eastAsia="Arial" w:hAnsi="Arial"/>
          <w:color w:val="333333"/>
          <w:sz w:val="26"/>
          <w:szCs w:val="26"/>
        </w:rPr>
        <w:t xml:space="preserve">DERP Proof of Concept</w:t>
      </w:r>
    </w:p>
    <w:p>
      <w:pPr>
        <w:spacing w:after="200"/>
        <w:jc w:val="center"/>
      </w:pPr>
      <w:r>
        <w:rPr>
          <w:rFonts w:ascii="Arial" w:cs="Arial" w:eastAsia="Arial" w:hAnsi="Arial"/>
          <w:color w:val="666666"/>
          <w:sz w:val="24"/>
          <w:szCs w:val="24"/>
        </w:rPr>
        <w:t xml:space="preserve">February 2026</w:t>
      </w:r>
    </w:p>
    <w:p>
      <w:pPr>
        <w:spacing w:after="0"/>
      </w:pPr>
    </w:p>
    <w:p>
      <w:pPr>
        <w:spacing w:after="80"/>
        <w:jc w:val="center"/>
      </w:pPr>
      <w:r>
        <w:rPr>
          <w:rFonts w:ascii="Arial" w:cs="Arial" w:eastAsia="Arial" w:hAnsi="Arial"/>
          <w:i/>
          <w:iCs/>
          <w:color w:val="999999"/>
          <w:sz w:val="22"/>
          <w:szCs w:val="22"/>
        </w:rPr>
        <w:t xml:space="preserve">DRAFT — Working Architecture Document</w:t>
      </w:r>
    </w:p>
    <w:p>
      <w:r>
        <w:br w:type="page"/>
      </w:r>
    </w:p>
    <w:p>
      <w:pPr>
        <w:sectPr>
          <w:pgSz w:w="12240" w:h="15840" w:orient="portrait"/>
          <w:pgMar w:top="1440" w:right="1440" w:bottom="1440" w:left="1440" w:header="708" w:footer="708" w:gutter="0"/>
          <w:pgNumType/>
          <w:docGrid w:linePitch="360"/>
        </w:sectPr>
      </w:pPr>
    </w:p>
    <w:p>
      <w:pPr>
        <w:pStyle w:val="Heading1"/>
        <w:spacing w:before="360" w:after="120"/>
      </w:pPr>
      <w:r>
        <w:t xml:space="preserve">1. Purpose and Demo Narrative Impact</w:t>
      </w:r>
    </w:p>
    <w:p>
      <w:pPr>
        <w:spacing w:after="120"/>
      </w:pPr>
      <w:r>
        <w:t xml:space="preserve">The current POC design demonstrates NoUI’s capabilities starting from a pre-populated work queue. A benefits analyst claims a work item and the system assembles the right workspace. This is powerful, but it begins the story in the middle. The audience must accept on faith that the work item </w:t>
      </w:r>
      <w:r>
        <w:rPr>
          <w:i/>
          <w:iCs/>
        </w:rPr>
        <w:t xml:space="preserve">arrived somehow</w:t>
      </w:r>
      <w:r>
        <w:t xml:space="preserve">.</w:t>
      </w:r>
    </w:p>
    <w:p>
      <w:pPr>
        <w:spacing w:after="120"/>
      </w:pPr>
      <w:r>
        <w:t xml:space="preserve">This document extends the POC to show the complete lifecycle: a member initiates retirement through a self-service portal, the system validates and routes the application into the staff work queue, the analyst processes it with full transparency into the member’s digital submission, and the member sees real-time progress. Every step writes to and reads from the database. Nothing is pre-populated or simulated.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b/>
                <w:bCs/>
                <w:color w:val="1A5276"/>
                <w:sz w:val="22"/>
                <w:szCs w:val="22"/>
              </w:rPr>
              <w:t xml:space="preserve">The New Demo Narrative</w:t>
            </w:r>
          </w:p>
          <w:p>
            <w:pPr>
              <w:spacing w:after="0"/>
            </w:pPr>
            <w:r>
              <w:rPr>
                <w:i/>
                <w:iCs/>
                <w:sz w:val="20"/>
                <w:szCs w:val="20"/>
              </w:rPr>
              <w:t xml:space="preserve">"Watch what happens when Robert Martinez decides to retire. He logs into the member portal, sees his information pre-populated, completes his application, and submits. Now switch to the analyst view — there’s the work item in the queue, with everything Robert submitted already structured and validated. The analyst verifies, calculates, and approves. Switch back to Robert’s view — he can see exactly where his application is in the process. No phone calls. No wondering. Complete transparency in both directions."</w:t>
            </w:r>
          </w:p>
        </w:tc>
      </w:tr>
    </w:tbl>
    <w:p>
      <w:pPr>
        <w:spacing w:after="120"/>
      </w:pPr>
      <w:r>
        <w:t xml:space="preserve">This transforms the POC from a demonstration of internal tooling into a demonstration of end-to-end digital pension administration.</w:t>
      </w:r>
    </w:p>
    <w:p>
      <w:pPr>
        <w:pStyle w:val="Heading2"/>
        <w:spacing w:before="240" w:after="120"/>
      </w:pPr>
      <w:r>
        <w:t xml:space="preserve">1.1 Relationship to Existing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
              <w:bottom w:val="single" w:color="2E75B6" w:sz="1"/>
              <w:right w:val="single" w:color="2E75B6" w:sz="1"/>
            </w:tcBorders>
            <w:shd w:fill="E8F0FE" w:val="clear"/>
            <w:tcMar>
              <w:top w:type="dxa" w:w="120"/>
              <w:left w:type="dxa" w:w="200"/>
              <w:bottom w:type="dxa" w:w="120"/>
              <w:right w:type="dxa" w:w="200"/>
            </w:tcMar>
          </w:tcPr>
          <w:p>
            <w:pPr>
              <w:spacing w:after="80"/>
            </w:pPr>
            <w:r>
              <w:rPr>
                <w:b/>
                <w:bCs/>
                <w:color w:val="1A5276"/>
                <w:sz w:val="22"/>
                <w:szCs w:val="22"/>
              </w:rPr>
              <w:t xml:space="preserve">Architectural Relationship</w:t>
            </w:r>
          </w:p>
          <w:p>
            <w:pPr>
              <w:spacing w:after="0"/>
            </w:pPr>
            <w:r>
              <w:rPr>
                <w:i/>
                <w:iCs/>
                <w:sz w:val="20"/>
                <w:szCs w:val="20"/>
              </w:rPr>
              <w:t xml:space="preserve">This document extends the Dynamic Workspace UX Architecture, the Roles &amp; Workspace Architecture, the Service Retirement Process Definition, and the Member Context Hub POC Scope. It does not replace any of them. The member portal is a new entry point into the same composition engine, the same rules engine, the same data layer. What is new: a member-facing interface, a digital application pipeline, a bidirectional status model, and the database mutations to support all three.</w:t>
            </w:r>
          </w:p>
        </w:tc>
      </w:tr>
    </w:tbl>
    <w:p>
      <w:pPr>
        <w:pStyle w:val="Heading1"/>
        <w:spacing w:before="360" w:after="120"/>
      </w:pPr>
      <w:r>
        <w:t xml:space="preserve">2. POC Scope Boundaries</w:t>
      </w:r>
    </w:p>
    <w:p>
      <w:pPr>
        <w:pStyle w:val="Heading2"/>
        <w:spacing w:before="240" w:after="120"/>
      </w:pPr>
      <w:r>
        <w:t xml:space="preserve">2.1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6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 retirement application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completes the equivalent of DERP’s 4-page Retirement Application through a guided digital form. Parts A, B, C, and G are fully functional. Parts D, E, F, H are present but simplified.</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Smart pre-population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System pre-fills member information from MEMBER_MASTER, beneficiary data from BENEFICIARY table, employment dates from EMPLOYMENT_HIST. Member confirms or corrects.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Application-to-work-item pipeline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Submitted application creates a real CASE_HIST record, an APPLICATION_SUBMISSION record, TRANSACTION_LOG entries, and routes to the analyst queue.</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Bidirectional status tracking</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portal shows application progress through defined stages. Staff actions advance the stage. Both views read from the same CASE_HIST record.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workspace integration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Analyst’s task workspace displays the digital submission as structured data alongside the calculated benefits. Staff can flag items needing member action.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communication</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 can post status messages visible to the member. Member can respond. Messages stored in APPLICATION_MESSAGES table.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checklist tracking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 tracks which required documents have been submitted. Checklist is visible to both member and analyst.</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Database interactions</w:t>
            </w:r>
          </w:p>
        </w:tc>
        <w:tc>
          <w:tcPr>
            <w:tcW w:type="dxa" w:w="6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All operations perform real INSERT/UPDATE against PostgreSQL. No mocked data flows.</w:t>
            </w:r>
          </w:p>
        </w:tc>
      </w:tr>
    </w:tbl>
    <w:p>
      <w:pPr>
        <w:pStyle w:val="Heading2"/>
        <w:spacing w:before="240" w:after="120"/>
      </w:pPr>
      <w:r>
        <w:t xml:space="preserve">2.2 Out of Scope (Post-POC)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6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Benefit estimator in portal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Exists in current MyDERP; not the point of this demo</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 upload/OCR</w:t>
            </w:r>
          </w:p>
        </w:tc>
        <w:tc>
          <w:tcPr>
            <w:tcW w:type="dxa" w:w="6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Physical documents (birth certificates, etc.) still require in-person or mail submission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E-signature / e-notarization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DERP requires physical notarization per current policy; cannot be digitized in POC</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Address/contact self-service</w:t>
            </w:r>
          </w:p>
        </w:tc>
        <w:tc>
          <w:tcPr>
            <w:tcW w:type="dxa" w:w="6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Standard portal feature, not architecturally interesting for demo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history / 1099-R access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Retiree portal feature, not applicable to pre-retirement demo</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Real authentication provider</w:t>
            </w:r>
          </w:p>
        </w:tc>
        <w:tc>
          <w:tcPr>
            <w:tcW w:type="dxa" w:w="6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POC uses simulated auth with demo member accounts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Spousal consent digital workflow</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notarization; portal can inform but not collect</w:t>
            </w:r>
          </w:p>
        </w:tc>
      </w:tr>
    </w:tbl>
    <w:p>
      <w:pPr>
        <w:pStyle w:val="Heading2"/>
        <w:spacing w:before="240" w:after="120"/>
      </w:pPr>
      <w:r>
        <w:t xml:space="preserve">2.3 Key Design Decision: Notarization Boundary</w:t>
      </w:r>
    </w:p>
    <w:p>
      <w:pPr>
        <w:spacing w:after="120"/>
      </w:pPr>
      <w:r>
        <w:t xml:space="preserve">DERP’s retirement application </w:t>
      </w:r>
      <w:r>
        <w:rPr>
          <w:b/>
          <w:bCs/>
        </w:rPr>
        <w:t xml:space="preserve">must be notarized</w:t>
      </w:r>
      <w:r>
        <w:t xml:space="preserve">. This creates a deliberate boundary in the digital workflow. The member portal allows the member to complete all elections digitally, review and confirm their choices, and generate a pre-filled PDF of the official application. The member then prints, signs before a notary, and submits the notarized copy. Once DERP staff receives the notarized document, they confirm it in the system, which advances the application from </w:t>
      </w:r>
      <w:r>
        <w:rPr>
          <w:b/>
          <w:bCs/>
        </w:rPr>
        <w:t xml:space="preserve">SUBMITTED_DIGITAL</w:t>
      </w:r>
      <w:r>
        <w:t xml:space="preserve"> to </w:t>
      </w:r>
      <w:r>
        <w:rPr>
          <w:b/>
          <w:bCs/>
        </w:rPr>
        <w:t xml:space="preserve">NOTARIZED_RECEIVED</w:t>
      </w:r>
      <w:r>
        <w:t xml:space="preserve"> status.</w:t>
      </w:r>
    </w:p>
    <w:p>
      <w:pPr>
        <w:spacing w:after="120"/>
      </w:pPr>
      <w:r>
        <w:t xml:space="preserve">For the POC demo, we simulate this step with a single button click by the analyst (“Confirm notarized application received”). The architectural point is that the system models this real-world constraint rather than pretending it doesn’t exist.</w:t>
      </w:r>
    </w:p>
    <w:p>
      <w:pPr>
        <w:pStyle w:val="Heading1"/>
        <w:spacing w:before="360" w:after="120"/>
      </w:pPr>
      <w:r>
        <w:t xml:space="preserve">3. Retirement Application Form Mapping</w:t>
      </w:r>
    </w:p>
    <w:p>
      <w:pPr>
        <w:spacing w:after="120"/>
      </w:pPr>
      <w:r>
        <w:t xml:space="preserve">The DERP Retirement Application is a 4-page paper form with 9 parts (A through I). Each part maps to a specific step in the digital portal experience and specific database fields. This section provides the complete mapping.</w:t>
      </w:r>
    </w:p>
    <w:p>
      <w:pPr>
        <w:pStyle w:val="Heading2"/>
        <w:spacing w:before="240" w:after="120"/>
      </w:pPr>
      <w:r>
        <w:t xml:space="preserve">3.1 Part A: Member Information</w:t>
      </w:r>
    </w:p>
    <w:p>
      <w:pPr>
        <w:spacing w:after="120"/>
      </w:pPr>
      <w:r>
        <w:rPr>
          <w:b/>
          <w:bCs/>
        </w:rPr>
        <w:t xml:space="preserve">Digital Experience: </w:t>
      </w:r>
      <w:r>
        <w:t xml:space="preserve">Pre-populated from MEMBER_MASTER. Member reviews and confirms or requests correction. Corrections are flagged for staff review rather than directly modifying the legacy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600"/>
        <w:gridCol w:w="19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Form Field</w:t>
            </w:r>
          </w:p>
        </w:tc>
        <w:tc>
          <w:tcPr>
            <w:tcW w:type="dxa" w:w="3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 Table.Column</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Pre-populated?</w:t>
            </w:r>
          </w:p>
        </w:tc>
        <w:tc>
          <w:tcPr>
            <w:tcW w:type="dxa" w:w="1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Member Editable?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Name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MEMBER_MASTER.FIRST_NM, MIDDLE_NM, LAST_NM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correction only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DERP ID</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MEMBER_MASTER.MBR_ID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 (display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 of Birth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MEMBER_MASTER.DOB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Request correction only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Gender</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MEMBER_MASTER.GENDER_CD</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Request correction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Social Security Number</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MEMBER_MASTER.SSN (masked)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 (last 4 only)</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Effective Date of Retirement</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Calculated suggestion</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Suggested</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 (constrained)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Retirement Type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Auto-determined from rules engine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(computed)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Residence Address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MEMBER_MASTER.ADDR_LINE1, CITY, etc.</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Mailing Address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or separate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Phone Numbers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MEMBER_MASTER.HOME_PHONE, CELL_PHONE</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Address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MEMBER_MASTER.EMAIL_ADDR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Marital Status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MEMBER_MASTER.MARITAL_STATUS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 (certification)</w:t>
            </w:r>
          </w:p>
        </w:tc>
      </w:tr>
    </w:tbl>
    <w:p>
      <w:pPr>
        <w:spacing w:after="120"/>
      </w:pPr>
      <w:r>
        <w:rPr>
          <w:b/>
          <w:bCs/>
        </w:rPr>
        <w:t xml:space="preserve">Nuance — Effective Date of Retirement: </w:t>
      </w:r>
      <w:r>
        <w:t xml:space="preserve">The system suggests the first day of the month following the member’s stated last day of work, per DERP rules. The portal explains that the benefit is effective the first of the month after separation and that separating at month-end maximizes service credit. This is an early demonstration of NoUI’s rules intelligence surfacing at the member level.</w:t>
      </w:r>
    </w:p>
    <w:p>
      <w:pPr>
        <w:spacing w:after="120"/>
      </w:pPr>
      <w:r>
        <w:rPr>
          <w:b/>
          <w:bCs/>
        </w:rPr>
        <w:t xml:space="preserve">Nuance — Marital Status Certification: </w:t>
      </w:r>
      <w:r>
        <w:t xml:space="preserve">The paper form requires the member to affirm “I am married” or “I am not married.” This is a legal certification that may differ from what’s on file. The digital form captures this as an explicit affirmation that writes to the APPLICATION_SUBMISSION record, not directly to MEMBER_MASTER. If the certification differs from the system record, a flag is raised for staff review.</w:t>
      </w:r>
    </w:p>
    <w:p>
      <w:pPr>
        <w:pStyle w:val="Heading2"/>
        <w:spacing w:before="240" w:after="120"/>
      </w:pPr>
      <w:r>
        <w:t xml:space="preserve">3.2 Part B: Retirement Benefit Option Election</w:t>
      </w:r>
    </w:p>
    <w:p>
      <w:pPr>
        <w:spacing w:after="120"/>
      </w:pPr>
      <w:r>
        <w:rPr>
          <w:b/>
          <w:bCs/>
        </w:rPr>
        <w:t xml:space="preserve">Digital Experience: </w:t>
      </w:r>
      <w:r>
        <w:t xml:space="preserve">The most consequential section. The portal presents this as an interactive decision tool, not a form. The system calculates all four payment option amounts in real time (using the rules engine and the member’s actual salary/service data) and displays them side-by-side with clear explanations of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Election</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Database Field</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Validation Rules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1: Maximum Benefit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APP_PAYMENT_OPTION = 'MAX'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married, triggers spousal consent requirement flag</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Type 2, Option 1: 100% J&amp;S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APP_PAYMENT_OPTION = 'JS100'</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Requires beneficiary designation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2, Option 2: 75% J&amp;S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APP_PAYMENT_OPTION = 'JS075'</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beneficiary designation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Type 2, Option 3: 50% J&amp;S</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APP_PAYMENT_OPTION = 'JS050'</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Requires beneficiary designation; minimum for married without consent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Beneficiary Name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APP_BENE_NAME, APP_BENE_SSN, etc.</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for all J&amp;S options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Beneficiary Relationship</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APP_BENE_RELATIONSHIP</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Required for all J&amp;S options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Beneficiary DOB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APP_BENE_DOB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(affects actuarial calculation)</w:t>
            </w:r>
          </w:p>
        </w:tc>
      </w:tr>
    </w:tbl>
    <w:p>
      <w:pPr>
        <w:spacing w:after="120"/>
      </w:pPr>
      <w:r>
        <w:rPr>
          <w:b/>
          <w:bCs/>
        </w:rPr>
        <w:t xml:space="preserve">Nuance — Irrevocability Warning: </w:t>
      </w:r>
      <w:r>
        <w:t xml:space="preserve">The paper form states in bold: “once retirement benefits begin, neither the selected benefit option, nor the designated beneficiary, can ever be changed.” The digital form must present this prominently with an explicit acknowledgment checkbox before the member can proceed. This acknowledgment is timestamped in APPLICATION_SUBMISSION.IRREVOCABILITY_ACK_TS.</w:t>
      </w:r>
    </w:p>
    <w:p>
      <w:pPr>
        <w:spacing w:after="120"/>
      </w:pPr>
      <w:r>
        <w:rPr>
          <w:b/>
          <w:bCs/>
        </w:rPr>
        <w:t xml:space="preserve">Nuance — Spousal Consent Logic: </w:t>
      </w:r>
      <w:r>
        <w:t xml:space="preserve">If the member certifies they are married (Part A) and selects either Maximum benefit OR a J&amp;S option naming someone other than their spouse, the system immediately flags that a Spousal Consent at Retirement form will be required. The portal displays this requirement clearly and generates a pre-filled Spousal Consent form for the member to print and have their spouse sign before a notary. The Spousal Consent form cannot be signed more than 90 days before first payment per DERP rules.</w:t>
      </w:r>
    </w:p>
    <w:p>
      <w:pPr>
        <w:spacing w:after="120"/>
      </w:pPr>
      <w:r>
        <w:rPr>
          <w:b/>
          <w:bCs/>
        </w:rPr>
        <w:t xml:space="preserve">Nuance — Beneficiary Predeceases Member: </w:t>
      </w:r>
      <w:r>
        <w:t xml:space="preserve">The application states that if the J&amp;S beneficiary dies before the member, the benefit increases to the Maximum amount and no new beneficiary can be selected. The portal includes this disclosure during beneficiary designation.</w:t>
      </w:r>
    </w:p>
    <w:p>
      <w:pPr>
        <w:pStyle w:val="Heading2"/>
        <w:spacing w:before="240" w:after="120"/>
      </w:pPr>
      <w:r>
        <w:t xml:space="preserve">3.3 Part C: Lump-Sum Death Benefit Election</w:t>
      </w:r>
    </w:p>
    <w:p>
      <w:pPr>
        <w:spacing w:after="120"/>
      </w:pPr>
      <w:r>
        <w:rPr>
          <w:b/>
          <w:bCs/>
        </w:rPr>
        <w:t xml:space="preserve">Digital Experience: </w:t>
      </w:r>
      <w:r>
        <w:t xml:space="preserve">Conditional section that adapts based on the member’s retirement type. The system knows the retirement type from the eligibility determination and pre-selects the appropriate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Retirement Type</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Death Benefit Amount</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Portal Behavior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 Rule of 75/85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amount, offer 50 or 100 installment election</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Early Retirement, Tier 1/2</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$5,000 minus $250/yr under 65</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Calculate and show actual amount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Retirement, Tier 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$5,000 minus $500/yr under 65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 and show actual amount</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Disability (pre-65)</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150% of AMS, max $50,000</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Out of scope for POC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Deferred Retirement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eligible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Section hidden entirely</w:t>
            </w:r>
          </w:p>
        </w:tc>
      </w:tr>
    </w:tbl>
    <w:p>
      <w:pPr>
        <w:spacing w:after="120"/>
      </w:pPr>
      <w:r>
        <w:rPr>
          <w:b/>
          <w:bCs/>
        </w:rPr>
        <w:t xml:space="preserve">Database Fields: </w:t>
      </w:r>
      <w:r>
        <w:t xml:space="preserve">APP_DEATH_BENEFIT_AMT (calculated), APP_DEATH_BENEFIT_ELECTION (‘DRAW_50’, ‘DRAW_100’, ‘NO_DRAW’), APP_DEATH_BENE_NAME, APP_DEATH_BENE_SSN, APP_DEATH_BENE_RELATIONSHIP.</w:t>
      </w:r>
    </w:p>
    <w:p>
      <w:pPr>
        <w:spacing w:after="120"/>
      </w:pPr>
      <w:r>
        <w:rPr>
          <w:b/>
          <w:bCs/>
        </w:rPr>
        <w:t xml:space="preserve">Nuance — Installment Irrevocability: </w:t>
      </w:r>
      <w:r>
        <w:t xml:space="preserve">Choosing 50 or 100 installments is irrevocable. The installment is paid at the same time as the monthly retirement benefit. The portal must make this clear and require explicit acknowledgment.</w:t>
      </w:r>
    </w:p>
    <w:p>
      <w:pPr>
        <w:pStyle w:val="Heading2"/>
        <w:spacing w:before="240" w:after="120"/>
      </w:pPr>
      <w:r>
        <w:t xml:space="preserve">3.4 Part D: Direct Deposit Information</w:t>
      </w:r>
    </w:p>
    <w:p>
      <w:pPr>
        <w:spacing w:after="120"/>
      </w:pPr>
      <w:r>
        <w:rPr>
          <w:b/>
          <w:bCs/>
        </w:rPr>
        <w:t xml:space="preserve">Digital Experience (Simplified for POC): </w:t>
      </w:r>
      <w:r>
        <w:t xml:space="preserve">Per DRMC §18-413(b)(2), benefits must be paid by direct deposit. The actual DERP application notes that if the member entered direct deposit information via the MSS Portal, they don’t need to attach a voided check. For the POC, we present a simple bank account entry form (routing number, account number, account type). This captures the data in APPLICATION_SUBMISSION but does not integrate with a banking validation service.</w:t>
      </w:r>
    </w:p>
    <w:p>
      <w:pPr>
        <w:spacing w:after="120"/>
      </w:pPr>
      <w:r>
        <w:rPr>
          <w:b/>
          <w:bCs/>
        </w:rPr>
        <w:t xml:space="preserve">Database Fields: </w:t>
      </w:r>
      <w:r>
        <w:t xml:space="preserve">APP_BANK_ROUTING, APP_BANK_ACCOUNT, APP_BANK_ACCT_TYPE (‘CHECKING’, ‘SAVINGS’). These fields are stored in APPLICATION_SUBMISSION only, not written to a banking table.</w:t>
      </w:r>
    </w:p>
    <w:p>
      <w:pPr>
        <w:pStyle w:val="Heading2"/>
        <w:spacing w:before="240" w:after="120"/>
      </w:pPr>
      <w:r>
        <w:t xml:space="preserve">3.5 Part E: Income Tax Withholding Election</w:t>
      </w:r>
    </w:p>
    <w:p>
      <w:pPr>
        <w:spacing w:after="120"/>
      </w:pPr>
      <w:r>
        <w:rPr>
          <w:b/>
          <w:bCs/>
        </w:rPr>
        <w:t xml:space="preserve">Digital Experience (Simplified for POC): </w:t>
      </w:r>
      <w:r>
        <w:t xml:space="preserve">The portal presents the three federal and three Colorado state withholding options as radio buttons with explanatory text. The Colorado exclusion amounts ($24,000/year for 65+, $20,000/year for 55-64) are displayed as informational context. The system does not calculate withholding amounts; it captures the election for staff processing.</w:t>
      </w:r>
    </w:p>
    <w:p>
      <w:pPr>
        <w:spacing w:after="120"/>
      </w:pPr>
      <w:r>
        <w:rPr>
          <w:b/>
          <w:bCs/>
        </w:rPr>
        <w:t xml:space="preserve">Database Fields: </w:t>
      </w:r>
      <w:r>
        <w:t xml:space="preserve">APP_FED_TAX_ELECTION, APP_FED_TAX_FILING_STATUS, APP_FED_TAX_ADDL_AMT, APP_FED_TAX_FIXED_AMT, APP_FED_TAX_FIXED_PCT, APP_CO_TAX_ELECTION (mirror structure for Colorado). These use an ENUM pattern: ‘NONE’, ‘TABLE’, ‘FIXED’.</w:t>
      </w:r>
    </w:p>
    <w:p>
      <w:pPr>
        <w:pStyle w:val="Heading2"/>
        <w:spacing w:before="240" w:after="120"/>
      </w:pPr>
      <w:r>
        <w:t xml:space="preserve">3.6 Part F: Electronic Communication</w:t>
      </w:r>
    </w:p>
    <w:p>
      <w:pPr>
        <w:spacing w:after="120"/>
      </w:pPr>
      <w:r>
        <w:rPr>
          <w:b/>
          <w:bCs/>
        </w:rPr>
        <w:t xml:space="preserve">Digital Experience: </w:t>
      </w:r>
      <w:r>
        <w:t xml:space="preserve">Simple acknowledgment that direct deposit advices and 1099-R forms are available electronically via MyDERP.org. Single checkbox. Database field: APP_ELECTRONIC_COMM_ACK (boolean, timestamped).</w:t>
      </w:r>
    </w:p>
    <w:p>
      <w:pPr>
        <w:pStyle w:val="Heading2"/>
        <w:spacing w:before="240" w:after="120"/>
      </w:pPr>
      <w:r>
        <w:t xml:space="preserve">3.7 Part G: Medical/Dental/Vision Insurance Participation</w:t>
      </w:r>
    </w:p>
    <w:p>
      <w:pPr>
        <w:spacing w:after="120"/>
      </w:pPr>
      <w:r>
        <w:rPr>
          <w:b/>
          <w:bCs/>
        </w:rPr>
        <w:t xml:space="preserve">Digital Experience: </w:t>
      </w:r>
      <w:r>
        <w:t xml:space="preserve">Critical for benefit calculation because it determines IPR eligibility. The portal presents a clear explanation of the IPR benefit: DERP contributes to insurance premiums based on years of service and Medicare eligibility. If the member elects “Yes,” the system notes that a separate Health Insurance Election Form is required and calculates the IPR amount for display. If “No,” the system confirms the member understands they can only enroll during Open Enrollment or qualifying life events.</w:t>
      </w:r>
    </w:p>
    <w:p>
      <w:pPr>
        <w:spacing w:after="120"/>
      </w:pPr>
      <w:r>
        <w:rPr>
          <w:b/>
          <w:bCs/>
        </w:rPr>
        <w:t xml:space="preserve">Database Fields: </w:t>
      </w:r>
      <w:r>
        <w:t xml:space="preserve">APP_INSURANCE_ELECTION (‘YES’, ‘NO’). When ‘YES’, the document checklist adds the Health Insurance Election Form as a required item.</w:t>
      </w:r>
    </w:p>
    <w:p>
      <w:pPr>
        <w:spacing w:after="120"/>
      </w:pPr>
      <w:r>
        <w:rPr>
          <w:b/>
          <w:bCs/>
        </w:rPr>
        <w:t xml:space="preserve">Nuance — IPR Calculation Display: </w:t>
      </w:r>
      <w:r>
        <w:t xml:space="preserve">The system calculates and displays the IPR amount during this step: $6.25/year of service if Medicare-eligible, $12.50/year if not. For Robert Martinez (28.75 years, age 63, not Medicare-eligible): 28.75 × $12.50 = $359.38/month. This shows the member the financial impact of their insurance decision.</w:t>
      </w:r>
    </w:p>
    <w:p>
      <w:pPr>
        <w:pStyle w:val="Heading2"/>
        <w:spacing w:before="240" w:after="120"/>
      </w:pPr>
      <w:r>
        <w:t xml:space="preserve">3.8 Part H: Re-employment Acknowledgment</w:t>
      </w:r>
    </w:p>
    <w:p>
      <w:pPr>
        <w:spacing w:after="120"/>
      </w:pPr>
      <w:r>
        <w:rPr>
          <w:b/>
          <w:bCs/>
        </w:rPr>
        <w:t xml:space="preserve">Digital Experience: </w:t>
      </w:r>
      <w:r>
        <w:t xml:space="preserve">Informational section with acknowledgment checkbox. Displays the two key rules: 30-day minimum separation after final payout, and 1,000-hour annual limit for re-employment with a covered employer. Violation results in benefit suspension. Database field: APP_REEMPLOY_ACK (boolean, timestamped).</w:t>
      </w:r>
    </w:p>
    <w:p>
      <w:pPr>
        <w:pStyle w:val="Heading2"/>
        <w:spacing w:before="240" w:after="120"/>
      </w:pPr>
      <w:r>
        <w:t xml:space="preserve">3.9 Part I: Member Confirmation &amp; Notarization</w:t>
      </w:r>
    </w:p>
    <w:p>
      <w:pPr>
        <w:spacing w:after="120"/>
      </w:pPr>
      <w:r>
        <w:rPr>
          <w:b/>
          <w:bCs/>
        </w:rPr>
        <w:t xml:space="preserve">Digital Experience: </w:t>
      </w:r>
      <w:r>
        <w:t xml:space="preserve">The final step has two sub-parts. First, a digital confirmation where the member reviews a complete summary of all elections and acknowledgments, then confirms digitally. This creates a timestamped record (APP_DIGITAL_CONFIRM_TS) with the member’s portal session ID. Second, the system generates a pre-filled PDF of the official Retirement Application with all the member’s elections populated. The member is instructed to print, sign before a notary, and submit the notarized copy to DERP via email, fax, or mail.</w:t>
      </w:r>
    </w:p>
    <w:p>
      <w:pPr>
        <w:spacing w:after="120"/>
      </w:pPr>
      <w:r>
        <w:rPr>
          <w:b/>
          <w:bCs/>
        </w:rPr>
        <w:t xml:space="preserve">The notarization step is the bridge between digital and physical. </w:t>
      </w:r>
      <w:r>
        <w:t xml:space="preserve">The digital submission creates the work item and begins preliminary processing. The notarized document receipt advances the process to the formal review stage. This dual-confirmation model accurately represents the real DERP process while demonstrating the value of digital pre-submission.</w:t>
      </w:r>
    </w:p>
    <w:p>
      <w:r>
        <w:br w:type="page"/>
      </w:r>
    </w:p>
    <w:p>
      <w:pPr>
        <w:pStyle w:val="Heading1"/>
        <w:spacing w:before="360" w:after="120"/>
      </w:pPr>
      <w:r>
        <w:t xml:space="preserve">4. Database Schema Additions</w:t>
      </w:r>
    </w:p>
    <w:p>
      <w:pPr>
        <w:spacing w:after="120"/>
      </w:pPr>
      <w:r>
        <w:t xml:space="preserve">All new tables follow the legacy schema conventions established in the existing database design. These tables are added to the legacy schema (not a separate modern schema) because they represent data that a real pension system would store alongside existing records.</w:t>
      </w:r>
    </w:p>
    <w:p>
      <w:pPr>
        <w:pStyle w:val="Heading2"/>
        <w:spacing w:before="240" w:after="120"/>
      </w:pPr>
      <w:r>
        <w:t xml:space="preserve">4.1 APPLICATION_SUBMISSION</w:t>
      </w:r>
    </w:p>
    <w:p>
      <w:pPr>
        <w:spacing w:after="120"/>
      </w:pPr>
      <w:r>
        <w:t xml:space="preserve">Primary table for digital retirement applications. One row per submission. This is the digital equivalent of the paper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 application identifier</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MBR_ID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 FK</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Reference to MEMBER_MASTER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 FK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to CASE_HIST (created on submission)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DRAFT, SUBMITTED, NOTARIZED_RECEIVED, IN_REVIEW, APPROVED, DENIED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APP_SUBMIT_TS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member clicked submit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APP_NOTARIZED_RECV_TS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When staff confirmed notarized copy received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EFF_RETIREMENT_DT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Elected effective date of retirement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LAST_DAY_WORKED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Member’s stated last day of employment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RETIREMENT_TYPE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NORMAL, RULE_OF_75, RULE_OF_85, EARLY</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MARITAL_STATUS_CERT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MARRIED or NOT_MARRIED (legal certification)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MARITAL_DIFF_FLAG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True if certification differs from MEMBER_MASTER</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APP_PAYMENT_OPTION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MAX, JS100, JS075, JS050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J&amp;S beneficiary full name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APP_BENE_SSN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VARCHAR(11)</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J&amp;S beneficiary SSN (encrypted at rest)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APP_BENE_DOB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J&amp;S beneficiary date of birth</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APP_BENE_GENDER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J&amp;S beneficiary gender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APP_BENE_RELATIONSHIP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Relationship to member</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APP_BENE_PHONE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J&amp;S beneficiary phone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APP_BENE_ADDR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J&amp;S beneficiary address</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SPOUSAL_CONSENT_REQ</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Whether spousal consent form is required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SPOUSAL_CONSENT_RECV</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spousal consent form has been received</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IRREVOCABILITY_ACK_TS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When member acknowledged irrevocable elections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APP_DEATH_BENEFIT_AMT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DECIMAL(10,2)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Calculated lump-sum death benefit amount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APP_DEATH_BENEFIT_ELECTION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DRAW_50, DRAW_100, NO_DRAW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APP_DEATH_BENE_NAME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Death benefit beneficiary (may differ from J&amp;S)</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APP_DEATH_BENE_SSN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VARCHAR(11)</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Death benefit beneficiary SSN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APP_DEATH_BENE_RELATIONSHIP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Relationship</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APP_BANK_ROUTING</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VARCHAR(9)</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Direct deposit routing number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APP_BANK_ACCOUNT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deposit account number (encrypted)</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APP_BANK_ACCT_TYPE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CHECKING or SAVINGS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APP_FED_TAX_ELECTION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TABLE, FIXED</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APP_FED_TAX_FILING_STATUS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MARRIED, SINGLE (if TABLE)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APP_FED_TAX_ADDL_AMT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DECIMAL(8,2)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Additional withholding amount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APP_FED_TAX_FIXED_AMT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DECIMAL(8,2)</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Fixed dollar amount (if 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APP_FED_TAX_FIXED_PCT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DECIMAL(5,2)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percentage (if FIXED)</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APP_CO_TAX_ELECTION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NONE, TABLE, FIXED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APP_CO_TAX_FILING_STATUS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MARRIED, SINGLE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APP_CO_TAX_ADDL_AMT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DECIMAL(8,2)</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Additional CO withholding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APP_CO_TAX_FIXED_AMT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DECIMAL(8,2)</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CO dollar amount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APP_CO_TAX_FIXED_PCT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DECIMAL(5,2)</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Fixed CO percentage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APP_ELECTRONIC_COMM_ACK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Electronic communication acknowledgment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APP_INSURANCE_ELECTION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VARCHAR(3)</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YES or 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APP_REEMPLOY_ACK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Re-employment rules acknowledgment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APP_DIGITAL_CONFIRM_TS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Digital confirmation timestamp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APP_SESSION_ID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VARCHAR(50)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 session ID at time of submission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ADDR_RESIDENCE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Address as entered/confirmed on application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ADDR_MAILING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Mailing address if different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PHONE_PRIMARY</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Phone as confirmed on application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PHONE_CELL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Cell phone</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EMAIL_ADDR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VARCHAR(100)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Email as confirmed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CREATE_DT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Record creation (first save of draft)</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CREATE_USER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ID (for portal submissions)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UPDATE_DT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Last modification</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UPDATE_USER</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VARCHAR(30)</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Last modifier (member or staff ID)</w:t>
            </w:r>
          </w:p>
        </w:tc>
      </w:tr>
    </w:tbl>
    <w:p>
      <w:pPr>
        <w:pStyle w:val="Heading2"/>
        <w:spacing w:before="240" w:after="120"/>
      </w:pPr>
      <w:r>
        <w:t xml:space="preserve">4.2 APPLICATION_DOCUMENTS</w:t>
      </w:r>
    </w:p>
    <w:p>
      <w:pPr>
        <w:spacing w:after="120"/>
      </w:pPr>
      <w:r>
        <w:t xml:space="preserve">Tracks required and received documents for each application. Drives the document checklist visible to both member and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INTEGER FK</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Reference to APPLICATION_SUBMISSION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BIRTH_CERT_MEMBER, BIRTH_CERT_SPOUSE, MARRIAGE_CERT, DIVORCE_DECREE, MEDICARE_CARD, SPOUSAL_CONSENT, INSURANCE_FORM, VOIDED_CHECK, NOTARIZED_APP, SSA_ESTIMATE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DOC_REQUIRED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BOOLEAN</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Whether this document is required for this application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 RECEIVED, WAIVED, NOT_APPLICABLE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DOC_RECV_DT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Date document received by DERP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DOC_RECV_BY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VARCHAR(30)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member who logged receipt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DOC_NOTES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Notes about the document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CREATE_DT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Row creation timestamp</w:t>
            </w:r>
          </w:p>
        </w:tc>
      </w:tr>
    </w:tbl>
    <w:p>
      <w:pPr>
        <w:spacing w:after="120"/>
      </w:pPr>
      <w:r>
        <w:rPr>
          <w:b/>
          <w:bCs/>
        </w:rPr>
        <w:t xml:space="preserve">Document Requirements Logic: </w:t>
      </w:r>
      <w:r>
        <w:t xml:space="preserve">When an application is submitted, the system auto-generates the required document rows based on the member’s situation. Birth certificate is always required for the member. Marriage certificate is required if married. Spousal consent is required if married and electing Maximum or J&amp;S with non-spouse. Medicare card is required if age 65+. Health Insurance Election Form is required if APP_INSURANCE_ELECTION = ‘YES’. This logic runs in the intelligence service using the same rules engine that drives workspace composition.</w:t>
      </w:r>
    </w:p>
    <w:p>
      <w:pPr>
        <w:pStyle w:val="Heading2"/>
        <w:spacing w:before="240" w:after="120"/>
      </w:pPr>
      <w:r>
        <w:t xml:space="preserve">4.3 APPLICATION_MESSAGES</w:t>
      </w:r>
    </w:p>
    <w:p>
      <w:pPr>
        <w:spacing w:after="120"/>
      </w:pPr>
      <w:r>
        <w:t xml:space="preserve">Bidirectional communication log between staff and member, scoped to a specific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MSG_ID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INTEGER FK</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Reference to APPLICATION_SUBMISSION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SENDER_TYPE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VARCHAR(10)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or STAFF</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SENDER_ID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VARCHAR(30)</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ID or staff user 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MSG_TEXT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content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MSG_TS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When message was sent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READ_TS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recipient read the message (null if unread)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MSG_TYPE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VARCHAR(20)</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INFO, ACTION_REQUIRED, RESPONSE, STATUS_UPDATE</w:t>
            </w:r>
          </w:p>
        </w:tc>
      </w:tr>
    </w:tbl>
    <w:p>
      <w:pPr>
        <w:pStyle w:val="Heading2"/>
        <w:spacing w:before="240" w:after="120"/>
      </w:pPr>
      <w:r>
        <w:t xml:space="preserve">4.4 APPLICATION_STATUS_HISTORY</w:t>
      </w:r>
    </w:p>
    <w:p>
      <w:pPr>
        <w:spacing w:after="120"/>
      </w:pPr>
      <w:r>
        <w:t xml:space="preserve">Immutable log of every status change, providing the audit trail for the application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HIST_ID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Auto-increment</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APP_ID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INTEGER FK</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Reference to APPLICATION_SUBMISSION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OLD_STATUS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Previous status (null for initial creation)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NEW_STATUS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VARCHAR(20)</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New status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CHANGED_BY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VARCHAR(30)</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Who triggered the change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CHANGED_TS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When the change occurred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CHANGE_REASON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explanation</w:t>
            </w:r>
          </w:p>
        </w:tc>
      </w:tr>
    </w:tbl>
    <w:p>
      <w:pPr>
        <w:pStyle w:val="Heading2"/>
        <w:spacing w:before="240" w:after="120"/>
      </w:pPr>
      <w:r>
        <w:t xml:space="preserve">4.5 Modifications to Existing Tables</w:t>
      </w:r>
    </w:p>
    <w:p>
      <w:pPr>
        <w:spacing w:after="120"/>
      </w:pPr>
      <w:r>
        <w:t xml:space="preserve">The existing CASE_HIST table is extended with one new column to link to the digital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00"/>
        <w:gridCol w:w="29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New Column</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CASE_HIST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 FK NULL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 to APPLICATION_SUBMISSION if originated from portal</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CASE_HIST</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MEMBER_VISIBLE_STATUS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VARCHAR(30)</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Simplified status visible to member in portal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CASE_HIST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MEMBER_STATUS_DETAIL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VARCHAR(200)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Human-readable status description for member</w:t>
            </w:r>
          </w:p>
        </w:tc>
      </w:tr>
    </w:tbl>
    <w:p>
      <w:pPr>
        <w:spacing w:after="120"/>
      </w:pPr>
      <w:r>
        <w:t xml:space="preserve">The TRANSACTION_LOG table requires no schema changes. Application events are logged using the existing structure with TXN_TYPE values like ‘APP_SUBMIT’, ‘APP_STATUS_CHG’, ‘APP_DOC_RECV’, ‘APP_MSG_SENT’.</w:t>
      </w:r>
    </w:p>
    <w:p>
      <w:r>
        <w:br w:type="page"/>
      </w:r>
    </w:p>
    <w:p>
      <w:pPr>
        <w:pStyle w:val="Heading1"/>
        <w:spacing w:before="360" w:after="120"/>
      </w:pPr>
      <w:r>
        <w:t xml:space="preserve">5. Application Lifecycle State Model</w:t>
      </w:r>
    </w:p>
    <w:p>
      <w:pPr>
        <w:spacing w:after="120"/>
      </w:pPr>
      <w:r>
        <w:t xml:space="preserve">The application moves through defined states. Each state has an internal representation (used by staff and system logic) and a member-facing representation (simplified, non-technical language displayed in the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360"/>
        <w:gridCol w:w="200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Internal Status</w:t>
            </w:r>
          </w:p>
        </w:tc>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Member-Facing Status</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Member-Facing Detail</w:t>
            </w:r>
          </w:p>
        </w:tc>
        <w:tc>
          <w:tcPr>
            <w:tcW w:type="dxa" w:w="2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Triggered By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 Progress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You’re still working on your application. It’s saved automatically.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starts application</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SUBMITTED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Submitted</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We’ve received your digital application. Please print, sign before a notary, and submit the notarized copy.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clicks Submit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NOTARIZED_RECEIVED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 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We’ve received your notarized application and have started our 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confirms receipt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ELIGIBILITY_REVIEW</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Under Review</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We’re verifying your eligibility for retirement benefits.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 begins processing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Benefit Calculation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We’re calculating your retirement benefit based on your service and salary history.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 confirmed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PENDING_INFO</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Action Needed</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We need additional information from you. Please check your messages.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 requests info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SUPERVISOR_REVIEW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Your benefit calculation is being reviewed by a supervisor for final approval.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Analyst submits for review</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APPROVED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Approved</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Your retirement application has been approved! Your first payment will be [date].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 approves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DENIED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Denied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 were unable to approve your application. Please check your messages for details.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 denies (rare)</w:t>
            </w:r>
          </w:p>
        </w:tc>
      </w:tr>
    </w:tbl>
    <w:p>
      <w:pPr>
        <w:pStyle w:val="Heading2"/>
        <w:spacing w:before="240" w:after="120"/>
      </w:pPr>
      <w:r>
        <w:t xml:space="preserve">5.1 State Transition Rules</w:t>
      </w:r>
    </w:p>
    <w:p>
      <w:pPr>
        <w:spacing w:after="120"/>
      </w:pPr>
      <w:r>
        <w:t xml:space="preserve">State transitions are governed by the process orchestrator. The following transitions are valid: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From</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Condition</w:t>
            </w:r>
          </w:p>
        </w:tc>
        <w:tc>
          <w:tcPr>
            <w:tcW w:type="dxa" w:w="1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required fields complete, digital confirmation signed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SUBMITTED</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NOTARIZED_RECEIVED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 confirms physical receipt of notarized application</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NOTARIZED_RECEIVED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ELIGIBILITY_REVIEW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 item claimed by analyst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ELIGIBILITY_REVIEW</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Eligibility determination complete, all criteria met</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System + Staff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ELIGIBILITY_REVIEW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DENIED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does not meet eligibility requirements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ELIGIBILITY_REVIEW</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PENDING_INFO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Missing data or documents needed</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PENDING_INFO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data or documents needed</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SUPERVISOR_REVIEW</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 complete, all documents received</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PENDING_INFO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ELIGIBILITY_REVIEW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provides requested information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System</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PENDING_INFO</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provides requested information (if already past eligibility)</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SUPERVISOR_REVIEW</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Supervisor approves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Supervisor</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SUPERVISOR_REVIEW</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 returns with corrections</w:t>
            </w:r>
          </w:p>
        </w:tc>
        <w:tc>
          <w:tcPr>
            <w:tcW w:type="dxa" w:w="1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DRAFT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valid (submissions are permanent)</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r>
    </w:tbl>
    <w:p>
      <w:pPr>
        <w:pStyle w:val="Heading2"/>
        <w:spacing w:before="240" w:after="120"/>
      </w:pPr>
      <w:r>
        <w:t xml:space="preserve">5.2 Progress Indicator for Member Portal</w:t>
      </w:r>
    </w:p>
    <w:p>
      <w:pPr>
        <w:spacing w:after="120"/>
      </w:pPr>
      <w:r>
        <w:t xml:space="preserve">The member portal displays a simplified progress bar with these stages. The internal state maps to a progress percentage and a highlighted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760"/>
      </w:tblGrid>
      <w:tr>
        <w:tc>
          <w:tcPr>
            <w:tcW w:type="dxa" w:w="1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Portal Step</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Label</w:t>
            </w:r>
          </w:p>
        </w:tc>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Internal States</w:t>
            </w:r>
          </w:p>
        </w:tc>
        <w:tc>
          <w:tcPr>
            <w:tcW w:type="dxa" w:w="2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Progress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Submitted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Notarized Copy Received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NOTARIZED_RECEIVED</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35%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 Verification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ELIGIBILITY_REVIEW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Benefit Calculation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70%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Final Review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SUPERVISOR_REVIEW</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Approved</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APPROVED</w:t>
            </w:r>
          </w:p>
        </w:tc>
        <w:tc>
          <w:tcPr>
            <w:tcW w:type="dxa" w:w="2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100%</w:t>
            </w:r>
          </w:p>
        </w:tc>
      </w:tr>
    </w:tbl>
    <w:p>
      <w:pPr>
        <w:spacing w:after="120"/>
      </w:pPr>
      <w:r>
        <w:t xml:space="preserve">PENDING_INFO overlays on the current step with an alert badge rather than advancing/retreating the progress bar. The member sees the progress bar at its last position plus an “Action Needed” indicator.</w:t>
      </w:r>
    </w:p>
    <w:p>
      <w:r>
        <w:br w:type="page"/>
      </w:r>
    </w:p>
    <w:p>
      <w:pPr>
        <w:pStyle w:val="Heading1"/>
        <w:spacing w:before="360" w:after="120"/>
      </w:pPr>
      <w:r>
        <w:t xml:space="preserve">6. Member Portal Architecture</w:t>
      </w:r>
    </w:p>
    <w:p>
      <w:pPr>
        <w:pStyle w:val="Heading2"/>
        <w:spacing w:before="240" w:after="120"/>
      </w:pPr>
      <w:r>
        <w:t xml:space="preserve">6.1 Portal Entry Point and Authentication</w:t>
      </w:r>
    </w:p>
    <w:p>
      <w:pPr>
        <w:spacing w:after="120"/>
      </w:pPr>
      <w:r>
        <w:rPr>
          <w:b/>
          <w:bCs/>
        </w:rPr>
        <w:t xml:space="preserve">For the POC: </w:t>
      </w:r>
      <w:r>
        <w:t xml:space="preserve">Simulated authentication. The portal login screen offers a dropdown of the four demo case members (Robert Martinez, Jennifer Kim, David Washington, and Robert Martinez as a DRO variant). Selecting a member loads their portal session. No real authentication provider is integrated.</w:t>
      </w:r>
    </w:p>
    <w:p>
      <w:pPr>
        <w:spacing w:after="120"/>
      </w:pPr>
      <w:r>
        <w:rPr>
          <w:b/>
          <w:bCs/>
        </w:rPr>
        <w:t xml:space="preserve">Architectural note: </w:t>
      </w:r>
      <w:r>
        <w:t xml:space="preserve">In production, the member portal would integrate with the agency’s identity provider (Active Directory, SAML, or the existing MyDERP.org authentication). The portal interface is designed as a standalone React application that communicates with the NoUI backend through the same API layer the staff interfaces use, with RBAC restricting the member to their own data.</w:t>
      </w:r>
    </w:p>
    <w:p>
      <w:pPr>
        <w:pStyle w:val="Heading2"/>
        <w:spacing w:before="240" w:after="120"/>
      </w:pPr>
      <w:r>
        <w:t xml:space="preserve">6.2 Portal Navigation Structure</w:t>
      </w:r>
    </w:p>
    <w:p>
      <w:pPr>
        <w:spacing w:after="120"/>
      </w:pPr>
      <w:r>
        <w:t xml:space="preserve">The member portal has three views for the 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View</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Landing page after login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Welcome message, retirement readiness summary, application status card (if in progress), quick actions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Retirement Application</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Guided multi-step form</w:t>
            </w:r>
          </w:p>
        </w:tc>
        <w:tc>
          <w:tcPr>
            <w:tcW w:type="dxa" w:w="4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Step-by-step wizard with save/resume, pre-populated fields, real-time validation, payment option calculator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 Status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Track submitted application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Progress bar, status detail, message thread, document checklist</w:t>
            </w:r>
          </w:p>
        </w:tc>
      </w:tr>
    </w:tbl>
    <w:p>
      <w:pPr>
        <w:pStyle w:val="Heading2"/>
        <w:spacing w:before="240" w:after="120"/>
      </w:pPr>
      <w:r>
        <w:t xml:space="preserve">6.3 Retirement Application Wizard</w:t>
      </w:r>
    </w:p>
    <w:p>
      <w:pPr>
        <w:spacing w:after="120"/>
      </w:pPr>
      <w:r>
        <w:t xml:space="preserve">The digital application is presented as a multi-step wizard. Steps map to the paper form parts but are reorganized for a better digital experience. The member can navigate forward and backward freely; data is auto-saved to a DRAFT application record on every field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Maps to Form Part(s)</w:t>
            </w:r>
          </w:p>
        </w:tc>
        <w:tc>
          <w:tcPr>
            <w:tcW w:type="dxa" w:w="37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Key Interactions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Your Information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A</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pre-populated data, confirm or request corrections, certify marital status</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Choose Your Benefit Option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Part B</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Interactive payment option comparison with calculated amounts, beneficiary entry if J&amp;S, spousal consent flagging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Death Benefit Election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C</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Calculated amount shown, installment choice, death benefit beneficiary</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Payment &amp; Tax Setup</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Parts D, 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Direct deposit entry, tax withholding elections with guidance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 Insurance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 election with IPR calculation display</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Acknowledgments</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Parts F, H</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Electronic communication and re-employment acknowledgments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 &amp; Submit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 I</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Complete summary, final confirmation, PDF generation</w:t>
            </w:r>
          </w:p>
        </w:tc>
      </w:tr>
    </w:tbl>
    <w:p>
      <w:pPr>
        <w:spacing w:after="120"/>
      </w:pPr>
      <w:r>
        <w:rPr>
          <w:b/>
          <w:bCs/>
        </w:rPr>
        <w:t xml:space="preserve">Auto-Save Behavior: </w:t>
      </w:r>
      <w:r>
        <w:t xml:space="preserve">Every field change triggers a debounced save (500ms delay) to the APPLICATION_SUBMISSION table via PATCH /api/v1/portal/applications/{id}. The member can close the browser and resume later. The DRAFT status persists until explicit submission.</w:t>
      </w:r>
    </w:p>
    <w:p>
      <w:pPr>
        <w:spacing w:after="120"/>
      </w:pPr>
      <w:r>
        <w:rPr>
          <w:b/>
          <w:bCs/>
        </w:rPr>
        <w:t xml:space="preserve">Validation Strategy: </w:t>
      </w:r>
      <w:r>
        <w:t xml:space="preserve">Field-level validation runs on blur (format, required). Step-level validation runs on “Continue” (cross-field rules like “beneficiary required if J&amp;S selected”). Submission validation runs the full rules engine to verify eligibility and completeness before allowing final submit.</w:t>
      </w:r>
    </w:p>
    <w:p>
      <w:pPr>
        <w:pStyle w:val="Heading1"/>
        <w:spacing w:before="360" w:after="120"/>
      </w:pPr>
      <w:r>
        <w:t xml:space="preserve">7. API Specifications</w:t>
      </w:r>
    </w:p>
    <w:p>
      <w:pPr>
        <w:spacing w:after="120"/>
      </w:pPr>
      <w:r>
        <w:t xml:space="preserve">All portal APIs follow the existing NoUI API conventions (JSON request/response, consistent error format, request_id in meta). Portal APIs are prefixed with /api/v1/portal/ and are restricted by RBAC to the authenticated member’s own data.</w:t>
      </w:r>
    </w:p>
    <w:p>
      <w:pPr>
        <w:pStyle w:val="Heading2"/>
        <w:spacing w:before="240" w:after="120"/>
      </w:pPr>
      <w:r>
        <w:t xml:space="preserve">7.1 Member Portal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26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Database Effect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/api/v1/portal/member/profile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Pre-populated member info for 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from MEMBER_MASTER, EMPLOYMENT_HIST, BENEFICIARY</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/api/v1/portal/member/retirement-readiness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Eligibility summary, estimated benefit</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Rules engine evaluation against member data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/api/v1/portal/applications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new draft 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INSERT into APPLICATION_SUBMISSION (DRAFT), INSERT into CASE_HIST</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/api/v1/portal/applications/{id}</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Retrieve application (draft or submitted)</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SELECT from APPLICATION_SUBMISSION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/api/v1/portal/applications/{id}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Auto-save field updates to draft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APPLICATION_SUBMISSION, INSERT TRANSACTION_LOG</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/api/v1/portal/applications/{id}/submit</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Submit completed application</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 status to SUBMITTED, INSERT APPLICATION_STATUS_HISTORY, INSERT APPLICATION_DOCUMENTS, INSERT TRANSACTION_LOG, trigger work item routing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/api/v1/portal/applications/{id}/status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Current status with member-facing detail</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from CASE_HIST, APPLICATION_STATUS_HISTORY</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/api/v1/portal/applications/{id}/documents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 checklist with statuses</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SELECT from APPLICATION_DOCUMENTS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/api/v1/portal/applications/{id}/messages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thread for this 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from APPLICATION_MESSAGES</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/api/v1/portal/applications/{id}/messages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Send message to staff</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INSERT into APPLICATION_MESSAGES, INSERT TRANSACTION_LOG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/api/v1/portal/applications/{id}/benefit-options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 all payment option amounts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Rules engine calculation (read-only against salary/service data)</w:t>
            </w:r>
          </w:p>
        </w:tc>
      </w:tr>
    </w:tbl>
    <w:p>
      <w:pPr>
        <w:pStyle w:val="Heading2"/>
        <w:spacing w:before="240" w:after="120"/>
      </w:pPr>
      <w:r>
        <w:t xml:space="preserve">7.2 Staff-Side APIs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00"/>
        <w:gridCol w:w="2660"/>
      </w:tblGrid>
      <w:tr>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6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Database Effect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/api/v1/cases/{id}/application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Retrieve linked digital application</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from APPLICATION_SUBMISSION WHERE CASE_ID = {id}</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/api/v1/cases/{id}/confirm-notarized</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Confirm notarized document received</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 APP_STATUS, APP_NOTARIZED_RECV_TS; INSERT APPLICATION_STATUS_HISTORY, TRANSACTION_LOG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/api/v1/cases/{id}/request-info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 info request to member</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APP_STATUS to PENDING_INFO, INSERT APPLICATION_MESSAGES, APPLICATION_STATUS_HISTORY</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/api/v1/cases/{id}/advance-stage</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Move to next processing stage</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 APP_STATUS, CASE_HIST; INSERT APPLICATION_STATUS_HISTORY, TRANSACTION_LOG</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/api/v1/cases/{id}/documents/{docId}/receive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Mark document as received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UPDATE APPLICATION_DOCUMENTS.DOC_STATUS, DOC_RECV_DT; INSERT TRANSACTION_LOG</w:t>
            </w:r>
          </w:p>
        </w:tc>
      </w:tr>
      <w:tr>
        <w:tc>
          <w:tcPr>
            <w:tcW w:type="dxa" w:w="9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/api/v1/cases/{id}/messages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Send message to member</w:t>
            </w:r>
          </w:p>
        </w:tc>
        <w:tc>
          <w:tcPr>
            <w:tcW w:type="dxa" w:w="2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INSERT APPLICATION_MESSAGES; INSERT TRANSACTION_LOG</w:t>
            </w:r>
          </w:p>
        </w:tc>
      </w:tr>
    </w:tbl>
    <w:p>
      <w:pPr>
        <w:pStyle w:val="Heading1"/>
        <w:spacing w:before="360" w:after="120"/>
      </w:pPr>
      <w:r>
        <w:t xml:space="preserve">8. Application-to-Work-Item Pipeline</w:t>
      </w:r>
    </w:p>
    <w:p>
      <w:pPr>
        <w:spacing w:after="120"/>
      </w:pPr>
      <w:r>
        <w:t xml:space="preserve">When a member submits their application, the system executes the following pipeline. Every step writes to the database.</w:t>
      </w:r>
    </w:p>
    <w:p>
      <w:pPr>
        <w:pStyle w:val="Heading2"/>
        <w:spacing w:before="240" w:after="120"/>
      </w:pPr>
      <w:r>
        <w:t xml:space="preserve">8.1 Submission Pipeline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c>
          <w:tcPr>
            <w:tcW w:type="dxa" w:w="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5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Tables Affected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Validate application completeness (all required fields, all acknowledgments)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None (validation only)</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Update APPLICATION_SUBMISSION.APP_STATUS from DRAFT to SUBMITTED</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APPLICATION_SUBMISSION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Insert APPLICATION_STATUS_HISTORY row (DRAFT → SUBMITTED)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APPLICATION_STATUS_HISTORY</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4</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Determine retirement type via rules engine (NORMAL, RULE_OF_75, RULE_OF_85, EARLY)</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APPLICATION_SUBMISSION.RETIREMENT_TYPE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Calculate required documents based on member situation and elections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APPLICATION_DOCUMENTS (batch INSERT)</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6</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Evaluate spousal consent requirement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APPLICATION_SUBMISSION.SPOUSAL_CONSENT_REQ</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CASE_HIST work item (type=SVC_RET, status=OPEN, priority=calculated)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CASE_HIST</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Link application to case: update CASE_HIST.APP_ID and APPLICATION_SUBMISSION.CASE_ID</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CASE_HIST, APPLICATION_SUBMISSION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 member-visible status on case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CASE_HIST.MEMBER_VISIBLE_STATUS, MEMBER_STATUS_DETAIL</w:t>
            </w:r>
          </w:p>
        </w:tc>
      </w:tr>
      <w:tr>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w:t>
            </w:r>
          </w:p>
        </w:tc>
        <w:tc>
          <w:tcPr>
            <w:tcW w:type="dxa" w:w="5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Log submission event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TRANSACTION_LOG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Determine routing: assign to queue based on tier, DRO presence, complexity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CASE_HIST.ASSIGNED_TO (queue, not individual)</w:t>
            </w:r>
          </w:p>
        </w:tc>
      </w:tr>
    </w:tbl>
    <w:p>
      <w:pPr>
        <w:pStyle w:val="Heading2"/>
        <w:spacing w:before="240" w:after="120"/>
      </w:pPr>
      <w:r>
        <w:t xml:space="preserve">8.2 Routing Rules</w:t>
      </w:r>
    </w:p>
    <w:p>
      <w:pPr>
        <w:spacing w:after="120"/>
      </w:pPr>
      <w:r>
        <w:t xml:space="preserve">For the POC, routing is deterministic (Tier 1). Work items are assigned to a general benefits analyst queue. The following routing signals are computed and stored on the case for future intelligent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3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Impact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complexity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Member’s tier from hire date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 1 members have leave payout, longer histories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DRO present</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DRO_MASTER check</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Cases with DRO require additional calculation steps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retirement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 evaluation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reduction calculation, threshold proximity check</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Purchased service</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SVC_CREDIT check</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Must verify exclusion from Rule of 75/85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 completeness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APPLICATION_DOCUMENTS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Cases with all documents ready are prioritized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Processing deadline proximity</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15th-of-month cutoff</w:t>
            </w:r>
          </w:p>
        </w:tc>
        <w:tc>
          <w:tcPr>
            <w:tcW w:type="dxa" w:w="3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Cases close to cutoff get priority boost</w:t>
            </w:r>
          </w:p>
        </w:tc>
      </w:tr>
    </w:tbl>
    <w:p>
      <w:pPr>
        <w:pStyle w:val="Heading2"/>
        <w:spacing w:before="240" w:after="120"/>
      </w:pPr>
      <w:r>
        <w:t xml:space="preserve">8.3 Priority Calculation</w:t>
      </w:r>
    </w:p>
    <w:p>
      <w:pPr>
        <w:spacing w:after="120"/>
      </w:pPr>
      <w:r>
        <w:t xml:space="preserve">Priority is stored as an integer on CASE_HIST.PRIORITY (1 = highest). For the POC, priority is computed as: base priority of 3, minus 1 if processing deadline is within 5 business days, minus 1 if all documents are received (case is ready to work), plus 1 if in PENDING_INFO state (waiting on member, not actionable). This simple model demonstrates the concept; production would use the full intelligent prioritization described in the Dynamic Workspace UX Architecture.</w:t>
      </w:r>
    </w:p>
    <w:p>
      <w:r>
        <w:br w:type="page"/>
      </w:r>
    </w:p>
    <w:p>
      <w:pPr>
        <w:pStyle w:val="Heading1"/>
        <w:spacing w:before="360" w:after="120"/>
      </w:pPr>
      <w:r>
        <w:t xml:space="preserve">9. Staff Workspace Integration</w:t>
      </w:r>
    </w:p>
    <w:p>
      <w:pPr>
        <w:spacing w:after="120"/>
      </w:pPr>
      <w:r>
        <w:t xml:space="preserve">When an analyst opens a work item that originated from the portal, the workspace composition includes additional components that display the digital submission. This is a Tier 2 composition rule: IF case.APP_ID IS NOT NULL, include digital application components.</w:t>
      </w:r>
    </w:p>
    <w:p>
      <w:pPr>
        <w:pStyle w:val="Heading2"/>
        <w:spacing w:before="240" w:after="120"/>
      </w:pPr>
      <w:r>
        <w:t xml:space="preserve">9.1 New Workspace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DigitalApplicationSummary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Displays all member elections from the portal submission in a structured, print-ready format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APPLICATION_SUBMISSION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DocumentChecklist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Interactive checklist showing required/received documents with ability to mark received</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APPLICATION_DOCUMENTS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ApplicationTimeline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Visual timeline of all status changes with timestamps and actors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APPLICATION_STATUS_HISTORY</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MemberMessages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Communication thread with ability to send messages and info requests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APPLICATION_MESSAGES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NotarizationConfirmation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Prominent action button to confirm receipt of notarized application (shown only when status = SUBMITTED)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APPLICATION_SUBMISSION.APP_STATUS</w:t>
            </w:r>
          </w:p>
        </w:tc>
      </w:tr>
    </w:tbl>
    <w:p>
      <w:pPr>
        <w:pStyle w:val="Heading2"/>
        <w:spacing w:before="240" w:after="120"/>
      </w:pPr>
      <w:r>
        <w:t xml:space="preserve">9.2 Workspace Composition Rules</w:t>
      </w:r>
    </w:p>
    <w:p>
      <w:pPr>
        <w:spacing w:after="120"/>
      </w:pPr>
      <w:r>
        <w:t xml:space="preserve">The composition engine evaluates the application status to determine which components appear and in what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Application Status</w:t>
            </w:r>
          </w:p>
        </w:tc>
        <w:tc>
          <w:tcPr>
            <w:tcW w:type="dxa" w:w="4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Additional Components</w:t>
            </w:r>
          </w:p>
        </w:tc>
        <w:tc>
          <w:tcPr>
            <w:tcW w:type="dxa" w:w="29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 Order Priority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SUBMITTED (awaiting notarized)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NotarizationConfirmation (prominent), DigitalApplicationSummary, DocumentChecklist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Notarization action first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NOTARIZED_RECEIVED</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DigitalApplicationSummary, DocumentChecklist, MemberMessages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Standard processing order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ELIGIBILITY_REVIEW</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DigitalApplicationSummary (collapsed), DocumentChecklist, standard eligibility components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Eligibility components primary</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DigitalApplicationSummary (collapsed), BenefitCalculationPanel (primary), PaymentOptionsComparison</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Calculation components primary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PENDING_INFO</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MemberMessages (prominent, with compose open), DocumentChecklist, pending-reason indicator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 first</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SUPERVISOR_REVIEW</w:t>
            </w:r>
          </w:p>
        </w:tc>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Full case summary in read-only mode with approve/reject/return actions</w:t>
            </w:r>
          </w:p>
        </w:tc>
        <w:tc>
          <w:tcPr>
            <w:tcW w:type="dxa" w:w="29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Approval actions primary</w:t>
            </w:r>
          </w:p>
        </w:tc>
      </w:tr>
    </w:tbl>
    <w:p>
      <w:pPr>
        <w:spacing w:after="120"/>
      </w:pPr>
      <w:r>
        <w:rPr>
          <w:b/>
          <w:bCs/>
        </w:rPr>
        <w:t xml:space="preserve">Key insight: </w:t>
      </w:r>
      <w:r>
        <w:t xml:space="preserve">The digital application data enables a qualitatively different analyst experience. Instead of transcribing from a scanned PDF, the analyst sees structured, validated data they can cross-reference against the system record. Discrepancies (like marital status differences) are flagged automatically. The analyst focuses on verification and judgment, not data entry.</w:t>
      </w:r>
    </w:p>
    <w:p>
      <w:pPr>
        <w:pStyle w:val="Heading1"/>
        <w:spacing w:before="360" w:after="120"/>
      </w:pPr>
      <w:r>
        <w:t xml:space="preserve">10. Demo Case Integration</w:t>
      </w:r>
    </w:p>
    <w:p>
      <w:pPr>
        <w:spacing w:after="120"/>
      </w:pPr>
      <w:r>
        <w:t xml:space="preserve">Each of the four demo cases gets a specific demo script showing the portal-to-staff lifecycle. The primary walkthrough uses Case 1 (Robert Martinez). Cases 2–4 demonstrate variations.</w:t>
      </w:r>
    </w:p>
    <w:p>
      <w:pPr>
        <w:pStyle w:val="Heading2"/>
        <w:spacing w:before="240" w:after="120"/>
      </w:pPr>
      <w:r>
        <w:t xml:space="preserve">10.1 Case 1: Robert Martinez — Full Lifecycle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3200"/>
        <w:gridCol w:w="3560"/>
      </w:tblGrid>
      <w:tr>
        <w:tc>
          <w:tcPr>
            <w:tcW w:type="dxa" w:w="10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Demo Step</w:t>
            </w:r>
          </w:p>
        </w:tc>
        <w:tc>
          <w:tcPr>
            <w:tcW w:type="dxa" w:w="1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Actor</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5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What the Audience Sees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 (portal)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Logs in, sees dashboard with retirement readiness summary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Pre-populated: 28+ years service, Rule of 75 eligible, estimated benefit range</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Robert (portal)</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Starts retirement application, reviews pre-populated Part A</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Name, DOB, address from system. Certifies: married. Last day: March 31,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 (portal)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Views payment options with calculated amounts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four options with real dollar amounts. 75% J&amp;S selected, Elena designated.</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Robert (portal)</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Completes death benefit, tax, insurance, acknowledgments</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Death benefit: $5,000 (Rule of 75). Elects DERP insurance (IPR: $359.38/mo calculated live).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Robert (portal)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Reviews summary and submits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Full summary of all elections. Clicks Submit. Told to print and notarize.</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Switch to analyst view</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Audience sees new work item appear in queue: Martinez, SVC_RET, Tier 1, flags: Leave Payout, DRO (Case 4)</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Analyst (staff)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Opens work item, sees digital application summary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Structured data from Robert’s submission. Notarization pending indicator.</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Analyst (staff)</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Clicks ‘Confirm Notarized Application Received’</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Status advances. Application timeline updates.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Analyst (staff)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Proceeds through eligibility, calculation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existing demo flow, now with digital application context</w:t>
            </w:r>
          </w:p>
        </w:tc>
      </w:tr>
      <w:tr>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Switch back to Robert’s portal</w:t>
            </w:r>
          </w:p>
        </w:tc>
        <w:tc>
          <w:tcPr>
            <w:tcW w:type="dxa" w:w="3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Robert sees progress bar at “Benefit Calculation” (70%). All steps so far have timestamps.</w:t>
            </w:r>
          </w:p>
        </w:tc>
      </w:tr>
    </w:tbl>
    <w:p>
      <w:pPr>
        <w:pStyle w:val="Heading2"/>
        <w:spacing w:before="240" w:after="120"/>
      </w:pPr>
      <w:r>
        <w:t xml:space="preserve">10.2 Case 2: Jennifer Kim — Scenario Modeling in Portal</w:t>
      </w:r>
    </w:p>
    <w:p>
      <w:pPr>
        <w:spacing w:after="120"/>
      </w:pPr>
      <w:r>
        <w:t xml:space="preserve">Jennifer’s case demonstrates a critical portal feature: the benefit option display shows her early retirement reduction (30%, $1,633.07/month) alongside a callout: </w:t>
      </w:r>
      <w:r>
        <w:rPr>
          <w:b/>
          <w:bCs/>
        </w:rPr>
        <w:t xml:space="preserve">“If you wait until age 56, you’ll meet the Rule of 75 and receive approximately $2,518/month with no reduction — a 54% increase.” </w:t>
      </w:r>
      <w:r>
        <w:t xml:space="preserve">This is the scenario modeler surfaced in the member portal. The system knows Jennifer is 0.83 points from the Rule of 75 threshold because it ran the rules engine against her data. This is a uniquely powerful POC moment: the system proactively helps members make better decisions.</w:t>
      </w:r>
    </w:p>
    <w:p>
      <w:pPr>
        <w:pStyle w:val="Heading2"/>
        <w:spacing w:before="240" w:after="120"/>
      </w:pPr>
      <w:r>
        <w:t xml:space="preserve">10.3 Case 3: David Washington — Tier 3 Differences</w:t>
      </w:r>
    </w:p>
    <w:p>
      <w:pPr>
        <w:spacing w:after="120"/>
      </w:pPr>
      <w:r>
        <w:t xml:space="preserve">David’s portal experience highlights Tier 3 differences: the 60-month AMS window (versus 36 for Tiers 1/2), the Rule of 85 instead of Rule of 75, the 6% per year early retirement reduction instead of 3%, and the higher death benefit reduction ($500/year instead of $250). The portal adapts all calculations and explanatory text to his tier automatically.</w:t>
      </w:r>
    </w:p>
    <w:p>
      <w:pPr>
        <w:pStyle w:val="Heading2"/>
        <w:spacing w:before="240" w:after="120"/>
      </w:pPr>
      <w:r>
        <w:t xml:space="preserve">10.4 Case 4: Robert Martinez with DRO — DRO Awareness</w:t>
      </w:r>
    </w:p>
    <w:p>
      <w:pPr>
        <w:spacing w:after="120"/>
      </w:pPr>
      <w:r>
        <w:t xml:space="preserve">When Robert (DRO variant) logs into the portal, the system detects the DRO record in DRO_MASTER and adds a prominent informational banner: </w:t>
      </w:r>
      <w:r>
        <w:rPr>
          <w:b/>
          <w:bCs/>
        </w:rPr>
        <w:t xml:space="preserve">“A Domestic Relations Order is on file for your account. Your retirement benefit will be divided per the court order. The amounts shown below reflect your portion after the DRO division.” </w:t>
      </w:r>
      <w:r>
        <w:t xml:space="preserve">The payment option amounts shown in Step 2 reflect the post-DRO member share. This requires the portal’s benefit calculation endpoint to integrate with the DRO calculation logic already built for the staff workspace.</w:t>
      </w:r>
    </w:p>
    <w:p>
      <w:pPr>
        <w:pStyle w:val="Heading1"/>
        <w:spacing w:before="360" w:after="120"/>
      </w:pPr>
      <w:r>
        <w:t xml:space="preserve">11. Technical Implementation Notes for Claude Code</w:t>
      </w:r>
    </w:p>
    <w:p>
      <w:pPr>
        <w:pStyle w:val="Heading2"/>
        <w:spacing w:before="240" w:after="120"/>
      </w:pPr>
      <w:r>
        <w:t xml:space="preserve">11.1 Frontend Architecture</w:t>
      </w:r>
    </w:p>
    <w:p>
      <w:pPr>
        <w:spacing w:after="120"/>
      </w:pPr>
      <w:r>
        <w:t xml:space="preserve">The member portal is a separate route tree within the existing React application, not a separate deployment. It shares the component library, design system, and API client but has its own layout shell and navigation. The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Auth Requirement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PortalLayout (shell)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session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/portal/dashboard</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MemberDashboard</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session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/portal/apply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RetirementApplicationWizard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session + active status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/portal/apply/:id</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RetirementApplicationWizard (resume)</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session + owns application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/portal/status/:id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ApplicationStatus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session + owns application</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Existing staff routes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Staff session (existing)</w:t>
            </w:r>
          </w:p>
        </w:tc>
      </w:tr>
    </w:tbl>
    <w:p>
      <w:pPr>
        <w:pStyle w:val="Heading2"/>
        <w:spacing w:before="240" w:after="120"/>
      </w:pPr>
      <w:r>
        <w:t xml:space="preserve">11.2 Backend Service Changes</w:t>
      </w:r>
    </w:p>
    <w:p>
      <w:pPr>
        <w:spacing w:after="120"/>
      </w:pPr>
      <w:r>
        <w:t xml:space="preserve">Portal APIs are added to the existing service architecture. The connector service handles database reads/writes. The intelligence service handles rules evaluation and routing. The workspace service handles portal composition logic. No new services are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New Endpoints</w:t>
            </w:r>
          </w:p>
        </w:tc>
        <w:tc>
          <w:tcPr>
            <w:tcW w:type="dxa" w:w="4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New Logic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CRUD for APPLICATION_SUBMISSION, APPLICATION_DOCUMENTS, APPLICATION_MESSAGES, APPLICATION_STATUS_HISTORY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Standard database access patterns following existing conventions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Intelligence</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Benefit option calculation for portal, routing rules, document requirement generation</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Reuses existing rules engine; adds portal-facing response formatting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Workspace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Portal composition endpoint for application wizard step configuration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Tier-aware step adaptation (which fields/explanations to show based on member tier)</w:t>
            </w:r>
          </w:p>
        </w:tc>
      </w:tr>
    </w:tbl>
    <w:p>
      <w:pPr>
        <w:pStyle w:val="Heading2"/>
        <w:spacing w:before="240" w:after="120"/>
      </w:pPr>
      <w:r>
        <w:t xml:space="preserve">11.3 Data Generation Updates</w:t>
      </w:r>
    </w:p>
    <w:p>
      <w:pPr>
        <w:spacing w:after="120"/>
      </w:pPr>
      <w:r>
        <w:t xml:space="preserve">The generate_derp_data.py script is extended to create pre-seeded application data for demo cases. For Cases 2, 3, and 4, applications exist in various lifecycle states to demonstrate the status tracking view without requiring live submission during every demo. Case 1 (Robert Martinez) is left </w:t>
      </w:r>
      <w:r>
        <w:rPr>
          <w:b/>
          <w:bCs/>
        </w:rPr>
        <w:t xml:space="preserve">without</w:t>
      </w:r>
      <w:r>
        <w:t xml:space="preserve"> a pre-existing application so the full submission flow can be demonstrated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Demo Case</w:t>
            </w:r>
          </w:p>
        </w:tc>
        <w:tc>
          <w:tcPr>
            <w:tcW w:type="dxa" w:w="2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Pre-Seeded Application State</w:t>
            </w:r>
          </w:p>
        </w:tc>
        <w:tc>
          <w:tcPr>
            <w:tcW w:type="dxa" w:w="41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Demo 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1: Robert Martinez</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application (clean slate)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Live full-lifecycle walkthrough</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 2: Jennifer Kim</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SUBMITTED (awaiting notarized)</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Show portal status view, scenario callout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Case 3: David Washington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CALCULATION (mid-processing)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Show progress bar at 70%, Tier 3 differences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Case 4: Robert Martinez DRO</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No application (clean slate)</w:t>
            </w:r>
          </w:p>
        </w:tc>
        <w:tc>
          <w:tcPr>
            <w:tcW w:type="dxa" w:w="4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Live submission showing DRO awareness</w:t>
            </w:r>
          </w:p>
        </w:tc>
      </w:tr>
    </w:tbl>
    <w:p>
      <w:pPr>
        <w:pStyle w:val="Heading1"/>
        <w:spacing w:before="360" w:after="120"/>
      </w:pPr>
      <w:r>
        <w:t xml:space="preserve">12. Security Considerations</w:t>
      </w:r>
    </w:p>
    <w:p>
      <w:pPr>
        <w:spacing w:after="120"/>
      </w:pPr>
      <w:r>
        <w:t xml:space="preserve">The member portal introduces a new attack surface and a new user type. The following security controls apply, consistent with the NoUI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Concern</w:t>
            </w:r>
          </w:p>
        </w:tc>
        <w:tc>
          <w:tcPr>
            <w:tcW w:type="dxa" w:w="36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Control</w:t>
            </w:r>
          </w:p>
        </w:tc>
        <w:tc>
          <w:tcPr>
            <w:tcW w:type="dxa" w:w="336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POC Implementation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Member can only see own data</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RBAC: portal role restricts all queries to WHERE MBR_ID = authenticated_member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Enforced at API layer; all queries parameterized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Member cannot modify legacy records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Portal writes only to APPLICATION_* tables; MEMBER_MASTER is read-only from portal</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Separate write permissions per table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SSN handling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SSN displayed as masked (***-**-1234); full SSN never sent to portal frontend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masks before serialization</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Beneficiary SSN in application</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Encrypted at rest in APPLICATION_SUBMISSION; decrypted only for staff view</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AES-256 column-level encryption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security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POC: simulated sessions. Production: integrate with agency IdP</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Session tokens with member ID binding</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Audit trail</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All portal actions logged to TRANSACTION_LOG with session ID and IP</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sz w:val="20"/>
                <w:szCs w:val="20"/>
              </w:rPr>
              <w:t xml:space="preserve">Follows existing transaction logging pattern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Submission endpoint limited to prevent abuse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POC: basic rate limit; production: full WAF</w:t>
            </w:r>
          </w:p>
        </w:tc>
      </w:tr>
    </w:tbl>
    <w:p>
      <w:pPr>
        <w:pStyle w:val="Heading1"/>
        <w:spacing w:before="360" w:after="120"/>
      </w:pPr>
      <w:r>
        <w:t xml:space="preserve">13. What This Document Is Not</w:t>
      </w:r>
    </w:p>
    <w:p>
      <w:pPr>
        <w:spacing w:after="120"/>
      </w:pPr>
      <w:r>
        <w:t xml:space="preserve">This document does not define the visual design of the member portal. Visual design follows the NoUI Design System and the Dynamic Workspace UX Architecture.</w:t>
      </w:r>
    </w:p>
    <w:p>
      <w:pPr>
        <w:spacing w:after="120"/>
      </w:pPr>
      <w:r>
        <w:t xml:space="preserve">This document does not define how the benefit calculation works. Calculation logic is defined in the rules engine and validated against the four demo case hand calculations.</w:t>
      </w:r>
    </w:p>
    <w:p>
      <w:pPr>
        <w:spacing w:after="120"/>
      </w:pPr>
      <w:r>
        <w:t xml:space="preserve">This document does not replace the Service Retirement Process Definition. That document defines the complete process stages. This document adds the portal as an input channel to Stage 1 (Application Intake).</w:t>
      </w:r>
    </w:p>
    <w:p>
      <w:pPr>
        <w:spacing w:after="120"/>
      </w:pPr>
      <w:r>
        <w:t xml:space="preserve">This document does not define production authentication. POC authentication is simulated. Production authentication architecture will be defined when a real agency deployment is planned.</w:t>
      </w:r>
    </w:p>
    <w:p>
      <w:pPr>
        <w:spacing w:after="0"/>
      </w:pPr>
    </w:p>
    <w:p>
      <w:pPr>
        <w:jc w:val="center"/>
      </w:pPr>
      <w:r>
        <w:rPr>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DRAFT — Page </w:t>
    </w:r>
    <w:r>
      <w:rPr>
        <w:color w:val="999999"/>
        <w:sz w:val="18"/>
        <w:szCs w:val="18"/>
      </w:rPr>
      <w:fldChar w:fldCharType="begin"/>
      <w:instrText xml:space="preserve">PAGE</w:instrText>
      <w:fldChar w:fldCharType="separate"/>
      <w:fldChar w:fldCharType="end"/>
    </w:r>
    <w:r>
      <w:rPr>
        <w:color w:val="999999"/>
        <w:sz w:val="18"/>
        <w:szCs w:val="18"/>
      </w:rPr>
      <w:t xml:space="preserve">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color w:val="999999"/>
        <w:sz w:val="18"/>
        <w:szCs w:val="18"/>
      </w:rPr>
      <w:t xml:space="preserve">NoUI — Member Self-Service Portal &amp; Application Lifecycle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2026-02-22T09:10:41.155Z</dcterms:created>
  <dcterms:modified xsi:type="dcterms:W3CDTF">2026-02-22T09:10:41.157Z</dcterms:modified>
</cp:coreProperties>
</file>

<file path=docProps/custom.xml><?xml version="1.0" encoding="utf-8"?>
<Properties xmlns="http://schemas.openxmlformats.org/officeDocument/2006/custom-properties" xmlns:vt="http://schemas.openxmlformats.org/officeDocument/2006/docPropsVTypes"/>
</file>