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line="276"/>
      </w:pPr>
      <w:r>
        <w:rPr>
          <w:rFonts w:ascii="Arial" w:cs="Arial" w:eastAsia="Arial" w:hAnsi="Arial"/>
          <w:b/>
          <w:bCs/>
          <w:color w:val="00796B"/>
          <w:sz w:val="36"/>
          <w:szCs w:val="36"/>
        </w:rPr>
        <w:t xml:space="preserve">NoUI Platform</w:t>
      </w:r>
    </w:p>
    <w:p>
      <w:pPr>
        <w:spacing w:before="0" w:after="40" w:line="276"/>
      </w:pPr>
      <w:r>
        <w:rPr>
          <w:rFonts w:ascii="Arial" w:cs="Arial" w:eastAsia="Arial" w:hAnsi="Arial"/>
          <w:b/>
          <w:bCs/>
          <w:color w:val="1A2E2E"/>
          <w:sz w:val="28"/>
          <w:szCs w:val="28"/>
        </w:rPr>
        <w:t xml:space="preserve">Proficiency &amp; Skills Development Model</w:t>
      </w:r>
    </w:p>
    <w:p>
      <w:pPr>
        <w:spacing w:before="0" w:after="80" w:line="276"/>
      </w:pPr>
      <w:r>
        <w:rPr>
          <w:rFonts w:ascii="Arial" w:cs="Arial" w:eastAsia="Arial" w:hAnsi="Arial"/>
          <w:color w:val="4A6767"/>
          <w:sz w:val="22"/>
          <w:szCs w:val="22"/>
        </w:rPr>
        <w:t xml:space="preserve">Task Complexity Classification, Analyst Capability Tracking &amp; Intelligent Work Routing</w:t>
      </w:r>
    </w:p>
    <w:p>
      <w:pPr>
        <w:spacing w:before="0" w:after="200" w:line="276"/>
      </w:pPr>
      <w:r>
        <w:rPr>
          <w:rFonts w:ascii="Arial" w:cs="Arial" w:eastAsia="Arial" w:hAnsi="Arial"/>
          <w:color w:val="7A9696"/>
          <w:sz w:val="20"/>
          <w:szCs w:val="20"/>
        </w:rPr>
        <w:t xml:space="preserve">DERP Proof of Concept  |  February 2026  |  </w:t>
      </w:r>
      <w:r>
        <w:rPr>
          <w:rFonts w:ascii="Arial" w:cs="Arial" w:eastAsia="Arial" w:hAnsi="Arial"/>
          <w:b/>
          <w:bCs/>
          <w:color w:val="E65100"/>
          <w:sz w:val="20"/>
          <w:szCs w:val="20"/>
        </w:rPr>
        <w:t xml:space="preserve">DRAFT</w:t>
      </w:r>
      <w:r>
        <w:rPr>
          <w:rFonts w:ascii="Arial" w:cs="Arial" w:eastAsia="Arial" w:hAnsi="Arial"/>
          <w:color w:val="7A9696"/>
          <w:sz w:val="20"/>
          <w:szCs w:val="20"/>
        </w:rPr>
        <w:t xml:space="preserve">  |  Working Architecture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2"/>
              <w:bottom w:val="single" w:color="00796B" w:sz="1"/>
              <w:right w:val="single" w:color="00796B" w:sz="1"/>
            </w:tcBorders>
            <w:shd w:fill="E0F2F1" w:val="clear"/>
            <w:tcMar>
              <w:top w:type="dxa" w:w="80"/>
              <w:left w:type="dxa" w:w="120"/>
              <w:bottom w:type="dxa" w:w="80"/>
              <w:right w:type="dxa" w:w="120"/>
            </w:tcMar>
          </w:tcPr>
          <w:p>
            <w:pPr>
              <w:spacing w:before="0" w:after="40" w:line="276"/>
            </w:pPr>
            <w:r>
              <w:rPr>
                <w:rFonts w:ascii="Arial" w:cs="Arial" w:eastAsia="Arial" w:hAnsi="Arial"/>
                <w:b/>
                <w:bCs/>
                <w:color w:val="00796B"/>
                <w:sz w:val="20"/>
                <w:szCs w:val="20"/>
              </w:rPr>
              <w:t xml:space="preserve">Core Principle: Development Tool, Not Surveillance System</w:t>
            </w:r>
          </w:p>
          <w:p>
            <w:pPr>
              <w:spacing w:before="0" w:after="40" w:line="276"/>
            </w:pPr>
            <w:r>
              <w:rPr>
                <w:rFonts w:ascii="Arial" w:cs="Arial" w:eastAsia="Arial" w:hAnsi="Arial"/>
                <w:color w:val="1A2E2E"/>
                <w:sz w:val="20"/>
                <w:szCs w:val="20"/>
              </w:rPr>
              <w:t xml:space="preserve">This model exists to help pension agency staff grow their skills, build confidence, and achieve mastery over complex benefit administration. It tracks what people have learned and what they are ready to learn next. It routes work to match demonstrated capability so that analysts are challenged appropriately without being overwhelmed.</w:t>
            </w:r>
          </w:p>
          <w:p>
            <w:pPr>
              <w:spacing w:before="0" w:after="40" w:line="276"/>
            </w:pPr>
            <w:r>
              <w:rPr>
                <w:rFonts w:ascii="Arial" w:cs="Arial" w:eastAsia="Arial" w:hAnsi="Arial"/>
                <w:color w:val="1A2E2E"/>
                <w:sz w:val="20"/>
                <w:szCs w:val="20"/>
              </w:rPr>
              <w:t xml:space="preserve">It is explicitly not a performance ranking system. Supervisors see capability gaps for workload planning and cross-training decisions. They do not see speed rankings or comparative scorecards. The system aids workers; it does not surveille them.</w:t>
            </w:r>
          </w:p>
          <w:p>
            <w:pPr>
              <w:spacing w:before="0" w:after="40" w:line="276"/>
            </w:pPr>
            <w:r>
              <w:rPr>
                <w:rFonts w:ascii="Arial" w:cs="Arial" w:eastAsia="Arial" w:hAnsi="Arial"/>
                <w:color w:val="1A2E2E"/>
                <w:sz w:val="20"/>
                <w:szCs w:val="20"/>
              </w:rPr>
              <w:t xml:space="preserve">Per ADR-003: AI learns orchestration patterns to improve routing and presentation. It does not derive business rules, and it does not evaluate human performance for employment decisions.</w:t>
            </w:r>
          </w:p>
        </w:tc>
      </w:tr>
    </w:tbl>
    <w:p>
      <w:pPr>
        <w:spacing w:before="0" w:after="80" w:line="276"/>
      </w:pPr>
      <w:r>
        <w:rPr>
          <w:rFonts w:ascii="Arial" w:cs="Arial" w:eastAsia="Arial" w:hAnsi="Arial"/>
          <w:color w:val="1A2E2E"/>
          <w:sz w:val="22"/>
          <w:szCs w:val="22"/>
        </w:rPr>
        <w:t xml:space="preserve"/>
      </w:r>
    </w:p>
    <w:p>
      <w:pPr>
        <w:pStyle w:val="Heading1"/>
        <w:spacing w:before="360" w:after="120" w:line="276"/>
      </w:pPr>
      <w:r>
        <w:rPr>
          <w:rFonts w:ascii="Arial" w:cs="Arial" w:eastAsia="Arial" w:hAnsi="Arial"/>
          <w:color w:val="1A2E2E"/>
          <w:sz w:val="22"/>
          <w:szCs w:val="22"/>
        </w:rPr>
        <w:t xml:space="preserve">1. Purpose and Relationship to Existing Architecture</w:t>
      </w:r>
    </w:p>
    <w:p>
      <w:pPr>
        <w:spacing w:before="0" w:after="120" w:line="276"/>
      </w:pPr>
      <w:r>
        <w:rPr>
          <w:rFonts w:ascii="Arial" w:cs="Arial" w:eastAsia="Arial" w:hAnsi="Arial"/>
          <w:color w:val="1A2E2E"/>
          <w:sz w:val="22"/>
          <w:szCs w:val="22"/>
        </w:rPr>
        <w:t xml:space="preserve">The Application Management Services inventory identified the Proficiency Tracking Model as a design gap requiring formalization. The Guided, Assisted, and Expert proficiency modes were defined as interface behaviors, but the underlying model for what signals indicate readiness for mode graduation, what metrics supervisors see, and how the system handles regression was left unspecified.</w:t>
      </w:r>
    </w:p>
    <w:p>
      <w:pPr>
        <w:spacing w:before="0" w:after="120" w:line="276"/>
      </w:pPr>
      <w:r>
        <w:rPr>
          <w:rFonts w:ascii="Arial" w:cs="Arial" w:eastAsia="Arial" w:hAnsi="Arial"/>
          <w:color w:val="1A2E2E"/>
          <w:sz w:val="22"/>
          <w:szCs w:val="22"/>
        </w:rPr>
        <w:t xml:space="preserve">This document closes that gap by defining three interconnected capabilities that span the existing four-layer architecture:</w:t>
      </w:r>
    </w:p>
    <w:p>
      <w:pPr>
        <w:pStyle w:val="ListParagraph"/>
        <w:numPr>
          <w:ilvl w:val="0"/>
          <w:numId w:val="2"/>
        </w:numPr>
        <w:spacing w:after="60" w:line="276"/>
      </w:pPr>
      <w:r>
        <w:rPr>
          <w:rFonts w:ascii="Arial" w:cs="Arial" w:eastAsia="Arial" w:hAnsi="Arial"/>
          <w:b/>
          <w:bCs/>
          <w:color w:val="1A2E2E"/>
          <w:sz w:val="22"/>
          <w:szCs w:val="22"/>
        </w:rPr>
        <w:t xml:space="preserve">Task Complexity Classification </w:t>
      </w:r>
      <w:r>
        <w:rPr>
          <w:rFonts w:ascii="Arial" w:cs="Arial" w:eastAsia="Arial" w:hAnsi="Arial"/>
          <w:color w:val="1A2E2E"/>
          <w:sz w:val="22"/>
          <w:szCs w:val="22"/>
        </w:rPr>
        <w:t xml:space="preserve">— computed at case creation by the Process Orchestrator (Layer 2), stored on the case record, and used by the Relevance Engine (Layer 3) for queue ordering</w:t>
      </w:r>
    </w:p>
    <w:p>
      <w:pPr>
        <w:pStyle w:val="ListParagraph"/>
        <w:numPr>
          <w:ilvl w:val="0"/>
          <w:numId w:val="2"/>
        </w:numPr>
        <w:spacing w:after="60" w:line="276"/>
      </w:pPr>
      <w:r>
        <w:rPr>
          <w:rFonts w:ascii="Arial" w:cs="Arial" w:eastAsia="Arial" w:hAnsi="Arial"/>
          <w:b/>
          <w:bCs/>
          <w:color w:val="1A2E2E"/>
          <w:sz w:val="22"/>
          <w:szCs w:val="22"/>
        </w:rPr>
        <w:t xml:space="preserve">Analyst Capability Profile </w:t>
      </w:r>
      <w:r>
        <w:rPr>
          <w:rFonts w:ascii="Arial" w:cs="Arial" w:eastAsia="Arial" w:hAnsi="Arial"/>
          <w:color w:val="1A2E2E"/>
          <w:sz w:val="22"/>
          <w:szCs w:val="22"/>
        </w:rPr>
        <w:t xml:space="preserve">— maintained by the Proficiency Tracking service (Layer 3), consumed by the Dynamic Workspace (Layer 4) for mode selection and contextual help decisions</w:t>
      </w:r>
    </w:p>
    <w:p>
      <w:pPr>
        <w:pStyle w:val="ListParagraph"/>
        <w:numPr>
          <w:ilvl w:val="0"/>
          <w:numId w:val="2"/>
        </w:numPr>
        <w:spacing w:after="60" w:line="276"/>
      </w:pPr>
      <w:r>
        <w:rPr>
          <w:rFonts w:ascii="Arial" w:cs="Arial" w:eastAsia="Arial" w:hAnsi="Arial"/>
          <w:b/>
          <w:bCs/>
          <w:color w:val="1A2E2E"/>
          <w:sz w:val="22"/>
          <w:szCs w:val="22"/>
        </w:rPr>
        <w:t xml:space="preserve">Intelligent Work Routing </w:t>
      </w:r>
      <w:r>
        <w:rPr>
          <w:rFonts w:ascii="Arial" w:cs="Arial" w:eastAsia="Arial" w:hAnsi="Arial"/>
          <w:color w:val="1A2E2E"/>
          <w:sz w:val="22"/>
          <w:szCs w:val="22"/>
        </w:rPr>
        <w:t xml:space="preserve">— the Relevance Engine matches incoming case complexity to analyst demonstrated capability, balancing skill development against processing efficiency</w:t>
      </w:r>
    </w:p>
    <w:p>
      <w:pPr>
        <w:spacing w:before="0" w:after="120" w:line="276"/>
      </w:pPr>
      <w:r>
        <w:rPr>
          <w:rFonts w:ascii="Arial" w:cs="Arial" w:eastAsia="Arial" w:hAnsi="Arial"/>
          <w:color w:val="1A2E2E"/>
          <w:sz w:val="22"/>
          <w:szCs w:val="22"/>
        </w:rPr>
        <w:t xml:space="preserve">These capabilities are cross-cutting services per Section 6.1 of the Application Management Services document. They do not constitute a new architectural layer.</w:t>
      </w:r>
    </w:p>
    <w:p>
      <w:pPr>
        <w:pStyle w:val="Heading2"/>
        <w:spacing w:before="240" w:after="120" w:line="276"/>
      </w:pPr>
      <w:r>
        <w:rPr>
          <w:rFonts w:ascii="Arial" w:cs="Arial" w:eastAsia="Arial" w:hAnsi="Arial"/>
          <w:color w:val="1A2E2E"/>
          <w:sz w:val="22"/>
          <w:szCs w:val="22"/>
        </w:rPr>
        <w:t xml:space="preserve">1.1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Document</w:t>
            </w:r>
          </w:p>
        </w:tc>
        <w:tc>
          <w:tcPr>
            <w:tcW w:type="dxa" w:w="61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Relationship</w:t>
            </w:r>
          </w:p>
        </w:tc>
      </w:tr>
      <w:tr>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Application Management Services</w:t>
            </w:r>
          </w:p>
        </w:tc>
        <w:tc>
          <w:tcPr>
            <w:tcW w:type="dxa" w:w="6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Parent document. Section 3.2 defines Guided/Assisted/Expert modes. Section 5 identifies Proficiency Tracking as a design gap.</w:t>
            </w:r>
          </w:p>
        </w:tc>
      </w:tr>
      <w:tr>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Roles &amp; Workspace Architecture</w:t>
            </w:r>
          </w:p>
        </w:tc>
        <w:tc>
          <w:tcPr>
            <w:tcW w:type="dxa" w:w="61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Defines 9 workspace roles. This document adds per-role capability dimensions.</w:t>
            </w:r>
          </w:p>
        </w:tc>
      </w:tr>
      <w:tr>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Dynamic Workspace UX Architecture</w:t>
            </w:r>
          </w:p>
        </w:tc>
        <w:tc>
          <w:tcPr>
            <w:tcW w:type="dxa" w:w="6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Section 5 defines intelligent routing phases. This document provides the proficiency data model that Phase 2 (observation) and Phase 3 (suggestion) require.</w:t>
            </w:r>
          </w:p>
        </w:tc>
      </w:tr>
      <w:tr>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ADR-003: AI Learns Orchestration</w:t>
            </w:r>
          </w:p>
        </w:tc>
        <w:tc>
          <w:tcPr>
            <w:tcW w:type="dxa" w:w="61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Boundary: AI learns from processing patterns to inform routing. AI does not derive business rules or evaluate human performance for employment decisions.</w:t>
            </w:r>
          </w:p>
        </w:tc>
      </w:tr>
      <w:tr>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Business Rules Inventory</w:t>
            </w:r>
          </w:p>
        </w:tc>
        <w:tc>
          <w:tcPr>
            <w:tcW w:type="dxa" w:w="6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52 rules across 8 categories. Complexity classification maps directly to which rules a case invokes.</w:t>
            </w:r>
          </w:p>
        </w:tc>
      </w:tr>
      <w:tr>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Defect Prevention Framework</w:t>
            </w:r>
          </w:p>
        </w:tc>
        <w:tc>
          <w:tcPr>
            <w:tcW w:type="dxa" w:w="61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Accuracy tracking per complexity tier feeds the defect taxonomy. Systematic errors at a complexity level may indicate a training gap, not an individual failing.</w:t>
            </w:r>
          </w:p>
        </w:tc>
      </w:tr>
    </w:tbl>
    <w:p>
      <w:pPr>
        <w:spacing w:before="0" w:after="60" w:line="276"/>
      </w:pPr>
      <w:r>
        <w:rPr>
          <w:rFonts w:ascii="Arial" w:cs="Arial" w:eastAsia="Arial" w:hAnsi="Arial"/>
          <w:color w:val="1A2E2E"/>
          <w:sz w:val="22"/>
          <w:szCs w:val="22"/>
        </w:rPr>
        <w:t xml:space="preserve"/>
      </w:r>
    </w:p>
    <w:p>
      <w:pPr>
        <w:pStyle w:val="Heading1"/>
        <w:spacing w:before="360" w:after="120" w:line="276"/>
      </w:pPr>
      <w:r>
        <w:rPr>
          <w:rFonts w:ascii="Arial" w:cs="Arial" w:eastAsia="Arial" w:hAnsi="Arial"/>
          <w:color w:val="1A2E2E"/>
          <w:sz w:val="22"/>
          <w:szCs w:val="22"/>
        </w:rPr>
        <w:t xml:space="preserve">2. Task Complexity Classification</w:t>
      </w:r>
    </w:p>
    <w:p>
      <w:pPr>
        <w:spacing w:before="0" w:after="120" w:line="276"/>
      </w:pPr>
      <w:r>
        <w:rPr>
          <w:rFonts w:ascii="Arial" w:cs="Arial" w:eastAsia="Arial" w:hAnsi="Arial"/>
          <w:color w:val="1A2E2E"/>
          <w:sz w:val="22"/>
          <w:szCs w:val="22"/>
        </w:rPr>
        <w:t xml:space="preserve">Every case that enters the system carries a complexity classification computed deterministically from objective case characteristics. This classification is assigned at case creation by the Process Orchestrator, stored on the case record, and immutable for the life of the case. Complexity does not change based on who processes the case or how long it takes.</w:t>
      </w:r>
    </w:p>
    <w:p>
      <w:pPr>
        <w:pStyle w:val="Heading2"/>
        <w:spacing w:before="240" w:after="120" w:line="276"/>
      </w:pPr>
      <w:r>
        <w:rPr>
          <w:rFonts w:ascii="Arial" w:cs="Arial" w:eastAsia="Arial" w:hAnsi="Arial"/>
          <w:color w:val="1A2E2E"/>
          <w:sz w:val="22"/>
          <w:szCs w:val="22"/>
        </w:rPr>
        <w:t xml:space="preserve">2.1 Complexity Tiers</w:t>
      </w:r>
    </w:p>
    <w:p>
      <w:pPr>
        <w:spacing w:before="0" w:after="120" w:line="276"/>
      </w:pPr>
      <w:r>
        <w:rPr>
          <w:rFonts w:ascii="Arial" w:cs="Arial" w:eastAsia="Arial" w:hAnsi="Arial"/>
          <w:color w:val="1A2E2E"/>
          <w:sz w:val="22"/>
          <w:szCs w:val="22"/>
        </w:rPr>
        <w:t xml:space="preserve">Three tiers provide sufficient granularity for routing and proficiency tracking without creating false precision. Each tier is defined by the rules the case will invoke and the number of interacting provisions the analyst must understand.</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2"/>
              <w:bottom w:val="single" w:color="2E7D32" w:sz="1"/>
              <w:right w:val="single" w:color="2E7D32" w:sz="1"/>
            </w:tcBorders>
            <w:shd w:fill="E8F5E9" w:val="clear"/>
            <w:tcMar>
              <w:top w:type="dxa" w:w="80"/>
              <w:left w:type="dxa" w:w="120"/>
              <w:bottom w:type="dxa" w:w="80"/>
              <w:right w:type="dxa" w:w="120"/>
            </w:tcMar>
          </w:tcPr>
          <w:p>
            <w:pPr>
              <w:spacing w:before="0" w:after="40" w:line="276"/>
            </w:pPr>
            <w:r>
              <w:rPr>
                <w:rFonts w:ascii="Arial" w:cs="Arial" w:eastAsia="Arial" w:hAnsi="Arial"/>
                <w:b/>
                <w:bCs/>
                <w:color w:val="2E7D32"/>
                <w:sz w:val="20"/>
                <w:szCs w:val="20"/>
              </w:rPr>
              <w:t xml:space="preserve">STANDARD — Single-path cases with predictable outcomes</w:t>
            </w:r>
          </w:p>
          <w:p>
            <w:pPr>
              <w:spacing w:before="0" w:after="40" w:line="276"/>
            </w:pPr>
            <w:r>
              <w:rPr>
                <w:rFonts w:ascii="Arial" w:cs="Arial" w:eastAsia="Arial" w:hAnsi="Arial"/>
                <w:color w:val="1A2E2E"/>
                <w:sz w:val="20"/>
                <w:szCs w:val="20"/>
              </w:rPr>
              <w:t xml:space="preserve">The member clearly meets a single eligibility path (normal retirement or Rule of 75/85). No special provisions apply. The calculation uses base formula inputs without conditional adjustments. These cases exercise the core rules (tier determination, AMS calculation, benefit formula, payment options) but do not require the analyst to evaluate rule interactions.</w:t>
            </w:r>
          </w:p>
        </w:tc>
      </w:tr>
    </w:tbl>
    <w:p>
      <w:pPr>
        <w:spacing w:before="0" w:after="6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80"/>
              <w:left w:type="dxa" w:w="120"/>
              <w:bottom w:type="dxa" w:w="80"/>
              <w:right w:type="dxa" w:w="120"/>
            </w:tcMar>
          </w:tcPr>
          <w:p>
            <w:pPr>
              <w:spacing w:before="0" w:after="40" w:line="276"/>
            </w:pPr>
            <w:r>
              <w:rPr>
                <w:rFonts w:ascii="Arial" w:cs="Arial" w:eastAsia="Arial" w:hAnsi="Arial"/>
                <w:b/>
                <w:bCs/>
                <w:color w:val="E65100"/>
                <w:sz w:val="20"/>
                <w:szCs w:val="20"/>
              </w:rPr>
              <w:t xml:space="preserve">ELEVATED — Cases requiring rule interaction understanding</w:t>
            </w:r>
          </w:p>
          <w:p>
            <w:pPr>
              <w:spacing w:before="0" w:after="40" w:line="276"/>
            </w:pPr>
            <w:r>
              <w:rPr>
                <w:rFonts w:ascii="Arial" w:cs="Arial" w:eastAsia="Arial" w:hAnsi="Arial"/>
                <w:color w:val="1A2E2E"/>
                <w:sz w:val="20"/>
                <w:szCs w:val="20"/>
              </w:rPr>
              <w:t xml:space="preserve">One or more complicating factors are present: early retirement with reduction calculation, purchased service (especially the eligibility exclusion per RULE-SVC-PURCHASED), leave payout affecting the AMS window (RULE-LEAVE-PAYOUT), threshold proximity where a member nearly meets Rule of 75/85, or a non-standard payment option election. The analyst must understand how rules interact and verify that the system has correctly evaluated conditional logic.</w:t>
            </w:r>
          </w:p>
        </w:tc>
      </w:tr>
    </w:tbl>
    <w:p>
      <w:pPr>
        <w:spacing w:before="0" w:after="6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1B9A" w:sz="1"/>
              <w:left w:val="single" w:color="6A1B9A" w:sz="12"/>
              <w:bottom w:val="single" w:color="6A1B9A" w:sz="1"/>
              <w:right w:val="single" w:color="6A1B9A" w:sz="1"/>
            </w:tcBorders>
            <w:shd w:fill="F3E5F5" w:val="clear"/>
            <w:tcMar>
              <w:top w:type="dxa" w:w="80"/>
              <w:left w:type="dxa" w:w="120"/>
              <w:bottom w:type="dxa" w:w="80"/>
              <w:right w:type="dxa" w:w="120"/>
            </w:tcMar>
          </w:tcPr>
          <w:p>
            <w:pPr>
              <w:spacing w:before="0" w:after="40" w:line="276"/>
            </w:pPr>
            <w:r>
              <w:rPr>
                <w:rFonts w:ascii="Arial" w:cs="Arial" w:eastAsia="Arial" w:hAnsi="Arial"/>
                <w:b/>
                <w:bCs/>
                <w:color w:val="6A1B9A"/>
                <w:sz w:val="20"/>
                <w:szCs w:val="20"/>
              </w:rPr>
              <w:t xml:space="preserve">COMPLEX — Multi-factor cases requiring deep domain knowledge</w:t>
            </w:r>
          </w:p>
          <w:p>
            <w:pPr>
              <w:spacing w:before="0" w:after="40" w:line="276"/>
            </w:pPr>
            <w:r>
              <w:rPr>
                <w:rFonts w:ascii="Arial" w:cs="Arial" w:eastAsia="Arial" w:hAnsi="Arial"/>
                <w:color w:val="1A2E2E"/>
                <w:sz w:val="20"/>
                <w:szCs w:val="20"/>
              </w:rPr>
              <w:t xml:space="preserve">Multiple complicating factors compound: DRO with marital share calculation (RULE-DRO-MARITAL-SHARE through RULE-DRO-COLA), furlough days within the AMS window (RULE-FURLOUGH), data quality findings on the member record requiring resolution before calculation, multi-party cases (survivor benefits, DRO with simultaneous retirement), or any case flagged under the Ambiguous Interpretation category in the defect taxonomy. These cases benefit from extended contextual guidance regardless of analyst experience level.</w:t>
            </w:r>
          </w:p>
        </w:tc>
      </w:tr>
    </w:tbl>
    <w:p>
      <w:pPr>
        <w:spacing w:before="0" w:after="80" w:line="276"/>
      </w:pPr>
      <w:r>
        <w:rPr>
          <w:rFonts w:ascii="Arial" w:cs="Arial" w:eastAsia="Arial" w:hAnsi="Arial"/>
          <w:color w:val="1A2E2E"/>
          <w:sz w:val="22"/>
          <w:szCs w:val="22"/>
        </w:rPr>
        <w:t xml:space="preserve"/>
      </w:r>
    </w:p>
    <w:p>
      <w:pPr>
        <w:pStyle w:val="Heading2"/>
        <w:spacing w:before="240" w:after="120" w:line="276"/>
      </w:pPr>
      <w:r>
        <w:rPr>
          <w:rFonts w:ascii="Arial" w:cs="Arial" w:eastAsia="Arial" w:hAnsi="Arial"/>
          <w:color w:val="1A2E2E"/>
          <w:sz w:val="22"/>
          <w:szCs w:val="22"/>
        </w:rPr>
        <w:t xml:space="preserve">2.2 Classification Logic</w:t>
      </w:r>
    </w:p>
    <w:p>
      <w:pPr>
        <w:spacing w:before="0" w:after="120" w:line="276"/>
      </w:pPr>
      <w:r>
        <w:rPr>
          <w:rFonts w:ascii="Arial" w:cs="Arial" w:eastAsia="Arial" w:hAnsi="Arial"/>
          <w:color w:val="1A2E2E"/>
          <w:sz w:val="22"/>
          <w:szCs w:val="22"/>
        </w:rPr>
        <w:t xml:space="preserve">The Process Orchestrator evaluates the following factors at case creation. Each factor is a deterministic check against the member record and case data. No AI judgment is involved.</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Factor</w:t>
            </w:r>
          </w:p>
        </w:tc>
        <w:tc>
          <w:tcPr>
            <w:tcW w:type="dxa" w:w="42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Check</w:t>
            </w:r>
          </w:p>
        </w:tc>
        <w:tc>
          <w:tcPr>
            <w:tcW w:type="dxa" w:w="27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If True</w:t>
            </w:r>
          </w:p>
        </w:tc>
      </w:tr>
      <w:tr>
        <w:tc>
          <w:tcPr>
            <w:tcW w:type="dxa" w:w="2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Retirement type</w:t>
            </w:r>
          </w:p>
        </w:tc>
        <w:tc>
          <w:tcPr>
            <w:tcW w:type="dxa" w:w="4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Normal retirement, age 65+ with 5+ years</w:t>
            </w:r>
          </w:p>
        </w:tc>
        <w:tc>
          <w:tcPr>
            <w:tcW w:type="dxa" w:w="27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No complexity added</w:t>
            </w:r>
          </w:p>
        </w:tc>
      </w:tr>
      <w:tr>
        <w:tc>
          <w:tcPr>
            <w:tcW w:type="dxa" w:w="2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Rule of 75/85 met</w:t>
            </w:r>
          </w:p>
        </w:tc>
        <w:tc>
          <w:tcPr>
            <w:tcW w:type="dxa" w:w="4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Sum clearly exceeds threshold (3+ points above)</w:t>
            </w:r>
          </w:p>
        </w:tc>
        <w:tc>
          <w:tcPr>
            <w:tcW w:type="dxa" w:w="27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No complexity added</w:t>
            </w:r>
          </w:p>
        </w:tc>
      </w:tr>
      <w:tr>
        <w:tc>
          <w:tcPr>
            <w:tcW w:type="dxa" w:w="2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Rule of 75/85 marginal</w:t>
            </w:r>
          </w:p>
        </w:tc>
        <w:tc>
          <w:tcPr>
            <w:tcW w:type="dxa" w:w="4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Sum within 2 points of threshold</w:t>
            </w:r>
          </w:p>
        </w:tc>
        <w:tc>
          <w:tcPr>
            <w:tcW w:type="dxa" w:w="27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ELEVATED</w:t>
            </w:r>
          </w:p>
        </w:tc>
      </w:tr>
      <w:tr>
        <w:tc>
          <w:tcPr>
            <w:tcW w:type="dxa" w:w="2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Early retirement</w:t>
            </w:r>
          </w:p>
        </w:tc>
        <w:tc>
          <w:tcPr>
            <w:tcW w:type="dxa" w:w="4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Does not meet normal or Rule of 75/85</w:t>
            </w:r>
          </w:p>
        </w:tc>
        <w:tc>
          <w:tcPr>
            <w:tcW w:type="dxa" w:w="27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ELEVATED</w:t>
            </w:r>
          </w:p>
        </w:tc>
      </w:tr>
      <w:tr>
        <w:tc>
          <w:tcPr>
            <w:tcW w:type="dxa" w:w="2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Purchased service present</w:t>
            </w:r>
          </w:p>
        </w:tc>
        <w:tc>
          <w:tcPr>
            <w:tcW w:type="dxa" w:w="4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RULE-SVC-PURCHASED records exist</w:t>
            </w:r>
          </w:p>
        </w:tc>
        <w:tc>
          <w:tcPr>
            <w:tcW w:type="dxa" w:w="27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ELEVATED</w:t>
            </w:r>
          </w:p>
        </w:tc>
      </w:tr>
      <w:tr>
        <w:tc>
          <w:tcPr>
            <w:tcW w:type="dxa" w:w="2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Leave payout eligible</w:t>
            </w:r>
          </w:p>
        </w:tc>
        <w:tc>
          <w:tcPr>
            <w:tcW w:type="dxa" w:w="4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Hired before Jan 1, 2010, with leave balance</w:t>
            </w:r>
          </w:p>
        </w:tc>
        <w:tc>
          <w:tcPr>
            <w:tcW w:type="dxa" w:w="27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ELEVATED</w:t>
            </w:r>
          </w:p>
        </w:tc>
      </w:tr>
      <w:tr>
        <w:tc>
          <w:tcPr>
            <w:tcW w:type="dxa" w:w="2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DRO present</w:t>
            </w:r>
          </w:p>
        </w:tc>
        <w:tc>
          <w:tcPr>
            <w:tcW w:type="dxa" w:w="4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Active DRO record on member</w:t>
            </w:r>
          </w:p>
        </w:tc>
        <w:tc>
          <w:tcPr>
            <w:tcW w:type="dxa" w:w="27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COMPLEX</w:t>
            </w:r>
          </w:p>
        </w:tc>
      </w:tr>
      <w:tr>
        <w:tc>
          <w:tcPr>
            <w:tcW w:type="dxa" w:w="2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Furlough in AMS window</w:t>
            </w:r>
          </w:p>
        </w:tc>
        <w:tc>
          <w:tcPr>
            <w:tcW w:type="dxa" w:w="4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Furlough days within highest-salary period</w:t>
            </w:r>
          </w:p>
        </w:tc>
        <w:tc>
          <w:tcPr>
            <w:tcW w:type="dxa" w:w="27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COMPLEX</w:t>
            </w:r>
          </w:p>
        </w:tc>
      </w:tr>
      <w:tr>
        <w:tc>
          <w:tcPr>
            <w:tcW w:type="dxa" w:w="2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Data quality finding</w:t>
            </w:r>
          </w:p>
        </w:tc>
        <w:tc>
          <w:tcPr>
            <w:tcW w:type="dxa" w:w="4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Open finding on member record</w:t>
            </w:r>
          </w:p>
        </w:tc>
        <w:tc>
          <w:tcPr>
            <w:tcW w:type="dxa" w:w="27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COMPLEX</w:t>
            </w:r>
          </w:p>
        </w:tc>
      </w:tr>
      <w:tr>
        <w:tc>
          <w:tcPr>
            <w:tcW w:type="dxa" w:w="2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Multi-party case</w:t>
            </w:r>
          </w:p>
        </w:tc>
        <w:tc>
          <w:tcPr>
            <w:tcW w:type="dxa" w:w="4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Survivor or DRO with concurrent processing</w:t>
            </w:r>
          </w:p>
        </w:tc>
        <w:tc>
          <w:tcPr>
            <w:tcW w:type="dxa" w:w="27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COMPLEX</w:t>
            </w:r>
          </w:p>
        </w:tc>
      </w:tr>
      <w:tr>
        <w:tc>
          <w:tcPr>
            <w:tcW w:type="dxa" w:w="2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Ambiguous interpretation</w:t>
            </w:r>
          </w:p>
        </w:tc>
        <w:tc>
          <w:tcPr>
            <w:tcW w:type="dxa" w:w="4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Case triggers a flagged assumption</w:t>
            </w:r>
          </w:p>
        </w:tc>
        <w:tc>
          <w:tcPr>
            <w:tcW w:type="dxa" w:w="27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Elevates to COMPLEX</w:t>
            </w:r>
          </w:p>
        </w:tc>
      </w:tr>
    </w:tbl>
    <w:p>
      <w:pPr>
        <w:spacing w:before="0" w:after="6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Classification uses highest-applicable tier: if any COMPLEX factor is present, the case is COMPLEX regardless of whether ELEVATED or STANDARD factors are also present. Within ELEVATED, a count of factors is stored for future sub-tier analysis when production volume supports it.</w:t>
      </w:r>
    </w:p>
    <w:p>
      <w:pPr>
        <w:pStyle w:val="Heading2"/>
        <w:spacing w:before="240" w:after="120" w:line="276"/>
      </w:pPr>
      <w:r>
        <w:rPr>
          <w:rFonts w:ascii="Arial" w:cs="Arial" w:eastAsia="Arial" w:hAnsi="Arial"/>
          <w:color w:val="1A2E2E"/>
          <w:sz w:val="22"/>
          <w:szCs w:val="22"/>
        </w:rPr>
        <w:t xml:space="preserve">2.3 Complexity Distribution Expectation</w:t>
      </w:r>
    </w:p>
    <w:p>
      <w:pPr>
        <w:spacing w:before="0" w:after="120" w:line="276"/>
      </w:pPr>
      <w:r>
        <w:rPr>
          <w:rFonts w:ascii="Arial" w:cs="Arial" w:eastAsia="Arial" w:hAnsi="Arial"/>
          <w:color w:val="1A2E2E"/>
          <w:sz w:val="22"/>
          <w:szCs w:val="22"/>
        </w:rPr>
        <w:t xml:space="preserve">In a typical pension plan, complexity distribution varies. These are </w:t>
      </w:r>
      <w:r>
        <w:rPr>
          <w:rFonts w:ascii="Arial" w:cs="Arial" w:eastAsia="Arial" w:hAnsi="Arial"/>
          <w:b/>
          <w:bCs/>
          <w:i/>
          <w:iCs/>
          <w:color w:val="1A2E2E"/>
          <w:sz w:val="22"/>
          <w:szCs w:val="22"/>
        </w:rPr>
        <w:t xml:space="preserve">illustrative assumptions, not data-backed statistics</w:t>
      </w:r>
      <w:r>
        <w:rPr>
          <w:rFonts w:ascii="Arial" w:cs="Arial" w:eastAsia="Arial" w:hAnsi="Arial"/>
          <w:color w:val="1A2E2E"/>
          <w:sz w:val="22"/>
          <w:szCs w:val="22"/>
        </w:rPr>
        <w:t xml:space="preserve">. Actual distribution would be established from DERP production data:</w:t>
      </w:r>
    </w:p>
    <w:p>
      <w:pPr>
        <w:pStyle w:val="ListParagraph"/>
        <w:numPr>
          <w:ilvl w:val="0"/>
          <w:numId w:val="2"/>
        </w:numPr>
        <w:spacing w:after="60" w:line="276"/>
      </w:pPr>
      <w:r>
        <w:rPr>
          <w:rFonts w:ascii="Arial" w:cs="Arial" w:eastAsia="Arial" w:hAnsi="Arial"/>
          <w:b/>
          <w:bCs/>
          <w:color w:val="1A2E2E"/>
          <w:sz w:val="22"/>
          <w:szCs w:val="22"/>
        </w:rPr>
        <w:t xml:space="preserve">Standard: </w:t>
      </w:r>
      <w:r>
        <w:rPr>
          <w:rFonts w:ascii="Arial" w:cs="Arial" w:eastAsia="Arial" w:hAnsi="Arial"/>
          <w:color w:val="1A2E2E"/>
          <w:sz w:val="22"/>
          <w:szCs w:val="22"/>
        </w:rPr>
        <w:t xml:space="preserve">Assumed majority of service retirement cases. Single-path eligibility, base formula.</w:t>
      </w:r>
    </w:p>
    <w:p>
      <w:pPr>
        <w:pStyle w:val="ListParagraph"/>
        <w:numPr>
          <w:ilvl w:val="0"/>
          <w:numId w:val="2"/>
        </w:numPr>
        <w:spacing w:after="60" w:line="276"/>
      </w:pPr>
      <w:r>
        <w:rPr>
          <w:rFonts w:ascii="Arial" w:cs="Arial" w:eastAsia="Arial" w:hAnsi="Arial"/>
          <w:b/>
          <w:bCs/>
          <w:color w:val="1A2E2E"/>
          <w:sz w:val="22"/>
          <w:szCs w:val="22"/>
        </w:rPr>
        <w:t xml:space="preserve">Elevated: </w:t>
      </w:r>
      <w:r>
        <w:rPr>
          <w:rFonts w:ascii="Arial" w:cs="Arial" w:eastAsia="Arial" w:hAnsi="Arial"/>
          <w:color w:val="1A2E2E"/>
          <w:sz w:val="22"/>
          <w:szCs w:val="22"/>
        </w:rPr>
        <w:t xml:space="preserve">Assumed meaningful minority. Early retirements, purchased service, leave payouts.</w:t>
      </w:r>
    </w:p>
    <w:p>
      <w:pPr>
        <w:pStyle w:val="ListParagraph"/>
        <w:numPr>
          <w:ilvl w:val="0"/>
          <w:numId w:val="2"/>
        </w:numPr>
        <w:spacing w:after="60" w:line="276"/>
      </w:pPr>
      <w:r>
        <w:rPr>
          <w:rFonts w:ascii="Arial" w:cs="Arial" w:eastAsia="Arial" w:hAnsi="Arial"/>
          <w:b/>
          <w:bCs/>
          <w:color w:val="1A2E2E"/>
          <w:sz w:val="22"/>
          <w:szCs w:val="22"/>
        </w:rPr>
        <w:t xml:space="preserve">Complex: </w:t>
      </w:r>
      <w:r>
        <w:rPr>
          <w:rFonts w:ascii="Arial" w:cs="Arial" w:eastAsia="Arial" w:hAnsi="Arial"/>
          <w:color w:val="1A2E2E"/>
          <w:sz w:val="22"/>
          <w:szCs w:val="22"/>
        </w:rPr>
        <w:t xml:space="preserve">Assumed smallest group. DROs, multi-factor cases, data quality issues.</w:t>
      </w:r>
    </w:p>
    <w:p>
      <w:pPr>
        <w:spacing w:before="0" w:after="120" w:line="276"/>
      </w:pPr>
      <w:r>
        <w:rPr>
          <w:rFonts w:ascii="Arial" w:cs="Arial" w:eastAsia="Arial" w:hAnsi="Arial"/>
          <w:color w:val="1A2E2E"/>
          <w:sz w:val="22"/>
          <w:szCs w:val="22"/>
        </w:rPr>
        <w:t xml:space="preserve">The four POC demo cases intentionally over-represent Elevated and Complex tiers to demonstrate the system's capabilities with the hardest scenarios. Robert Martinez (Case 1) is Elevated due to leave payout; Jennifer Kim (Case 2) is Elevated due to purchased service plus early retirement; David Washington (Case 3) is Elevated due to early retirement with Tier 3 provisions; Robert Martinez with DRO (Case 4) is Complex due to DRO plus leave payout interaction.</w:t>
      </w:r>
    </w:p>
    <w:p>
      <w:r>
        <w:br w:type="page"/>
      </w:r>
    </w:p>
    <w:p>
      <w:pPr>
        <w:pStyle w:val="Heading1"/>
        <w:spacing w:before="360" w:after="120" w:line="276"/>
      </w:pPr>
      <w:r>
        <w:rPr>
          <w:rFonts w:ascii="Arial" w:cs="Arial" w:eastAsia="Arial" w:hAnsi="Arial"/>
          <w:color w:val="1A2E2E"/>
          <w:sz w:val="22"/>
          <w:szCs w:val="22"/>
        </w:rPr>
        <w:t xml:space="preserve">3. Analyst Capability Profile</w:t>
      </w:r>
    </w:p>
    <w:p>
      <w:pPr>
        <w:spacing w:before="0" w:after="120" w:line="276"/>
      </w:pPr>
      <w:r>
        <w:rPr>
          <w:rFonts w:ascii="Arial" w:cs="Arial" w:eastAsia="Arial" w:hAnsi="Arial"/>
          <w:color w:val="1A2E2E"/>
          <w:sz w:val="22"/>
          <w:szCs w:val="22"/>
        </w:rPr>
        <w:t xml:space="preserve">The capability profile tracks what an analyst has demonstrated they can do, segmented by task complexity. It is a learning record, not a performance scorecard. The profile answers three questions: what types of cases has this person successfully completed, at what level of system assistance, and where are the growth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2"/>
              <w:bottom w:val="single" w:color="0D47A1" w:sz="1"/>
              <w:right w:val="single" w:color="0D47A1" w:sz="1"/>
            </w:tcBorders>
            <w:shd w:fill="E3F2FD" w:val="clear"/>
            <w:tcMar>
              <w:top w:type="dxa" w:w="80"/>
              <w:left w:type="dxa" w:w="120"/>
              <w:bottom w:type="dxa" w:w="80"/>
              <w:right w:type="dxa" w:w="120"/>
            </w:tcMar>
          </w:tcPr>
          <w:p>
            <w:pPr>
              <w:spacing w:before="0" w:after="40" w:line="276"/>
            </w:pPr>
            <w:r>
              <w:rPr>
                <w:rFonts w:ascii="Arial" w:cs="Arial" w:eastAsia="Arial" w:hAnsi="Arial"/>
                <w:b/>
                <w:bCs/>
                <w:color w:val="0D47A1"/>
                <w:sz w:val="20"/>
                <w:szCs w:val="20"/>
              </w:rPr>
              <w:t xml:space="preserve">Framing Matters: Skills Development, Not Performance Management</w:t>
            </w:r>
          </w:p>
          <w:p>
            <w:pPr>
              <w:spacing w:before="0" w:after="40" w:line="276"/>
            </w:pPr>
            <w:r>
              <w:rPr>
                <w:rFonts w:ascii="Arial" w:cs="Arial" w:eastAsia="Arial" w:hAnsi="Arial"/>
                <w:color w:val="1A2E2E"/>
                <w:sz w:val="20"/>
                <w:szCs w:val="20"/>
              </w:rPr>
              <w:t xml:space="preserve">The capability profile is presented to the analyst as their skills development dashboard: what they have mastered, what they are building confidence in, and what the logical next growth area is. It is presented to the supervisor as a team capability map: where the team has depth, where there are gaps, and where cross-training would strengthen the operation. It is never presented as a ranked leaderboard or used as input to employment decisions. Processing speed metrics are deliberately excluded from the profile.</w:t>
            </w:r>
          </w:p>
        </w:tc>
      </w:tr>
    </w:tbl>
    <w:p>
      <w:pPr>
        <w:spacing w:before="0" w:after="80" w:line="276"/>
      </w:pPr>
      <w:r>
        <w:rPr>
          <w:rFonts w:ascii="Arial" w:cs="Arial" w:eastAsia="Arial" w:hAnsi="Arial"/>
          <w:color w:val="1A2E2E"/>
          <w:sz w:val="22"/>
          <w:szCs w:val="22"/>
        </w:rPr>
        <w:t xml:space="preserve"/>
      </w:r>
    </w:p>
    <w:p>
      <w:pPr>
        <w:pStyle w:val="Heading2"/>
        <w:spacing w:before="240" w:after="120" w:line="276"/>
      </w:pPr>
      <w:r>
        <w:rPr>
          <w:rFonts w:ascii="Arial" w:cs="Arial" w:eastAsia="Arial" w:hAnsi="Arial"/>
          <w:color w:val="1A2E2E"/>
          <w:sz w:val="22"/>
          <w:szCs w:val="22"/>
        </w:rPr>
        <w:t xml:space="preserve">3.1 Profile Data Model</w:t>
      </w:r>
    </w:p>
    <w:p>
      <w:pPr>
        <w:spacing w:before="0" w:after="120" w:line="276"/>
      </w:pPr>
      <w:r>
        <w:rPr>
          <w:rFonts w:ascii="Arial" w:cs="Arial" w:eastAsia="Arial" w:hAnsi="Arial"/>
          <w:color w:val="1A2E2E"/>
          <w:sz w:val="22"/>
          <w:szCs w:val="22"/>
        </w:rPr>
        <w:t xml:space="preserve">Each analyst maintains a capability profile with metrics segmented by complexity tier. The profile accumulates over time and reflects the analyst's full history with the system.</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3200"/>
        <w:gridCol w:w="3160"/>
      </w:tblGrid>
      <w:tr>
        <w:trPr>
          <w:tblHeader/>
        </w:trPr>
        <w:tc>
          <w:tcPr>
            <w:tcW w:type="dxa" w:w="21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Metric</w:t>
            </w:r>
          </w:p>
        </w:tc>
        <w:tc>
          <w:tcPr>
            <w:tcW w:type="dxa" w:w="9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Per Tier</w:t>
            </w:r>
          </w:p>
        </w:tc>
        <w:tc>
          <w:tcPr>
            <w:tcW w:type="dxa" w:w="32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What It Measures</w:t>
            </w:r>
          </w:p>
        </w:tc>
        <w:tc>
          <w:tcPr>
            <w:tcW w:type="dxa" w:w="31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How It Is Used</w:t>
            </w:r>
          </w:p>
        </w:tc>
      </w:tr>
      <w:tr>
        <w:tc>
          <w:tcPr>
            <w:tcW w:type="dxa" w:w="21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Cases completed</w:t>
            </w:r>
          </w:p>
        </w:tc>
        <w:tc>
          <w:tcPr>
            <w:tcW w:type="dxa" w:w="9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Yes</w:t>
            </w:r>
          </w:p>
        </w:tc>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Count of cases at each complexity level</w:t>
            </w:r>
          </w:p>
        </w:tc>
        <w:tc>
          <w:tcPr>
            <w:tcW w:type="dxa" w:w="3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Establishes experience breadth</w:t>
            </w:r>
          </w:p>
        </w:tc>
      </w:tr>
      <w:tr>
        <w:tc>
          <w:tcPr>
            <w:tcW w:type="dxa" w:w="21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Accuracy rate</w:t>
            </w:r>
          </w:p>
        </w:tc>
        <w:tc>
          <w:tcPr>
            <w:tcW w:type="dxa" w:w="9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Yes</w:t>
            </w:r>
          </w:p>
        </w:tc>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Percentage of cases completed without revision or QA return</w:t>
            </w:r>
          </w:p>
        </w:tc>
        <w:tc>
          <w:tcPr>
            <w:tcW w:type="dxa" w:w="31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Indicates mastery vs. learning curve</w:t>
            </w:r>
          </w:p>
        </w:tc>
      </w:tr>
      <w:tr>
        <w:tc>
          <w:tcPr>
            <w:tcW w:type="dxa" w:w="21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Assistance level used</w:t>
            </w:r>
          </w:p>
        </w:tc>
        <w:tc>
          <w:tcPr>
            <w:tcW w:type="dxa" w:w="9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Yes</w:t>
            </w:r>
          </w:p>
        </w:tc>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What proficiency mode (Guided/Assisted/Expert) was active</w:t>
            </w:r>
          </w:p>
        </w:tc>
        <w:tc>
          <w:tcPr>
            <w:tcW w:type="dxa" w:w="3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Shows progression from supported to independent</w:t>
            </w:r>
          </w:p>
        </w:tc>
      </w:tr>
      <w:tr>
        <w:tc>
          <w:tcPr>
            <w:tcW w:type="dxa" w:w="21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Help panel engagement</w:t>
            </w:r>
          </w:p>
        </w:tc>
        <w:tc>
          <w:tcPr>
            <w:tcW w:type="dxa" w:w="9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Yes</w:t>
            </w:r>
          </w:p>
        </w:tc>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Frequency of contextual help expansion per stage</w:t>
            </w:r>
          </w:p>
        </w:tc>
        <w:tc>
          <w:tcPr>
            <w:tcW w:type="dxa" w:w="31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Signals learning vs. mastered behavior</w:t>
            </w:r>
          </w:p>
        </w:tc>
      </w:tr>
      <w:tr>
        <w:tc>
          <w:tcPr>
            <w:tcW w:type="dxa" w:w="21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Validation warnings triggered</w:t>
            </w:r>
          </w:p>
        </w:tc>
        <w:tc>
          <w:tcPr>
            <w:tcW w:type="dxa" w:w="9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Yes</w:t>
            </w:r>
          </w:p>
        </w:tc>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Count of pre-advance warnings per case</w:t>
            </w:r>
          </w:p>
        </w:tc>
        <w:tc>
          <w:tcPr>
            <w:tcW w:type="dxa" w:w="3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Indicates areas needing reinforcement</w:t>
            </w:r>
          </w:p>
        </w:tc>
      </w:tr>
      <w:tr>
        <w:tc>
          <w:tcPr>
            <w:tcW w:type="dxa" w:w="21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Unique rule categories exercised</w:t>
            </w:r>
          </w:p>
        </w:tc>
        <w:tc>
          <w:tcPr>
            <w:tcW w:type="dxa" w:w="9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No</w:t>
            </w:r>
          </w:p>
        </w:tc>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Which of the 8 rule categories the analyst has worked with</w:t>
            </w:r>
          </w:p>
        </w:tc>
        <w:tc>
          <w:tcPr>
            <w:tcW w:type="dxa" w:w="31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Identifies breadth of domain exposure</w:t>
            </w:r>
          </w:p>
        </w:tc>
      </w:tr>
      <w:tr>
        <w:tc>
          <w:tcPr>
            <w:tcW w:type="dxa" w:w="21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Cross-training completions</w:t>
            </w:r>
          </w:p>
        </w:tc>
        <w:tc>
          <w:tcPr>
            <w:tcW w:type="dxa" w:w="9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No</w:t>
            </w:r>
          </w:p>
        </w:tc>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Cases completed outside primary assignment area</w:t>
            </w:r>
          </w:p>
        </w:tc>
        <w:tc>
          <w:tcPr>
            <w:tcW w:type="dxa" w:w="31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Tracks intentional skill development</w:t>
            </w:r>
          </w:p>
        </w:tc>
      </w:tr>
    </w:tbl>
    <w:p>
      <w:pPr>
        <w:spacing w:before="0" w:after="60" w:line="276"/>
      </w:pPr>
      <w:r>
        <w:rPr>
          <w:rFonts w:ascii="Arial" w:cs="Arial" w:eastAsia="Arial" w:hAnsi="Arial"/>
          <w:color w:val="1A2E2E"/>
          <w:sz w:val="22"/>
          <w:szCs w:val="22"/>
        </w:rPr>
        <w:t xml:space="preserve"/>
      </w:r>
    </w:p>
    <w:p>
      <w:pPr>
        <w:spacing w:before="0" w:after="120" w:line="276"/>
      </w:pPr>
      <w:r>
        <w:rPr>
          <w:rFonts w:ascii="Arial" w:cs="Arial" w:eastAsia="Arial" w:hAnsi="Arial"/>
          <w:b/>
          <w:bCs/>
          <w:color w:val="1A2E2E"/>
          <w:sz w:val="22"/>
          <w:szCs w:val="22"/>
        </w:rPr>
        <w:t xml:space="preserve">Deliberately excluded: </w:t>
      </w:r>
      <w:r>
        <w:rPr>
          <w:rFonts w:ascii="Arial" w:cs="Arial" w:eastAsia="Arial" w:hAnsi="Arial"/>
          <w:color w:val="1A2E2E"/>
          <w:sz w:val="22"/>
          <w:szCs w:val="22"/>
        </w:rPr>
        <w:t xml:space="preserve">processing time (speed), case volume per day, and comparative rankings. These are operational metrics that belong in the supervisor's workload management view, not in a skills development profile. Conflating learning metrics with productivity metrics creates perverse incentives — the system should reward thoroughness and accuracy, not velocity.</w:t>
      </w:r>
    </w:p>
    <w:p>
      <w:pPr>
        <w:pStyle w:val="Heading2"/>
        <w:spacing w:before="240" w:after="120" w:line="276"/>
      </w:pPr>
      <w:r>
        <w:rPr>
          <w:rFonts w:ascii="Arial" w:cs="Arial" w:eastAsia="Arial" w:hAnsi="Arial"/>
          <w:color w:val="1A2E2E"/>
          <w:sz w:val="22"/>
          <w:szCs w:val="22"/>
        </w:rPr>
        <w:t xml:space="preserve">3.2 Proficiency Level Per Complexity Tier</w:t>
      </w:r>
    </w:p>
    <w:p>
      <w:pPr>
        <w:spacing w:before="0" w:after="120" w:line="276"/>
      </w:pPr>
      <w:r>
        <w:rPr>
          <w:rFonts w:ascii="Arial" w:cs="Arial" w:eastAsia="Arial" w:hAnsi="Arial"/>
          <w:color w:val="1A2E2E"/>
          <w:sz w:val="22"/>
          <w:szCs w:val="22"/>
        </w:rPr>
        <w:t xml:space="preserve">Rather than a single global mode (Guided/Assisted/Expert), the system maintains a proficiency level for each complexity tier. This reflects the reality that an analyst can be fully independent on standard cases while still benefiting from guidance on complex ones.</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Proficiency Level</w:t>
            </w:r>
          </w:p>
        </w:tc>
        <w:tc>
          <w:tcPr>
            <w:tcW w:type="dxa" w:w="378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Criteria</w:t>
            </w:r>
          </w:p>
        </w:tc>
        <w:tc>
          <w:tcPr>
            <w:tcW w:type="dxa" w:w="378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System Behavior</w:t>
            </w:r>
          </w:p>
        </w:tc>
      </w:tr>
      <w:tr>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Learning</w:t>
            </w:r>
          </w:p>
        </w:tc>
        <w:tc>
          <w:tcPr>
            <w:tcW w:type="dxa" w:w="37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Fewer than a configurable threshold of completed cases at this complexity tier, OR accuracy rate below a configurable threshold</w:t>
            </w:r>
          </w:p>
        </w:tc>
        <w:tc>
          <w:tcPr>
            <w:tcW w:type="dxa" w:w="37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Guided mode enforced: sequential stages, full contextual help, next-action prompts, rule citations. All validations surfaced before stage advancement.</w:t>
            </w:r>
          </w:p>
        </w:tc>
      </w:tr>
      <w:tr>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Developing</w:t>
            </w:r>
          </w:p>
        </w:tc>
        <w:tc>
          <w:tcPr>
            <w:tcW w:type="dxa" w:w="37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Meets the configurable case-count threshold with acceptable accuracy. Contextual help usage declining. Validation warnings infrequent.</w:t>
            </w:r>
          </w:p>
        </w:tc>
        <w:tc>
          <w:tcPr>
            <w:tcW w:type="dxa" w:w="37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Assisted mode default: stages accessible in any order, help available on demand, alerts for complex situations only. Non-linear navigation permitted.</w:t>
            </w:r>
          </w:p>
        </w:tc>
      </w:tr>
      <w:tr>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Proficient</w:t>
            </w:r>
          </w:p>
        </w:tc>
        <w:tc>
          <w:tcPr>
            <w:tcW w:type="dxa" w:w="37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Configurable higher case-count threshold with sustained high accuracy. Rarely expands contextual help. Consistently completes without validation warnings.</w:t>
            </w:r>
          </w:p>
        </w:tc>
        <w:tc>
          <w:tcPr>
            <w:tcW w:type="dxa" w:w="37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Expert mode default: zero-scroll dashboard, keyboard-driven navigation, help surfaced only for exceptions. Full free-form workflow.</w:t>
            </w:r>
          </w:p>
        </w:tc>
      </w:tr>
    </w:tbl>
    <w:p>
      <w:pPr>
        <w:spacing w:before="0" w:after="60" w:line="276"/>
      </w:pPr>
      <w:r>
        <w:rPr>
          <w:rFonts w:ascii="Arial" w:cs="Arial" w:eastAsia="Arial" w:hAnsi="Arial"/>
          <w:color w:val="1A2E2E"/>
          <w:sz w:val="22"/>
          <w:szCs w:val="22"/>
        </w:rPr>
        <w:t xml:space="preserve"/>
      </w:r>
    </w:p>
    <w:p>
      <w:pPr>
        <w:spacing w:before="0" w:after="120" w:line="276"/>
      </w:pPr>
      <w:r>
        <w:rPr>
          <w:rFonts w:ascii="Arial" w:cs="Arial" w:eastAsia="Arial" w:hAnsi="Arial"/>
          <w:b/>
          <w:bCs/>
          <w:color w:val="1A2E2E"/>
          <w:sz w:val="22"/>
          <w:szCs w:val="22"/>
        </w:rPr>
        <w:t xml:space="preserve">Note on thresholds: </w:t>
      </w:r>
      <w:r>
        <w:rPr>
          <w:rFonts w:ascii="Arial" w:cs="Arial" w:eastAsia="Arial" w:hAnsi="Arial"/>
          <w:color w:val="1A2E2E"/>
          <w:sz w:val="22"/>
          <w:szCs w:val="22"/>
        </w:rPr>
        <w:t xml:space="preserve">Specific numeric thresholds (e.g., number of cases to reach each level, minimum accuracy percentages) are intentionally left as configurable parameters rather than hardcoded values. These would be calibrated with DERP staff input based on actual case patterns and training expectations. Stating specific numbers here would present assumptions as facts.</w:t>
      </w:r>
    </w:p>
    <w:p>
      <w:pPr>
        <w:pStyle w:val="Heading2"/>
        <w:spacing w:before="240" w:after="120" w:line="276"/>
      </w:pPr>
      <w:r>
        <w:rPr>
          <w:rFonts w:ascii="Arial" w:cs="Arial" w:eastAsia="Arial" w:hAnsi="Arial"/>
          <w:color w:val="1A2E2E"/>
          <w:sz w:val="22"/>
          <w:szCs w:val="22"/>
        </w:rPr>
        <w:t xml:space="preserve">3.3 Adaptive Mode Selection</w:t>
      </w:r>
    </w:p>
    <w:p>
      <w:pPr>
        <w:spacing w:before="0" w:after="120" w:line="276"/>
      </w:pPr>
      <w:r>
        <w:rPr>
          <w:rFonts w:ascii="Arial" w:cs="Arial" w:eastAsia="Arial" w:hAnsi="Arial"/>
          <w:color w:val="1A2E2E"/>
          <w:sz w:val="22"/>
          <w:szCs w:val="22"/>
        </w:rPr>
        <w:t xml:space="preserve">When a case is assigned to an analyst, the system selects the proficiency mode by matching the case's complexity classification to the analyst's proficiency level at that tier:</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50"/>
        <w:gridCol w:w="2450"/>
        <w:gridCol w:w="2460"/>
      </w:tblGrid>
      <w:tr>
        <w:trPr>
          <w:tblHeader/>
        </w:trPr>
        <w:tc>
          <w:tcPr>
            <w:tcW w:type="dxa" w:w="20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Case Complexity</w:t>
            </w:r>
          </w:p>
        </w:tc>
        <w:tc>
          <w:tcPr>
            <w:tcW w:type="dxa" w:w="245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Analyst: Learning</w:t>
            </w:r>
          </w:p>
        </w:tc>
        <w:tc>
          <w:tcPr>
            <w:tcW w:type="dxa" w:w="245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Analyst: Developing</w:t>
            </w:r>
          </w:p>
        </w:tc>
        <w:tc>
          <w:tcPr>
            <w:tcW w:type="dxa" w:w="24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Analyst: Proficient</w:t>
            </w:r>
          </w:p>
        </w:tc>
      </w:tr>
      <w:tr>
        <w:tc>
          <w:tcPr>
            <w:tcW w:type="dxa" w:w="20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Standard</w:t>
            </w:r>
          </w:p>
        </w:tc>
        <w:tc>
          <w:tcPr>
            <w:tcW w:type="dxa" w:w="245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Guided mode</w:t>
            </w:r>
          </w:p>
        </w:tc>
        <w:tc>
          <w:tcPr>
            <w:tcW w:type="dxa" w:w="245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Assisted mode</w:t>
            </w:r>
          </w:p>
        </w:tc>
        <w:tc>
          <w:tcPr>
            <w:tcW w:type="dxa" w:w="24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Expert mode</w:t>
            </w:r>
          </w:p>
        </w:tc>
      </w:tr>
      <w:tr>
        <w:tc>
          <w:tcPr>
            <w:tcW w:type="dxa" w:w="20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Elevated</w:t>
            </w:r>
          </w:p>
        </w:tc>
        <w:tc>
          <w:tcPr>
            <w:tcW w:type="dxa" w:w="245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Guided mode + mentor flag</w:t>
            </w:r>
          </w:p>
        </w:tc>
        <w:tc>
          <w:tcPr>
            <w:tcW w:type="dxa" w:w="245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Assisted mode</w:t>
            </w:r>
          </w:p>
        </w:tc>
        <w:tc>
          <w:tcPr>
            <w:tcW w:type="dxa" w:w="24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Expert mode</w:t>
            </w:r>
          </w:p>
        </w:tc>
      </w:tr>
      <w:tr>
        <w:tc>
          <w:tcPr>
            <w:tcW w:type="dxa" w:w="20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Complex</w:t>
            </w:r>
          </w:p>
        </w:tc>
        <w:tc>
          <w:tcPr>
            <w:tcW w:type="dxa" w:w="245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Guided mode + supervisor co-assignment</w:t>
            </w:r>
          </w:p>
        </w:tc>
        <w:tc>
          <w:tcPr>
            <w:tcW w:type="dxa" w:w="245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Assisted mode + extended help panels</w:t>
            </w:r>
          </w:p>
        </w:tc>
        <w:tc>
          <w:tcPr>
            <w:tcW w:type="dxa" w:w="24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Expert mode (help panels for exceptions)</w:t>
            </w:r>
          </w:p>
        </w:tc>
      </w:tr>
    </w:tbl>
    <w:p>
      <w:pPr>
        <w:spacing w:before="0" w:after="6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This means an Expert-level analyst who normally operates with minimal guidance will automatically see extended contextual help when they open their first Complex DRO case, because their proficiency at the Complex tier is still Learning. The system adapts to the situation, not just the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1"/>
              <w:left w:val="single" w:color="00796B" w:sz="12"/>
              <w:bottom w:val="single" w:color="00796B" w:sz="1"/>
              <w:right w:val="single" w:color="00796B" w:sz="1"/>
            </w:tcBorders>
            <w:shd w:fill="E0F2F1" w:val="clear"/>
            <w:tcMar>
              <w:top w:type="dxa" w:w="80"/>
              <w:left w:type="dxa" w:w="120"/>
              <w:bottom w:type="dxa" w:w="80"/>
              <w:right w:type="dxa" w:w="120"/>
            </w:tcMar>
          </w:tcPr>
          <w:p>
            <w:pPr>
              <w:spacing w:before="0" w:after="40" w:line="276"/>
            </w:pPr>
            <w:r>
              <w:rPr>
                <w:rFonts w:ascii="Arial" w:cs="Arial" w:eastAsia="Arial" w:hAnsi="Arial"/>
                <w:b/>
                <w:bCs/>
                <w:color w:val="00796B"/>
                <w:sz w:val="20"/>
                <w:szCs w:val="20"/>
              </w:rPr>
              <w:t xml:space="preserve">Supervisor Override</w:t>
            </w:r>
          </w:p>
          <w:p>
            <w:pPr>
              <w:spacing w:before="0" w:after="40" w:line="276"/>
            </w:pPr>
            <w:r>
              <w:rPr>
                <w:rFonts w:ascii="Arial" w:cs="Arial" w:eastAsia="Arial" w:hAnsi="Arial"/>
                <w:color w:val="1A2E2E"/>
                <w:sz w:val="20"/>
                <w:szCs w:val="20"/>
              </w:rPr>
              <w:t xml:space="preserve">Supervisors can manually assign proficiency modes per analyst per complexity tier. Common scenarios: promoting a new hire who arrived with prior pension experience, temporarily increasing guidance for an analyst returning from extended leave, or locking Expert mode for a senior analyst during a process change rollout. All overrides are logged in the audit trail with reason codes.</w:t>
            </w:r>
          </w:p>
        </w:tc>
      </w:tr>
    </w:tbl>
    <w:p>
      <w:pPr>
        <w:spacing w:before="0" w:after="80" w:line="276"/>
      </w:pPr>
      <w:r>
        <w:rPr>
          <w:rFonts w:ascii="Arial" w:cs="Arial" w:eastAsia="Arial" w:hAnsi="Arial"/>
          <w:color w:val="1A2E2E"/>
          <w:sz w:val="22"/>
          <w:szCs w:val="22"/>
        </w:rPr>
        <w:t xml:space="preserve"/>
      </w:r>
    </w:p>
    <w:p>
      <w:pPr>
        <w:pStyle w:val="Heading2"/>
        <w:spacing w:before="240" w:after="120" w:line="276"/>
      </w:pPr>
      <w:r>
        <w:rPr>
          <w:rFonts w:ascii="Arial" w:cs="Arial" w:eastAsia="Arial" w:hAnsi="Arial"/>
          <w:color w:val="1A2E2E"/>
          <w:sz w:val="22"/>
          <w:szCs w:val="22"/>
        </w:rPr>
        <w:t xml:space="preserve">3.4 Graduation and Regression</w:t>
      </w:r>
    </w:p>
    <w:p>
      <w:pPr>
        <w:spacing w:before="0" w:after="120" w:line="276"/>
      </w:pPr>
      <w:r>
        <w:rPr>
          <w:rFonts w:ascii="Arial" w:cs="Arial" w:eastAsia="Arial" w:hAnsi="Arial"/>
          <w:b/>
          <w:bCs/>
          <w:color w:val="1A2E2E"/>
          <w:sz w:val="22"/>
          <w:szCs w:val="22"/>
        </w:rPr>
        <w:t xml:space="preserve">Graduation </w:t>
      </w:r>
      <w:r>
        <w:rPr>
          <w:rFonts w:ascii="Arial" w:cs="Arial" w:eastAsia="Arial" w:hAnsi="Arial"/>
          <w:color w:val="1A2E2E"/>
          <w:sz w:val="22"/>
          <w:szCs w:val="22"/>
        </w:rPr>
        <w:t xml:space="preserve">is the progression from one proficiency level to the next. The system detects readiness by monitoring the criteria in Section 3.2 over a rolling window. When criteria are met, the system generates a graduation suggestion — it does not auto-promote. The suggestion is visible to both the analyst (as a skills milestone notification) and the supervisor (as an action item in the team dashboard). The supervisor confirms or defers.</w:t>
      </w:r>
    </w:p>
    <w:p>
      <w:pPr>
        <w:spacing w:before="0" w:after="120" w:line="276"/>
      </w:pPr>
      <w:r>
        <w:rPr>
          <w:rFonts w:ascii="Arial" w:cs="Arial" w:eastAsia="Arial" w:hAnsi="Arial"/>
          <w:color w:val="1A2E2E"/>
          <w:sz w:val="22"/>
          <w:szCs w:val="22"/>
        </w:rPr>
        <w:t xml:space="preserve">Graduation suggestions are framed as achievements:</w:t>
      </w:r>
    </w:p>
    <w:p>
      <w:pPr>
        <w:pStyle w:val="ListParagraph"/>
        <w:numPr>
          <w:ilvl w:val="0"/>
          <w:numId w:val="2"/>
        </w:numPr>
        <w:spacing w:after="60" w:line="276"/>
      </w:pPr>
      <w:r>
        <w:rPr>
          <w:rFonts w:ascii="Arial" w:cs="Arial" w:eastAsia="Arial" w:hAnsi="Arial"/>
          <w:i/>
          <w:iCs/>
          <w:color w:val="1A2E2E"/>
          <w:sz w:val="22"/>
          <w:szCs w:val="22"/>
        </w:rPr>
        <w:t xml:space="preserve">“You’ve demonstrated strong accuracy across your recent Standard cases. Ready to try processing with more independence?”</w:t>
      </w:r>
    </w:p>
    <w:p>
      <w:pPr>
        <w:pStyle w:val="ListParagraph"/>
        <w:numPr>
          <w:ilvl w:val="0"/>
          <w:numId w:val="2"/>
        </w:numPr>
        <w:spacing w:after="60" w:line="276"/>
      </w:pPr>
      <w:r>
        <w:rPr>
          <w:rFonts w:ascii="Arial" w:cs="Arial" w:eastAsia="Arial" w:hAnsi="Arial"/>
          <w:i/>
          <w:iCs/>
          <w:color w:val="1A2E2E"/>
          <w:sz w:val="22"/>
          <w:szCs w:val="22"/>
        </w:rPr>
        <w:t xml:space="preserve">“Sarah has completed enough Elevated cases with consistent accuracy to move to Assisted mode. Approve?”</w:t>
      </w:r>
    </w:p>
    <w:p>
      <w:pPr>
        <w:spacing w:before="0" w:after="120" w:line="276"/>
      </w:pPr>
      <w:r>
        <w:rPr>
          <w:rFonts w:ascii="Arial" w:cs="Arial" w:eastAsia="Arial" w:hAnsi="Arial"/>
          <w:color w:val="1A2E2E"/>
          <w:sz w:val="22"/>
          <w:szCs w:val="22"/>
        </w:rPr>
        <w:t xml:space="preserve"/>
      </w:r>
    </w:p>
    <w:p>
      <w:pPr>
        <w:spacing w:before="0" w:after="120" w:line="276"/>
      </w:pPr>
      <w:r>
        <w:rPr>
          <w:rFonts w:ascii="Arial" w:cs="Arial" w:eastAsia="Arial" w:hAnsi="Arial"/>
          <w:b/>
          <w:bCs/>
          <w:color w:val="1A2E2E"/>
          <w:sz w:val="22"/>
          <w:szCs w:val="22"/>
        </w:rPr>
        <w:t xml:space="preserve">Regression </w:t>
      </w:r>
      <w:r>
        <w:rPr>
          <w:rFonts w:ascii="Arial" w:cs="Arial" w:eastAsia="Arial" w:hAnsi="Arial"/>
          <w:color w:val="1A2E2E"/>
          <w:sz w:val="22"/>
          <w:szCs w:val="22"/>
        </w:rPr>
        <w:t xml:space="preserve">occurs when an analyst’s recent performance at a complexity tier shows an accuracy decline or a significant increase in validation warnings. The system does not automatically demote. Instead, it surfaces the pattern to the supervisor as a coaching opportunity:</w:t>
      </w:r>
    </w:p>
    <w:p>
      <w:pPr>
        <w:pStyle w:val="ListParagraph"/>
        <w:numPr>
          <w:ilvl w:val="0"/>
          <w:numId w:val="2"/>
        </w:numPr>
        <w:spacing w:after="60" w:line="276"/>
      </w:pPr>
      <w:r>
        <w:rPr>
          <w:rFonts w:ascii="Arial" w:cs="Arial" w:eastAsia="Arial" w:hAnsi="Arial"/>
          <w:i/>
          <w:iCs/>
          <w:color w:val="1A2E2E"/>
          <w:sz w:val="22"/>
          <w:szCs w:val="22"/>
        </w:rPr>
        <w:t xml:space="preserve">“James has had validation warnings on 3 of his last 5 Elevated cases. The contextual help panel may help — consider reverting to Assisted mode for Elevated cases.”</w:t>
      </w:r>
    </w:p>
    <w:p>
      <w:pPr>
        <w:spacing w:before="0" w:after="120" w:line="276"/>
      </w:pPr>
      <w:r>
        <w:rPr>
          <w:rFonts w:ascii="Arial" w:cs="Arial" w:eastAsia="Arial" w:hAnsi="Arial"/>
          <w:color w:val="1A2E2E"/>
          <w:sz w:val="22"/>
          <w:szCs w:val="22"/>
        </w:rPr>
        <w:t xml:space="preserve">The supervisor decides whether to adjust the mode, provide mentoring, or take no action. Regression signals are explicitly private to the supervisor and the analyst — they are never visible to peers.</w:t>
      </w:r>
    </w:p>
    <w:p>
      <w:r>
        <w:br w:type="page"/>
      </w:r>
    </w:p>
    <w:p>
      <w:pPr>
        <w:pStyle w:val="Heading1"/>
        <w:spacing w:before="360" w:after="120" w:line="276"/>
      </w:pPr>
      <w:r>
        <w:rPr>
          <w:rFonts w:ascii="Arial" w:cs="Arial" w:eastAsia="Arial" w:hAnsi="Arial"/>
          <w:color w:val="1A2E2E"/>
          <w:sz w:val="22"/>
          <w:szCs w:val="22"/>
        </w:rPr>
        <w:t xml:space="preserve">4. Intelligent Work Routing</w:t>
      </w:r>
    </w:p>
    <w:p>
      <w:pPr>
        <w:spacing w:before="0" w:after="120" w:line="276"/>
      </w:pPr>
      <w:r>
        <w:rPr>
          <w:rFonts w:ascii="Arial" w:cs="Arial" w:eastAsia="Arial" w:hAnsi="Arial"/>
          <w:color w:val="1A2E2E"/>
          <w:sz w:val="22"/>
          <w:szCs w:val="22"/>
        </w:rPr>
        <w:t xml:space="preserve">With task complexity classification and analyst capability profiles in place, the Relevance Engine can make informed routing decisions. This fulfills the Predictive Work Routing service identified in the Application Management Services inventory and implements the Progressive Routing Refinement phases described in the Dynamic Workspace UX Architecture.</w:t>
      </w:r>
    </w:p>
    <w:p>
      <w:pPr>
        <w:pStyle w:val="Heading2"/>
        <w:spacing w:before="240" w:after="120" w:line="276"/>
      </w:pPr>
      <w:r>
        <w:rPr>
          <w:rFonts w:ascii="Arial" w:cs="Arial" w:eastAsia="Arial" w:hAnsi="Arial"/>
          <w:color w:val="1A2E2E"/>
          <w:sz w:val="22"/>
          <w:szCs w:val="22"/>
        </w:rPr>
        <w:t xml:space="preserve">4.1 Routing Phases</w:t>
      </w:r>
    </w:p>
    <w:p>
      <w:pPr>
        <w:spacing w:before="0" w:after="120" w:line="276"/>
      </w:pPr>
      <w:r>
        <w:rPr>
          <w:rFonts w:ascii="Arial" w:cs="Arial" w:eastAsia="Arial" w:hAnsi="Arial"/>
          <w:color w:val="1A2E2E"/>
          <w:sz w:val="22"/>
          <w:szCs w:val="22"/>
        </w:rPr>
        <w:t xml:space="preserve">Intelligent routing develops progressively as the system accumulates data. Each phase builds on the prior:</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Phase</w:t>
            </w:r>
          </w:p>
        </w:tc>
        <w:tc>
          <w:tcPr>
            <w:tcW w:type="dxa" w:w="18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Trigger</w:t>
            </w:r>
          </w:p>
        </w:tc>
        <w:tc>
          <w:tcPr>
            <w:tcW w:type="dxa" w:w="32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Routing Logic</w:t>
            </w:r>
          </w:p>
        </w:tc>
        <w:tc>
          <w:tcPr>
            <w:tcW w:type="dxa" w:w="29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Proficiency Role</w:t>
            </w:r>
          </w:p>
        </w:tc>
      </w:tr>
      <w:tr>
        <w:tc>
          <w:tcPr>
            <w:tcW w:type="dxa" w:w="1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Phase 1: Rule-Based</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System launch (POC)</w:t>
            </w:r>
          </w:p>
        </w:tc>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Cases enter the general queue ordered by deadline. Supervisors assign manually. Escalation thresholds are configured (e.g., benefit amount above a defined value requires senior review).</w:t>
            </w:r>
          </w:p>
        </w:tc>
        <w:tc>
          <w:tcPr>
            <w:tcW w:type="dxa" w:w="2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Proficiency mode is assigned per analyst by supervisor. No adaptive behavior.</w:t>
            </w:r>
          </w:p>
        </w:tc>
      </w:tr>
      <w:tr>
        <w:tc>
          <w:tcPr>
            <w:tcW w:type="dxa" w:w="1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Phase 2: Observation</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Sufficient completed cases to establish baselines</w:t>
            </w:r>
          </w:p>
        </w:tc>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System tracks which analysts process which complexity tiers successfully. Begins building capability profiles. Queue ordering incorporates complexity indicators so supervisors can see at a glance which cases are Standard vs. Complex.</w:t>
            </w:r>
          </w:p>
        </w:tc>
        <w:tc>
          <w:tcPr>
            <w:tcW w:type="dxa" w:w="29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System begins suggesting graduation when criteria are met. Adaptive mode selection activates.</w:t>
            </w:r>
          </w:p>
        </w:tc>
      </w:tr>
      <w:tr>
        <w:tc>
          <w:tcPr>
            <w:tcW w:type="dxa" w:w="14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Phase 3: Suggestion</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Robust capability profiles across the team</w:t>
            </w:r>
          </w:p>
        </w:tc>
        <w:tc>
          <w:tcPr>
            <w:tcW w:type="dxa" w:w="32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When a new case arrives, the system suggests an optimal assignee based on: (1) capability match, (2) current workload balance, (3) skills development opportunity. Supervisor approves or overrides.</w:t>
            </w:r>
          </w:p>
        </w:tc>
        <w:tc>
          <w:tcPr>
            <w:tcW w:type="dxa" w:w="2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Full adaptive mode selection. System detects regression patterns and surfaces coaching suggestions.</w:t>
            </w:r>
          </w:p>
        </w:tc>
      </w:tr>
      <w:tr>
        <w:tc>
          <w:tcPr>
            <w:tcW w:type="dxa" w:w="14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Phase 4: Autonomous</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High confidence in routing, supervisor trust established</w:t>
            </w:r>
          </w:p>
        </w:tc>
        <w:tc>
          <w:tcPr>
            <w:tcW w:type="dxa" w:w="32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System auto-assigns Standard cases to the available analyst with the best capability match. Elevated and Complex cases still require supervisor assignment or confirmation. Supervisor can configure auto-routing rules.</w:t>
            </w:r>
          </w:p>
        </w:tc>
        <w:tc>
          <w:tcPr>
            <w:tcW w:type="dxa" w:w="29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Fully autonomous proficiency management with supervisor oversight dashboard.</w:t>
            </w:r>
          </w:p>
        </w:tc>
      </w:tr>
    </w:tbl>
    <w:p>
      <w:pPr>
        <w:spacing w:before="0" w:after="6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2"/>
              <w:bottom w:val="single" w:color="0D47A1" w:sz="1"/>
              <w:right w:val="single" w:color="0D47A1" w:sz="1"/>
            </w:tcBorders>
            <w:shd w:fill="E3F2FD" w:val="clear"/>
            <w:tcMar>
              <w:top w:type="dxa" w:w="80"/>
              <w:left w:type="dxa" w:w="120"/>
              <w:bottom w:type="dxa" w:w="80"/>
              <w:right w:type="dxa" w:w="120"/>
            </w:tcMar>
          </w:tcPr>
          <w:p>
            <w:pPr>
              <w:spacing w:before="0" w:after="40" w:line="276"/>
            </w:pPr>
            <w:r>
              <w:rPr>
                <w:rFonts w:ascii="Arial" w:cs="Arial" w:eastAsia="Arial" w:hAnsi="Arial"/>
                <w:b/>
                <w:bCs/>
                <w:color w:val="0D47A1"/>
                <w:sz w:val="20"/>
                <w:szCs w:val="20"/>
              </w:rPr>
              <w:t xml:space="preserve">ADR-003 Boundary: Routing, Not Rules</w:t>
            </w:r>
          </w:p>
          <w:p>
            <w:pPr>
              <w:spacing w:before="0" w:after="40" w:line="276"/>
            </w:pPr>
            <w:r>
              <w:rPr>
                <w:rFonts w:ascii="Arial" w:cs="Arial" w:eastAsia="Arial" w:hAnsi="Arial"/>
                <w:color w:val="1A2E2E"/>
                <w:sz w:val="20"/>
                <w:szCs w:val="20"/>
              </w:rPr>
              <w:t xml:space="preserve">Intelligent routing uses AI to learn operational patterns (who is good at what, how work flows). It never uses AI to derive business rules. The routing suggestion “assign this DRO case to Lisa because she has the highest Complex-tier proficiency” is an orchestration decision. The calculation of the DRO marital share remains entirely deterministic. This boundary is inviolable.</w:t>
            </w:r>
          </w:p>
        </w:tc>
      </w:tr>
    </w:tbl>
    <w:p>
      <w:pPr>
        <w:spacing w:before="0" w:after="80" w:line="276"/>
      </w:pPr>
      <w:r>
        <w:rPr>
          <w:rFonts w:ascii="Arial" w:cs="Arial" w:eastAsia="Arial" w:hAnsi="Arial"/>
          <w:color w:val="1A2E2E"/>
          <w:sz w:val="22"/>
          <w:szCs w:val="22"/>
        </w:rPr>
        <w:t xml:space="preserve"/>
      </w:r>
    </w:p>
    <w:p>
      <w:pPr>
        <w:pStyle w:val="Heading2"/>
        <w:spacing w:before="240" w:after="120" w:line="276"/>
      </w:pPr>
      <w:r>
        <w:rPr>
          <w:rFonts w:ascii="Arial" w:cs="Arial" w:eastAsia="Arial" w:hAnsi="Arial"/>
          <w:color w:val="1A2E2E"/>
          <w:sz w:val="22"/>
          <w:szCs w:val="22"/>
        </w:rPr>
        <w:t xml:space="preserve">4.2 Routing Factors</w:t>
      </w:r>
    </w:p>
    <w:p>
      <w:pPr>
        <w:spacing w:before="0" w:after="120" w:line="276"/>
      </w:pPr>
      <w:r>
        <w:rPr>
          <w:rFonts w:ascii="Arial" w:cs="Arial" w:eastAsia="Arial" w:hAnsi="Arial"/>
          <w:color w:val="1A2E2E"/>
          <w:sz w:val="22"/>
          <w:szCs w:val="22"/>
        </w:rPr>
        <w:t xml:space="preserve">When the system suggests an assignment (Phase 3+), it balances three factors:</w:t>
      </w:r>
    </w:p>
    <w:p>
      <w:pPr>
        <w:spacing w:before="0" w:after="20" w:line="276"/>
      </w:pPr>
      <w:r>
        <w:rPr>
          <w:rFonts w:ascii="Arial" w:cs="Arial" w:eastAsia="Arial" w:hAnsi="Arial"/>
          <w:color w:val="1A2E2E"/>
          <w:sz w:val="22"/>
          <w:szCs w:val="22"/>
        </w:rPr>
        <w:t xml:space="preserve"/>
      </w:r>
    </w:p>
    <w:p>
      <w:pPr>
        <w:pStyle w:val="ListParagraph"/>
        <w:numPr>
          <w:ilvl w:val="0"/>
          <w:numId w:val="3"/>
        </w:numPr>
        <w:spacing w:after="60" w:line="276"/>
      </w:pPr>
      <w:r>
        <w:rPr>
          <w:rFonts w:ascii="Arial" w:cs="Arial" w:eastAsia="Arial" w:hAnsi="Arial"/>
          <w:b/>
          <w:bCs/>
          <w:color w:val="1A2E2E"/>
          <w:sz w:val="22"/>
          <w:szCs w:val="22"/>
        </w:rPr>
        <w:t xml:space="preserve">Capability Match. </w:t>
      </w:r>
      <w:r>
        <w:rPr>
          <w:rFonts w:ascii="Arial" w:cs="Arial" w:eastAsia="Arial" w:hAnsi="Arial"/>
          <w:color w:val="1A2E2E"/>
          <w:sz w:val="22"/>
          <w:szCs w:val="22"/>
        </w:rPr>
        <w:t xml:space="preserve">Does the analyst have demonstrated proficiency at this complexity tier? A Learning-level analyst should not be the primary assignee for a Complex case without supervisor co-assignment. Weight this factor highest to protect accuracy.</w:t>
      </w:r>
    </w:p>
    <w:p>
      <w:pPr>
        <w:pStyle w:val="ListParagraph"/>
        <w:numPr>
          <w:ilvl w:val="0"/>
          <w:numId w:val="3"/>
        </w:numPr>
        <w:spacing w:after="60" w:line="276"/>
      </w:pPr>
      <w:r>
        <w:rPr>
          <w:rFonts w:ascii="Arial" w:cs="Arial" w:eastAsia="Arial" w:hAnsi="Arial"/>
          <w:b/>
          <w:bCs/>
          <w:color w:val="1A2E2E"/>
          <w:sz w:val="22"/>
          <w:szCs w:val="22"/>
        </w:rPr>
        <w:t xml:space="preserve">Workload Balance. </w:t>
      </w:r>
      <w:r>
        <w:rPr>
          <w:rFonts w:ascii="Arial" w:cs="Arial" w:eastAsia="Arial" w:hAnsi="Arial"/>
          <w:color w:val="1A2E2E"/>
          <w:sz w:val="22"/>
          <w:szCs w:val="22"/>
        </w:rPr>
        <w:t xml:space="preserve">Is the analyst’s current caseload within acceptable bounds? Even the best-qualified analyst shouldn’t receive a new case if their queue is full. Use active case count weighted by complexity (Elevated counts as more capacity than Standard; Complex counts as more than Elevated).</w:t>
      </w:r>
    </w:p>
    <w:p>
      <w:pPr>
        <w:pStyle w:val="ListParagraph"/>
        <w:numPr>
          <w:ilvl w:val="0"/>
          <w:numId w:val="3"/>
        </w:numPr>
        <w:spacing w:after="60" w:line="276"/>
      </w:pPr>
      <w:r>
        <w:rPr>
          <w:rFonts w:ascii="Arial" w:cs="Arial" w:eastAsia="Arial" w:hAnsi="Arial"/>
          <w:b/>
          <w:bCs/>
          <w:color w:val="1A2E2E"/>
          <w:sz w:val="22"/>
          <w:szCs w:val="22"/>
        </w:rPr>
        <w:t xml:space="preserve">Skills Development Opportunity. </w:t>
      </w:r>
      <w:r>
        <w:rPr>
          <w:rFonts w:ascii="Arial" w:cs="Arial" w:eastAsia="Arial" w:hAnsi="Arial"/>
          <w:color w:val="1A2E2E"/>
          <w:sz w:val="22"/>
          <w:szCs w:val="22"/>
        </w:rPr>
        <w:t xml:space="preserve">Would this case help an analyst build proficiency at the next complexity tier? If a Developing-level analyst has capacity and a borderline-Elevated case arrives, routing it to them (with appropriate assistance mode) builds team depth. This factor has the lowest weight but prevents the trap of always routing complex work to the same senior analyst.</w:t>
      </w:r>
    </w:p>
    <w:p>
      <w:pPr>
        <w:spacing w:before="0" w:after="12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The relative weighting of these factors is supervisor-configurable. A conservative supervisor might set capability match to dominate. A supervisor focused on team development might increase the skills development weight. The system provides recommended defaults but does not impose them. </w:t>
      </w:r>
      <w:r>
        <w:rPr>
          <w:rFonts w:ascii="Arial" w:cs="Arial" w:eastAsia="Arial" w:hAnsi="Arial"/>
          <w:i/>
          <w:iCs/>
          <w:color w:val="4A6767"/>
          <w:sz w:val="22"/>
          <w:szCs w:val="22"/>
        </w:rPr>
        <w:t xml:space="preserve">Specific default weights would be calibrated with DERP input.</w:t>
      </w:r>
    </w:p>
    <w:p>
      <w:pPr>
        <w:pStyle w:val="Heading2"/>
        <w:spacing w:before="240" w:after="120" w:line="276"/>
      </w:pPr>
      <w:r>
        <w:rPr>
          <w:rFonts w:ascii="Arial" w:cs="Arial" w:eastAsia="Arial" w:hAnsi="Arial"/>
          <w:color w:val="1A2E2E"/>
          <w:sz w:val="22"/>
          <w:szCs w:val="22"/>
        </w:rPr>
        <w:t xml:space="preserve">4.3 Skills Development Routing</w:t>
      </w:r>
    </w:p>
    <w:p>
      <w:pPr>
        <w:spacing w:before="0" w:after="120" w:line="276"/>
      </w:pPr>
      <w:r>
        <w:rPr>
          <w:rFonts w:ascii="Arial" w:cs="Arial" w:eastAsia="Arial" w:hAnsi="Arial"/>
          <w:color w:val="1A2E2E"/>
          <w:sz w:val="22"/>
          <w:szCs w:val="22"/>
        </w:rPr>
        <w:t xml:space="preserve">The skills development factor deserves special attention because it transforms routing from a pure efficiency optimization into a team capability builder. Without it, the system converges on always giving hard cases to the best analyst and easy cases to everyone else — a pattern that atrophies the team.</w:t>
      </w:r>
    </w:p>
    <w:p>
      <w:pPr>
        <w:spacing w:before="0" w:after="120" w:line="276"/>
      </w:pPr>
      <w:r>
        <w:rPr>
          <w:rFonts w:ascii="Arial" w:cs="Arial" w:eastAsia="Arial" w:hAnsi="Arial"/>
          <w:color w:val="1A2E2E"/>
          <w:sz w:val="22"/>
          <w:szCs w:val="22"/>
        </w:rPr>
        <w:t xml:space="preserve">Skills development routing is subject to three constraints:</w:t>
      </w:r>
    </w:p>
    <w:p>
      <w:pPr>
        <w:pStyle w:val="ListParagraph"/>
        <w:numPr>
          <w:ilvl w:val="0"/>
          <w:numId w:val="2"/>
        </w:numPr>
        <w:spacing w:after="60" w:line="276"/>
      </w:pPr>
      <w:r>
        <w:rPr>
          <w:rFonts w:ascii="Arial" w:cs="Arial" w:eastAsia="Arial" w:hAnsi="Arial"/>
          <w:b/>
          <w:bCs/>
          <w:color w:val="1A2E2E"/>
          <w:sz w:val="22"/>
          <w:szCs w:val="22"/>
        </w:rPr>
        <w:t xml:space="preserve">Never the primary factor. </w:t>
      </w:r>
      <w:r>
        <w:rPr>
          <w:rFonts w:ascii="Arial" w:cs="Arial" w:eastAsia="Arial" w:hAnsi="Arial"/>
          <w:color w:val="1A2E2E"/>
          <w:sz w:val="22"/>
          <w:szCs w:val="22"/>
        </w:rPr>
        <w:t xml:space="preserve">Capability match and workload balance always take precedence. Skills development only influences the tiebreaker.</w:t>
      </w:r>
    </w:p>
    <w:p>
      <w:pPr>
        <w:pStyle w:val="ListParagraph"/>
        <w:numPr>
          <w:ilvl w:val="0"/>
          <w:numId w:val="2"/>
        </w:numPr>
        <w:spacing w:after="60" w:line="276"/>
      </w:pPr>
      <w:r>
        <w:rPr>
          <w:rFonts w:ascii="Arial" w:cs="Arial" w:eastAsia="Arial" w:hAnsi="Arial"/>
          <w:b/>
          <w:bCs/>
          <w:color w:val="1A2E2E"/>
          <w:sz w:val="22"/>
          <w:szCs w:val="22"/>
        </w:rPr>
        <w:t xml:space="preserve">Always with appropriate support. </w:t>
      </w:r>
      <w:r>
        <w:rPr>
          <w:rFonts w:ascii="Arial" w:cs="Arial" w:eastAsia="Arial" w:hAnsi="Arial"/>
          <w:color w:val="1A2E2E"/>
          <w:sz w:val="22"/>
          <w:szCs w:val="22"/>
        </w:rPr>
        <w:t xml:space="preserve">When a case is routed for development purposes, the system activates the appropriate assistance level (Guided or Assisted with extended help panels). The analyst is supported, not thrown into the deep end.</w:t>
      </w:r>
    </w:p>
    <w:p>
      <w:pPr>
        <w:pStyle w:val="ListParagraph"/>
        <w:numPr>
          <w:ilvl w:val="0"/>
          <w:numId w:val="2"/>
        </w:numPr>
        <w:spacing w:after="60" w:line="276"/>
      </w:pPr>
      <w:r>
        <w:rPr>
          <w:rFonts w:ascii="Arial" w:cs="Arial" w:eastAsia="Arial" w:hAnsi="Arial"/>
          <w:b/>
          <w:bCs/>
          <w:color w:val="1A2E2E"/>
          <w:sz w:val="22"/>
          <w:szCs w:val="22"/>
        </w:rPr>
        <w:t xml:space="preserve">Supervisor visibility. </w:t>
      </w:r>
      <w:r>
        <w:rPr>
          <w:rFonts w:ascii="Arial" w:cs="Arial" w:eastAsia="Arial" w:hAnsi="Arial"/>
          <w:color w:val="1A2E2E"/>
          <w:sz w:val="22"/>
          <w:szCs w:val="22"/>
        </w:rPr>
        <w:t xml:space="preserve">Development-routed cases are flagged in the supervisor dashboard so the supervisor can monitor and intervene if needed.</w:t>
      </w:r>
    </w:p>
    <w:p>
      <w:r>
        <w:br w:type="page"/>
      </w:r>
    </w:p>
    <w:p>
      <w:pPr>
        <w:pStyle w:val="Heading1"/>
        <w:spacing w:before="360" w:after="120" w:line="276"/>
      </w:pPr>
      <w:r>
        <w:rPr>
          <w:rFonts w:ascii="Arial" w:cs="Arial" w:eastAsia="Arial" w:hAnsi="Arial"/>
          <w:color w:val="1A2E2E"/>
          <w:sz w:val="22"/>
          <w:szCs w:val="22"/>
        </w:rPr>
        <w:t xml:space="preserve">5. Supervisor Experience</w:t>
      </w:r>
    </w:p>
    <w:p>
      <w:pPr>
        <w:spacing w:before="0" w:after="120" w:line="276"/>
      </w:pPr>
      <w:r>
        <w:rPr>
          <w:rFonts w:ascii="Arial" w:cs="Arial" w:eastAsia="Arial" w:hAnsi="Arial"/>
          <w:color w:val="1A2E2E"/>
          <w:sz w:val="22"/>
          <w:szCs w:val="22"/>
        </w:rPr>
        <w:t xml:space="preserve">The supervisor sees a team capability map, not a leaderboard. The view answers operational questions: where does the team have depth, where are there gaps, and how is the team growing?</w:t>
      </w:r>
    </w:p>
    <w:p>
      <w:pPr>
        <w:pStyle w:val="Heading2"/>
        <w:spacing w:before="240" w:after="120" w:line="276"/>
      </w:pPr>
      <w:r>
        <w:rPr>
          <w:rFonts w:ascii="Arial" w:cs="Arial" w:eastAsia="Arial" w:hAnsi="Arial"/>
          <w:color w:val="1A2E2E"/>
          <w:sz w:val="22"/>
          <w:szCs w:val="22"/>
        </w:rPr>
        <w:t xml:space="preserve">5.1 Team Capability Heat Map</w:t>
      </w:r>
    </w:p>
    <w:p>
      <w:pPr>
        <w:spacing w:before="0" w:after="120" w:line="276"/>
      </w:pPr>
      <w:r>
        <w:rPr>
          <w:rFonts w:ascii="Arial" w:cs="Arial" w:eastAsia="Arial" w:hAnsi="Arial"/>
          <w:color w:val="1A2E2E"/>
          <w:sz w:val="22"/>
          <w:szCs w:val="22"/>
        </w:rPr>
        <w:t xml:space="preserve">The primary supervisor view presents a matrix of analysts against complexity tiers, color-coded by proficiency level. This immediately reveals capability distribution:</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Analyst</w:t>
            </w:r>
          </w:p>
        </w:tc>
        <w:tc>
          <w:tcPr>
            <w:tcW w:type="dxa" w:w="18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Standard</w:t>
            </w:r>
          </w:p>
        </w:tc>
        <w:tc>
          <w:tcPr>
            <w:tcW w:type="dxa" w:w="18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Elevated</w:t>
            </w:r>
          </w:p>
        </w:tc>
        <w:tc>
          <w:tcPr>
            <w:tcW w:type="dxa" w:w="18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Complex</w:t>
            </w:r>
          </w:p>
        </w:tc>
        <w:tc>
          <w:tcPr>
            <w:tcW w:type="dxa" w:w="23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Growth Path</w:t>
            </w:r>
          </w:p>
        </w:tc>
      </w:tr>
      <w:tr>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Sarah Chen</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b/>
                <w:bCs/>
                <w:color w:val="2E7D32"/>
                <w:sz w:val="19"/>
                <w:szCs w:val="19"/>
              </w:rPr>
              <w:t xml:space="preserve">Proficient</w:t>
            </w:r>
          </w:p>
          <w:p>
            <w:pPr>
              <w:spacing w:before="0" w:after="120" w:line="276"/>
            </w:pPr>
            <w:r>
              <w:rPr>
                <w:rFonts w:ascii="Arial" w:cs="Arial" w:eastAsia="Arial" w:hAnsi="Arial"/>
                <w:color w:val="4A6767"/>
                <w:sz w:val="16"/>
                <w:szCs w:val="16"/>
              </w:rPr>
              <w:t xml:space="preserve">47 cases, 99% accuracy</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b/>
                <w:bCs/>
                <w:color w:val="2E7D32"/>
                <w:sz w:val="19"/>
                <w:szCs w:val="19"/>
              </w:rPr>
              <w:t xml:space="preserve">Proficient</w:t>
            </w:r>
          </w:p>
          <w:p>
            <w:pPr>
              <w:spacing w:before="0" w:after="120" w:line="276"/>
            </w:pPr>
            <w:r>
              <w:rPr>
                <w:rFonts w:ascii="Arial" w:cs="Arial" w:eastAsia="Arial" w:hAnsi="Arial"/>
                <w:color w:val="4A6767"/>
                <w:sz w:val="16"/>
                <w:szCs w:val="16"/>
              </w:rPr>
              <w:t xml:space="preserve">23 cases, 97% accuracy</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b/>
                <w:bCs/>
                <w:color w:val="E65100"/>
                <w:sz w:val="19"/>
                <w:szCs w:val="19"/>
              </w:rPr>
              <w:t xml:space="preserve">Developing</w:t>
            </w:r>
          </w:p>
          <w:p>
            <w:pPr>
              <w:spacing w:before="0" w:after="120" w:line="276"/>
            </w:pPr>
            <w:r>
              <w:rPr>
                <w:rFonts w:ascii="Arial" w:cs="Arial" w:eastAsia="Arial" w:hAnsi="Arial"/>
                <w:color w:val="4A6767"/>
                <w:sz w:val="16"/>
                <w:szCs w:val="16"/>
              </w:rPr>
              <w:t xml:space="preserve">8 cases, 94% accuracy</w:t>
            </w:r>
          </w:p>
        </w:tc>
        <w:tc>
          <w:tcPr>
            <w:tcW w:type="dxa" w:w="23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8"/>
                <w:szCs w:val="18"/>
              </w:rPr>
              <w:t xml:space="preserve">Complex tier → Proficient</w:t>
            </w:r>
          </w:p>
        </w:tc>
      </w:tr>
      <w:tr>
        <w:tc>
          <w:tcPr>
            <w:tcW w:type="dxa" w:w="16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Marcus Rivera</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b/>
                <w:bCs/>
                <w:color w:val="2E7D32"/>
                <w:sz w:val="19"/>
                <w:szCs w:val="19"/>
              </w:rPr>
              <w:t xml:space="preserve">Proficient</w:t>
            </w:r>
          </w:p>
          <w:p>
            <w:pPr>
              <w:spacing w:before="0" w:after="120" w:line="276"/>
            </w:pPr>
            <w:r>
              <w:rPr>
                <w:rFonts w:ascii="Arial" w:cs="Arial" w:eastAsia="Arial" w:hAnsi="Arial"/>
                <w:color w:val="4A6767"/>
                <w:sz w:val="16"/>
                <w:szCs w:val="16"/>
              </w:rPr>
              <w:t xml:space="preserve">31 cases, 97% accuracy</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b/>
                <w:bCs/>
                <w:color w:val="E65100"/>
                <w:sz w:val="19"/>
                <w:szCs w:val="19"/>
              </w:rPr>
              <w:t xml:space="preserve">Developing</w:t>
            </w:r>
          </w:p>
          <w:p>
            <w:pPr>
              <w:spacing w:before="0" w:after="120" w:line="276"/>
            </w:pPr>
            <w:r>
              <w:rPr>
                <w:rFonts w:ascii="Arial" w:cs="Arial" w:eastAsia="Arial" w:hAnsi="Arial"/>
                <w:color w:val="4A6767"/>
                <w:sz w:val="16"/>
                <w:szCs w:val="16"/>
              </w:rPr>
              <w:t xml:space="preserve">12 cases, 91% accuracy</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b/>
                <w:bCs/>
                <w:color w:val="6A1B9A"/>
                <w:sz w:val="19"/>
                <w:szCs w:val="19"/>
              </w:rPr>
              <w:t xml:space="preserve">Learning</w:t>
            </w:r>
          </w:p>
          <w:p>
            <w:pPr>
              <w:spacing w:before="0" w:after="120" w:line="276"/>
            </w:pPr>
            <w:r>
              <w:rPr>
                <w:rFonts w:ascii="Arial" w:cs="Arial" w:eastAsia="Arial" w:hAnsi="Arial"/>
                <w:color w:val="4A6767"/>
                <w:sz w:val="16"/>
                <w:szCs w:val="16"/>
              </w:rPr>
              <w:t xml:space="preserve">2 cases</w:t>
            </w:r>
          </w:p>
        </w:tc>
        <w:tc>
          <w:tcPr>
            <w:tcW w:type="dxa" w:w="23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8"/>
                <w:szCs w:val="18"/>
              </w:rPr>
              <w:t xml:space="preserve">Elevated tier depth</w:t>
            </w:r>
          </w:p>
        </w:tc>
      </w:tr>
      <w:tr>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Lisa Park</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b/>
                <w:bCs/>
                <w:color w:val="2E7D32"/>
                <w:sz w:val="19"/>
                <w:szCs w:val="19"/>
              </w:rPr>
              <w:t xml:space="preserve">Proficient</w:t>
            </w:r>
          </w:p>
          <w:p>
            <w:pPr>
              <w:spacing w:before="0" w:after="120" w:line="276"/>
            </w:pPr>
            <w:r>
              <w:rPr>
                <w:rFonts w:ascii="Arial" w:cs="Arial" w:eastAsia="Arial" w:hAnsi="Arial"/>
                <w:color w:val="4A6767"/>
                <w:sz w:val="16"/>
                <w:szCs w:val="16"/>
              </w:rPr>
              <w:t xml:space="preserve">52 cases, 100% accuracy</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b/>
                <w:bCs/>
                <w:color w:val="2E7D32"/>
                <w:sz w:val="19"/>
                <w:szCs w:val="19"/>
              </w:rPr>
              <w:t xml:space="preserve">Proficient</w:t>
            </w:r>
          </w:p>
          <w:p>
            <w:pPr>
              <w:spacing w:before="0" w:after="120" w:line="276"/>
            </w:pPr>
            <w:r>
              <w:rPr>
                <w:rFonts w:ascii="Arial" w:cs="Arial" w:eastAsia="Arial" w:hAnsi="Arial"/>
                <w:color w:val="4A6767"/>
                <w:sz w:val="16"/>
                <w:szCs w:val="16"/>
              </w:rPr>
              <w:t xml:space="preserve">28 cases, 98% accuracy</w:t>
            </w:r>
          </w:p>
        </w:tc>
        <w:tc>
          <w:tcPr>
            <w:tcW w:type="dxa" w:w="1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b/>
                <w:bCs/>
                <w:color w:val="2E7D32"/>
                <w:sz w:val="19"/>
                <w:szCs w:val="19"/>
              </w:rPr>
              <w:t xml:space="preserve">Proficient</w:t>
            </w:r>
          </w:p>
          <w:p>
            <w:pPr>
              <w:spacing w:before="0" w:after="120" w:line="276"/>
            </w:pPr>
            <w:r>
              <w:rPr>
                <w:rFonts w:ascii="Arial" w:cs="Arial" w:eastAsia="Arial" w:hAnsi="Arial"/>
                <w:color w:val="4A6767"/>
                <w:sz w:val="16"/>
                <w:szCs w:val="16"/>
              </w:rPr>
              <w:t xml:space="preserve">15 cases, 97% accuracy</w:t>
            </w:r>
          </w:p>
        </w:tc>
        <w:tc>
          <w:tcPr>
            <w:tcW w:type="dxa" w:w="23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8"/>
                <w:szCs w:val="18"/>
              </w:rPr>
              <w:t xml:space="preserve">Mentor / cross-training lead</w:t>
            </w:r>
          </w:p>
        </w:tc>
      </w:tr>
      <w:tr>
        <w:tc>
          <w:tcPr>
            <w:tcW w:type="dxa" w:w="16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James Foster</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b/>
                <w:bCs/>
                <w:color w:val="E65100"/>
                <w:sz w:val="19"/>
                <w:szCs w:val="19"/>
              </w:rPr>
              <w:t xml:space="preserve">Developing</w:t>
            </w:r>
          </w:p>
          <w:p>
            <w:pPr>
              <w:spacing w:before="0" w:after="120" w:line="276"/>
            </w:pPr>
            <w:r>
              <w:rPr>
                <w:rFonts w:ascii="Arial" w:cs="Arial" w:eastAsia="Arial" w:hAnsi="Arial"/>
                <w:color w:val="4A6767"/>
                <w:sz w:val="16"/>
                <w:szCs w:val="16"/>
              </w:rPr>
              <w:t xml:space="preserve">9 cases, 89% accuracy</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b/>
                <w:bCs/>
                <w:color w:val="6A1B9A"/>
                <w:sz w:val="19"/>
                <w:szCs w:val="19"/>
              </w:rPr>
              <w:t xml:space="preserve">Learning</w:t>
            </w:r>
          </w:p>
          <w:p>
            <w:pPr>
              <w:spacing w:before="0" w:after="120" w:line="276"/>
            </w:pPr>
            <w:r>
              <w:rPr>
                <w:rFonts w:ascii="Arial" w:cs="Arial" w:eastAsia="Arial" w:hAnsi="Arial"/>
                <w:color w:val="4A6767"/>
                <w:sz w:val="16"/>
                <w:szCs w:val="16"/>
              </w:rPr>
              <w:t xml:space="preserve">3 cases</w:t>
            </w:r>
          </w:p>
        </w:tc>
        <w:tc>
          <w:tcPr>
            <w:tcW w:type="dxa" w:w="1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7A9696"/>
                <w:sz w:val="19"/>
                <w:szCs w:val="19"/>
              </w:rPr>
              <w:t xml:space="preserve">—</w:t>
            </w:r>
          </w:p>
          <w:p>
            <w:pPr>
              <w:spacing w:before="0" w:after="120" w:line="276"/>
            </w:pPr>
            <w:r>
              <w:rPr>
                <w:rFonts w:ascii="Arial" w:cs="Arial" w:eastAsia="Arial" w:hAnsi="Arial"/>
                <w:color w:val="4A6767"/>
                <w:sz w:val="16"/>
                <w:szCs w:val="16"/>
              </w:rPr>
              <w:t xml:space="preserve">No exposure yet</w:t>
            </w:r>
          </w:p>
        </w:tc>
        <w:tc>
          <w:tcPr>
            <w:tcW w:type="dxa" w:w="23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8"/>
                <w:szCs w:val="18"/>
              </w:rPr>
              <w:t xml:space="preserve">Standard tier → Proficient</w:t>
            </w:r>
          </w:p>
        </w:tc>
      </w:tr>
    </w:tbl>
    <w:p>
      <w:pPr>
        <w:spacing w:before="0" w:after="40" w:line="276"/>
      </w:pPr>
      <w:r>
        <w:rPr>
          <w:rFonts w:ascii="Arial" w:cs="Arial" w:eastAsia="Arial" w:hAnsi="Arial"/>
          <w:color w:val="1A2E2E"/>
          <w:sz w:val="22"/>
          <w:szCs w:val="22"/>
        </w:rPr>
        <w:t xml:space="preserve"/>
      </w:r>
    </w:p>
    <w:p>
      <w:pPr>
        <w:spacing w:before="0" w:after="120" w:line="276"/>
      </w:pPr>
      <w:r>
        <w:rPr>
          <w:rFonts w:ascii="Arial" w:cs="Arial" w:eastAsia="Arial" w:hAnsi="Arial"/>
          <w:b/>
          <w:bCs/>
          <w:color w:val="1A2E2E"/>
          <w:sz w:val="22"/>
          <w:szCs w:val="22"/>
        </w:rPr>
        <w:t xml:space="preserve">Note: </w:t>
      </w:r>
      <w:r>
        <w:rPr>
          <w:rFonts w:ascii="Arial" w:cs="Arial" w:eastAsia="Arial" w:hAnsi="Arial"/>
          <w:color w:val="1A2E2E"/>
          <w:sz w:val="22"/>
          <w:szCs w:val="22"/>
        </w:rPr>
        <w:t xml:space="preserve">All case counts and accuracy percentages in this table are illustrative examples to demonstrate the heat map concept, not actual data.</w:t>
      </w:r>
    </w:p>
    <w:p>
      <w:pPr>
        <w:spacing w:before="0" w:after="120" w:line="276"/>
      </w:pPr>
      <w:r>
        <w:rPr>
          <w:rFonts w:ascii="Arial" w:cs="Arial" w:eastAsia="Arial" w:hAnsi="Arial"/>
          <w:color w:val="1A2E2E"/>
          <w:sz w:val="22"/>
          <w:szCs w:val="22"/>
        </w:rPr>
        <w:t xml:space="preserve">This view immediately surfaces that Lisa is the only team member proficient across all complexity tiers, which creates a single-point-of-failure risk for Complex cases. It also shows James as a clear candidate for guided development on Standard cases, with his growth path toward Proficient at that tier before introducing Elevated work.</w:t>
      </w:r>
    </w:p>
    <w:p>
      <w:pPr>
        <w:pStyle w:val="Heading2"/>
        <w:spacing w:before="240" w:after="120" w:line="276"/>
      </w:pPr>
      <w:r>
        <w:rPr>
          <w:rFonts w:ascii="Arial" w:cs="Arial" w:eastAsia="Arial" w:hAnsi="Arial"/>
          <w:color w:val="1A2E2E"/>
          <w:sz w:val="22"/>
          <w:szCs w:val="22"/>
        </w:rPr>
        <w:t xml:space="preserve">5.2 Supervisor Actions</w:t>
      </w:r>
    </w:p>
    <w:p>
      <w:pPr>
        <w:spacing w:before="0" w:after="120" w:line="276"/>
      </w:pPr>
      <w:r>
        <w:rPr>
          <w:rFonts w:ascii="Arial" w:cs="Arial" w:eastAsia="Arial" w:hAnsi="Arial"/>
          <w:color w:val="1A2E2E"/>
          <w:sz w:val="22"/>
          <w:szCs w:val="22"/>
        </w:rPr>
        <w:t xml:space="preserve">From the capability heat map, the supervisor can:</w:t>
      </w:r>
    </w:p>
    <w:p>
      <w:pPr>
        <w:pStyle w:val="ListParagraph"/>
        <w:numPr>
          <w:ilvl w:val="0"/>
          <w:numId w:val="2"/>
        </w:numPr>
        <w:spacing w:after="60" w:line="276"/>
      </w:pPr>
      <w:r>
        <w:rPr>
          <w:rFonts w:ascii="Arial" w:cs="Arial" w:eastAsia="Arial" w:hAnsi="Arial"/>
          <w:b/>
          <w:bCs/>
          <w:color w:val="1A2E2E"/>
          <w:sz w:val="22"/>
          <w:szCs w:val="22"/>
        </w:rPr>
        <w:t xml:space="preserve">Approve graduation suggestions </w:t>
      </w:r>
      <w:r>
        <w:rPr>
          <w:rFonts w:ascii="Arial" w:cs="Arial" w:eastAsia="Arial" w:hAnsi="Arial"/>
          <w:color w:val="1A2E2E"/>
          <w:sz w:val="22"/>
          <w:szCs w:val="22"/>
        </w:rPr>
        <w:t xml:space="preserve">— one-click confirmation when the system detects an analyst is ready for the next proficiency level</w:t>
      </w:r>
    </w:p>
    <w:p>
      <w:pPr>
        <w:pStyle w:val="ListParagraph"/>
        <w:numPr>
          <w:ilvl w:val="0"/>
          <w:numId w:val="2"/>
        </w:numPr>
        <w:spacing w:after="60" w:line="276"/>
      </w:pPr>
      <w:r>
        <w:rPr>
          <w:rFonts w:ascii="Arial" w:cs="Arial" w:eastAsia="Arial" w:hAnsi="Arial"/>
          <w:b/>
          <w:bCs/>
          <w:color w:val="1A2E2E"/>
          <w:sz w:val="22"/>
          <w:szCs w:val="22"/>
        </w:rPr>
        <w:t xml:space="preserve">Adjust proficiency modes </w:t>
      </w:r>
      <w:r>
        <w:rPr>
          <w:rFonts w:ascii="Arial" w:cs="Arial" w:eastAsia="Arial" w:hAnsi="Arial"/>
          <w:color w:val="1A2E2E"/>
          <w:sz w:val="22"/>
          <w:szCs w:val="22"/>
        </w:rPr>
        <w:t xml:space="preserve">— manually override the adaptive mode for a specific analyst and complexity tier, with reason code</w:t>
      </w:r>
    </w:p>
    <w:p>
      <w:pPr>
        <w:pStyle w:val="ListParagraph"/>
        <w:numPr>
          <w:ilvl w:val="0"/>
          <w:numId w:val="2"/>
        </w:numPr>
        <w:spacing w:after="60" w:line="276"/>
      </w:pPr>
      <w:r>
        <w:rPr>
          <w:rFonts w:ascii="Arial" w:cs="Arial" w:eastAsia="Arial" w:hAnsi="Arial"/>
          <w:b/>
          <w:bCs/>
          <w:color w:val="1A2E2E"/>
          <w:sz w:val="22"/>
          <w:szCs w:val="22"/>
        </w:rPr>
        <w:t xml:space="preserve">Assign development goals </w:t>
      </w:r>
      <w:r>
        <w:rPr>
          <w:rFonts w:ascii="Arial" w:cs="Arial" w:eastAsia="Arial" w:hAnsi="Arial"/>
          <w:color w:val="1A2E2E"/>
          <w:sz w:val="22"/>
          <w:szCs w:val="22"/>
        </w:rPr>
        <w:t xml:space="preserve">— mark that an analyst should receive a configurable number of Elevated cases in the coming period as a growth target</w:t>
      </w:r>
    </w:p>
    <w:p>
      <w:pPr>
        <w:pStyle w:val="ListParagraph"/>
        <w:numPr>
          <w:ilvl w:val="0"/>
          <w:numId w:val="2"/>
        </w:numPr>
        <w:spacing w:after="60" w:line="276"/>
      </w:pPr>
      <w:r>
        <w:rPr>
          <w:rFonts w:ascii="Arial" w:cs="Arial" w:eastAsia="Arial" w:hAnsi="Arial"/>
          <w:b/>
          <w:bCs/>
          <w:color w:val="1A2E2E"/>
          <w:sz w:val="22"/>
          <w:szCs w:val="22"/>
        </w:rPr>
        <w:t xml:space="preserve">Configure routing weights </w:t>
      </w:r>
      <w:r>
        <w:rPr>
          <w:rFonts w:ascii="Arial" w:cs="Arial" w:eastAsia="Arial" w:hAnsi="Arial"/>
          <w:color w:val="1A2E2E"/>
          <w:sz w:val="22"/>
          <w:szCs w:val="22"/>
        </w:rPr>
        <w:t xml:space="preserve">— adjust the balance between capability match, workload balance, and skills development for the team</w:t>
      </w:r>
    </w:p>
    <w:p>
      <w:pPr>
        <w:pStyle w:val="ListParagraph"/>
        <w:numPr>
          <w:ilvl w:val="0"/>
          <w:numId w:val="2"/>
        </w:numPr>
        <w:spacing w:after="60" w:line="276"/>
      </w:pPr>
      <w:r>
        <w:rPr>
          <w:rFonts w:ascii="Arial" w:cs="Arial" w:eastAsia="Arial" w:hAnsi="Arial"/>
          <w:b/>
          <w:bCs/>
          <w:color w:val="1A2E2E"/>
          <w:sz w:val="22"/>
          <w:szCs w:val="22"/>
        </w:rPr>
        <w:t xml:space="preserve">Review regression signals </w:t>
      </w:r>
      <w:r>
        <w:rPr>
          <w:rFonts w:ascii="Arial" w:cs="Arial" w:eastAsia="Arial" w:hAnsi="Arial"/>
          <w:color w:val="1A2E2E"/>
          <w:sz w:val="22"/>
          <w:szCs w:val="22"/>
        </w:rPr>
        <w:t xml:space="preserve">— see which analysts have shown recent accuracy declines and decide on intervention (coaching, mode adjustment, or no action)</w:t>
      </w:r>
    </w:p>
    <w:p>
      <w:pPr>
        <w:spacing w:before="0" w:after="12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All supervisor actions are logged in the audit trail. The system maintains a complete history of proficiency mode changes, graduation events, and routing weight adjustments.</w:t>
      </w:r>
    </w:p>
    <w:p>
      <w:pPr>
        <w:pStyle w:val="Heading1"/>
        <w:spacing w:before="360" w:after="120" w:line="276"/>
      </w:pPr>
      <w:r>
        <w:rPr>
          <w:rFonts w:ascii="Arial" w:cs="Arial" w:eastAsia="Arial" w:hAnsi="Arial"/>
          <w:color w:val="1A2E2E"/>
          <w:sz w:val="22"/>
          <w:szCs w:val="22"/>
        </w:rPr>
        <w:t xml:space="preserve">6. Analyst Experience</w:t>
      </w:r>
    </w:p>
    <w:p>
      <w:pPr>
        <w:spacing w:before="0" w:after="120" w:line="276"/>
      </w:pPr>
      <w:r>
        <w:rPr>
          <w:rFonts w:ascii="Arial" w:cs="Arial" w:eastAsia="Arial" w:hAnsi="Arial"/>
          <w:color w:val="1A2E2E"/>
          <w:sz w:val="22"/>
          <w:szCs w:val="22"/>
        </w:rPr>
        <w:t xml:space="preserve">The analyst sees their own skills development dashboard. The framing is personal growth: what they have achieved, what they are building, and what comes next.</w:t>
      </w:r>
    </w:p>
    <w:p>
      <w:pPr>
        <w:pStyle w:val="Heading2"/>
        <w:spacing w:before="240" w:after="120" w:line="276"/>
      </w:pPr>
      <w:r>
        <w:rPr>
          <w:rFonts w:ascii="Arial" w:cs="Arial" w:eastAsia="Arial" w:hAnsi="Arial"/>
          <w:color w:val="1A2E2E"/>
          <w:sz w:val="22"/>
          <w:szCs w:val="22"/>
        </w:rPr>
        <w:t xml:space="preserve">6.1 Skills Dashboard Elements</w:t>
      </w:r>
    </w:p>
    <w:p>
      <w:pPr>
        <w:pStyle w:val="ListParagraph"/>
        <w:numPr>
          <w:ilvl w:val="0"/>
          <w:numId w:val="2"/>
        </w:numPr>
        <w:spacing w:after="60" w:line="276"/>
      </w:pPr>
      <w:r>
        <w:rPr>
          <w:rFonts w:ascii="Arial" w:cs="Arial" w:eastAsia="Arial" w:hAnsi="Arial"/>
          <w:b/>
          <w:bCs/>
          <w:color w:val="1A2E2E"/>
          <w:sz w:val="22"/>
          <w:szCs w:val="22"/>
        </w:rPr>
        <w:t xml:space="preserve">Mastery badges </w:t>
      </w:r>
      <w:r>
        <w:rPr>
          <w:rFonts w:ascii="Arial" w:cs="Arial" w:eastAsia="Arial" w:hAnsi="Arial"/>
          <w:color w:val="1A2E2E"/>
          <w:sz w:val="22"/>
          <w:szCs w:val="22"/>
        </w:rPr>
        <w:t xml:space="preserve">per complexity tier — visual indication of Learning / Developing / Proficient status</w:t>
      </w:r>
    </w:p>
    <w:p>
      <w:pPr>
        <w:pStyle w:val="ListParagraph"/>
        <w:numPr>
          <w:ilvl w:val="0"/>
          <w:numId w:val="2"/>
        </w:numPr>
        <w:spacing w:after="60" w:line="276"/>
      </w:pPr>
      <w:r>
        <w:rPr>
          <w:rFonts w:ascii="Arial" w:cs="Arial" w:eastAsia="Arial" w:hAnsi="Arial"/>
          <w:b/>
          <w:bCs/>
          <w:color w:val="1A2E2E"/>
          <w:sz w:val="22"/>
          <w:szCs w:val="22"/>
        </w:rPr>
        <w:t xml:space="preserve">Progress indicators </w:t>
      </w:r>
      <w:r>
        <w:rPr>
          <w:rFonts w:ascii="Arial" w:cs="Arial" w:eastAsia="Arial" w:hAnsi="Arial"/>
          <w:color w:val="1A2E2E"/>
          <w:sz w:val="22"/>
          <w:szCs w:val="22"/>
        </w:rPr>
        <w:t xml:space="preserve">— how close they are to the next proficiency level (without exposing exact numeric thresholds, which could create gaming incentives)</w:t>
      </w:r>
    </w:p>
    <w:p>
      <w:pPr>
        <w:pStyle w:val="ListParagraph"/>
        <w:numPr>
          <w:ilvl w:val="0"/>
          <w:numId w:val="2"/>
        </w:numPr>
        <w:spacing w:after="60" w:line="276"/>
      </w:pPr>
      <w:r>
        <w:rPr>
          <w:rFonts w:ascii="Arial" w:cs="Arial" w:eastAsia="Arial" w:hAnsi="Arial"/>
          <w:b/>
          <w:bCs/>
          <w:color w:val="1A2E2E"/>
          <w:sz w:val="22"/>
          <w:szCs w:val="22"/>
        </w:rPr>
        <w:t xml:space="preserve">Recent case summary </w:t>
      </w:r>
      <w:r>
        <w:rPr>
          <w:rFonts w:ascii="Arial" w:cs="Arial" w:eastAsia="Arial" w:hAnsi="Arial"/>
          <w:color w:val="1A2E2E"/>
          <w:sz w:val="22"/>
          <w:szCs w:val="22"/>
        </w:rPr>
        <w:t xml:space="preserve">— last N completed cases with complexity classification, showing breadth of experience</w:t>
      </w:r>
    </w:p>
    <w:p>
      <w:pPr>
        <w:pStyle w:val="ListParagraph"/>
        <w:numPr>
          <w:ilvl w:val="0"/>
          <w:numId w:val="2"/>
        </w:numPr>
        <w:spacing w:after="60" w:line="276"/>
      </w:pPr>
      <w:r>
        <w:rPr>
          <w:rFonts w:ascii="Arial" w:cs="Arial" w:eastAsia="Arial" w:hAnsi="Arial"/>
          <w:b/>
          <w:bCs/>
          <w:color w:val="1A2E2E"/>
          <w:sz w:val="22"/>
          <w:szCs w:val="22"/>
        </w:rPr>
        <w:t xml:space="preserve">Rule category coverage </w:t>
      </w:r>
      <w:r>
        <w:rPr>
          <w:rFonts w:ascii="Arial" w:cs="Arial" w:eastAsia="Arial" w:hAnsi="Arial"/>
          <w:color w:val="1A2E2E"/>
          <w:sz w:val="22"/>
          <w:szCs w:val="22"/>
        </w:rPr>
        <w:t xml:space="preserve">— which of the 8 rule categories they have worked with, identifying unexplored areas</w:t>
      </w:r>
    </w:p>
    <w:p>
      <w:pPr>
        <w:pStyle w:val="ListParagraph"/>
        <w:numPr>
          <w:ilvl w:val="0"/>
          <w:numId w:val="2"/>
        </w:numPr>
        <w:spacing w:after="60" w:line="276"/>
      </w:pPr>
      <w:r>
        <w:rPr>
          <w:rFonts w:ascii="Arial" w:cs="Arial" w:eastAsia="Arial" w:hAnsi="Arial"/>
          <w:b/>
          <w:bCs/>
          <w:color w:val="1A2E2E"/>
          <w:sz w:val="22"/>
          <w:szCs w:val="22"/>
        </w:rPr>
        <w:t xml:space="preserve">Graduation milestones </w:t>
      </w:r>
      <w:r>
        <w:rPr>
          <w:rFonts w:ascii="Arial" w:cs="Arial" w:eastAsia="Arial" w:hAnsi="Arial"/>
          <w:color w:val="1A2E2E"/>
          <w:sz w:val="22"/>
          <w:szCs w:val="22"/>
        </w:rPr>
        <w:t xml:space="preserve">— celebrations when they level up: “You’ve reached Proficient status on Standard cases!”</w:t>
      </w:r>
    </w:p>
    <w:p>
      <w:pPr>
        <w:spacing w:before="0" w:after="12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The analyst does not see: comparative rankings against peers, processing speed metrics, supervisor-initiated regression signals, or routing weight configurations. The dashboard is entirely about their own journey.</w:t>
      </w:r>
    </w:p>
    <w:p>
      <w:pPr>
        <w:pStyle w:val="Heading2"/>
        <w:spacing w:before="240" w:after="120" w:line="276"/>
      </w:pPr>
      <w:r>
        <w:rPr>
          <w:rFonts w:ascii="Arial" w:cs="Arial" w:eastAsia="Arial" w:hAnsi="Arial"/>
          <w:color w:val="1A2E2E"/>
          <w:sz w:val="22"/>
          <w:szCs w:val="22"/>
        </w:rPr>
        <w:t xml:space="preserve">6.2 Contextual Adaptation Transparency</w:t>
      </w:r>
    </w:p>
    <w:p>
      <w:pPr>
        <w:spacing w:before="0" w:after="120" w:line="276"/>
      </w:pPr>
      <w:r>
        <w:rPr>
          <w:rFonts w:ascii="Arial" w:cs="Arial" w:eastAsia="Arial" w:hAnsi="Arial"/>
          <w:color w:val="1A2E2E"/>
          <w:sz w:val="22"/>
          <w:szCs w:val="22"/>
        </w:rPr>
        <w:t xml:space="preserve">When the system adapts the workspace based on proficiency (e.g., showing extended help panels for a Complex case even though the analyst is normally in Expert mode), the reason is transparent:</w:t>
      </w:r>
    </w:p>
    <w:p>
      <w:pPr>
        <w:spacing w:before="0" w:after="120" w:line="276"/>
      </w:pPr>
      <w:r>
        <w:rPr>
          <w:rFonts w:ascii="Arial" w:cs="Arial" w:eastAsia="Arial" w:hAnsi="Arial"/>
          <w:i/>
          <w:iCs/>
          <w:color w:val="1A2E2E"/>
          <w:sz w:val="22"/>
          <w:szCs w:val="22"/>
        </w:rPr>
        <w:t xml:space="preserve">“This is your first DRO case with a marital share calculation. The guidance panel is available to walk through the marital fraction derivation. You can dismiss it anytime.”</w:t>
      </w:r>
    </w:p>
    <w:p>
      <w:pPr>
        <w:spacing w:before="0" w:after="120" w:line="276"/>
      </w:pPr>
      <w:r>
        <w:rPr>
          <w:rFonts w:ascii="Arial" w:cs="Arial" w:eastAsia="Arial" w:hAnsi="Arial"/>
          <w:color w:val="1A2E2E"/>
          <w:sz w:val="22"/>
          <w:szCs w:val="22"/>
        </w:rPr>
        <w:t xml:space="preserve">The system never silently changes the workspace without explanation. Transparency builds trust. The analyst should always understand why the interface looks different from their usual experience and know that it is supporting their growth, not questioning their competence.</w:t>
      </w:r>
    </w:p>
    <w:p>
      <w:r>
        <w:br w:type="page"/>
      </w:r>
    </w:p>
    <w:p>
      <w:pPr>
        <w:pStyle w:val="Heading1"/>
        <w:spacing w:before="360" w:after="120" w:line="276"/>
      </w:pPr>
      <w:r>
        <w:rPr>
          <w:rFonts w:ascii="Arial" w:cs="Arial" w:eastAsia="Arial" w:hAnsi="Arial"/>
          <w:color w:val="1A2E2E"/>
          <w:sz w:val="22"/>
          <w:szCs w:val="22"/>
        </w:rPr>
        <w:t xml:space="preserve">7. Integration with Composition Engine</w:t>
      </w:r>
    </w:p>
    <w:p>
      <w:pPr>
        <w:spacing w:before="0" w:after="120" w:line="276"/>
      </w:pPr>
      <w:r>
        <w:rPr>
          <w:rFonts w:ascii="Arial" w:cs="Arial" w:eastAsia="Arial" w:hAnsi="Arial"/>
          <w:color w:val="1A2E2E"/>
          <w:sz w:val="22"/>
          <w:szCs w:val="22"/>
        </w:rPr>
        <w:t xml:space="preserve">The proficiency model integrates with the existing three-tier workspace composition model. Proficiency data becomes an input to Tier 2 (rule-based) composition decisions.</w:t>
      </w:r>
    </w:p>
    <w:p>
      <w:pPr>
        <w:pStyle w:val="Heading2"/>
        <w:spacing w:before="240" w:after="120" w:line="276"/>
      </w:pPr>
      <w:r>
        <w:rPr>
          <w:rFonts w:ascii="Arial" w:cs="Arial" w:eastAsia="Arial" w:hAnsi="Arial"/>
          <w:color w:val="1A2E2E"/>
          <w:sz w:val="22"/>
          <w:szCs w:val="22"/>
        </w:rPr>
        <w:t xml:space="preserve">7.1 Composition Rules</w:t>
      </w:r>
    </w:p>
    <w:p>
      <w:pPr>
        <w:spacing w:before="0" w:after="120" w:line="276"/>
      </w:pPr>
      <w:r>
        <w:rPr>
          <w:rFonts w:ascii="Arial" w:cs="Arial" w:eastAsia="Arial" w:hAnsi="Arial"/>
          <w:color w:val="1A2E2E"/>
          <w:sz w:val="22"/>
          <w:szCs w:val="22"/>
        </w:rPr>
        <w:t xml:space="preserve">The following Tier 2 composition rules consume proficiency data:</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Rule</w:t>
            </w:r>
          </w:p>
        </w:tc>
        <w:tc>
          <w:tcPr>
            <w:tcW w:type="dxa" w:w="368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Condition</w:t>
            </w:r>
          </w:p>
        </w:tc>
        <w:tc>
          <w:tcPr>
            <w:tcW w:type="dxa" w:w="368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Composition Effect</w:t>
            </w:r>
          </w:p>
        </w:tc>
      </w:tr>
      <w:tr>
        <w:tc>
          <w:tcPr>
            <w:tcW w:type="dxa" w:w="20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COMP-PROF-001</w:t>
            </w:r>
          </w:p>
        </w:tc>
        <w:tc>
          <w:tcPr>
            <w:tcW w:type="dxa" w:w="36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Analyst proficiency at case complexity tier = Learning</w:t>
            </w:r>
          </w:p>
        </w:tc>
        <w:tc>
          <w:tcPr>
            <w:tcW w:type="dxa" w:w="36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Enforce Guided layout: sequential stages, help panel expanded by default, next-action prompts enabled</w:t>
            </w:r>
          </w:p>
        </w:tc>
      </w:tr>
      <w:tr>
        <w:tc>
          <w:tcPr>
            <w:tcW w:type="dxa" w:w="20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COMP-PROF-002</w:t>
            </w:r>
          </w:p>
        </w:tc>
        <w:tc>
          <w:tcPr>
            <w:tcW w:type="dxa" w:w="36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Analyst proficiency at case complexity tier = Developing</w:t>
            </w:r>
          </w:p>
        </w:tc>
        <w:tc>
          <w:tcPr>
            <w:tcW w:type="dxa" w:w="36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Default Assisted layout: all stages accessible, help panel collapsed but available, exception alerts only</w:t>
            </w:r>
          </w:p>
        </w:tc>
      </w:tr>
      <w:tr>
        <w:tc>
          <w:tcPr>
            <w:tcW w:type="dxa" w:w="20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COMP-PROF-003</w:t>
            </w:r>
          </w:p>
        </w:tc>
        <w:tc>
          <w:tcPr>
            <w:tcW w:type="dxa" w:w="36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Analyst proficiency at case complexity tier = Proficient</w:t>
            </w:r>
          </w:p>
        </w:tc>
        <w:tc>
          <w:tcPr>
            <w:tcW w:type="dxa" w:w="36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Default Expert layout: dashboard view, keyboard shortcuts active, help panel hidden unless exception</w:t>
            </w:r>
          </w:p>
        </w:tc>
      </w:tr>
      <w:tr>
        <w:tc>
          <w:tcPr>
            <w:tcW w:type="dxa" w:w="20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COMP-PROF-004</w:t>
            </w:r>
          </w:p>
        </w:tc>
        <w:tc>
          <w:tcPr>
            <w:tcW w:type="dxa" w:w="36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Case complexity = Complex AND analyst has no prior Complex completions</w:t>
            </w:r>
          </w:p>
        </w:tc>
        <w:tc>
          <w:tcPr>
            <w:tcW w:type="dxa" w:w="36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Supplement workspace with extended rule citation panel and supervisor co-assignment indicator, regardless of proficiency mode</w:t>
            </w:r>
          </w:p>
        </w:tc>
      </w:tr>
      <w:tr>
        <w:tc>
          <w:tcPr>
            <w:tcW w:type="dxa" w:w="20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COMP-PROF-005</w:t>
            </w:r>
          </w:p>
        </w:tc>
        <w:tc>
          <w:tcPr>
            <w:tcW w:type="dxa" w:w="36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Supervisor has manually overridden proficiency mode for this analyst + complexity tier</w:t>
            </w:r>
          </w:p>
        </w:tc>
        <w:tc>
          <w:tcPr>
            <w:tcW w:type="dxa" w:w="368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Use supervisor-assigned mode, display override indicator in workspace header</w:t>
            </w:r>
          </w:p>
        </w:tc>
      </w:tr>
      <w:tr>
        <w:tc>
          <w:tcPr>
            <w:tcW w:type="dxa" w:w="20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COMP-PROF-006</w:t>
            </w:r>
          </w:p>
        </w:tc>
        <w:tc>
          <w:tcPr>
            <w:tcW w:type="dxa" w:w="36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Analyst has graduation suggestion pending</w:t>
            </w:r>
          </w:p>
        </w:tc>
        <w:tc>
          <w:tcPr>
            <w:tcW w:type="dxa" w:w="368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Display milestone notification in workspace sidebar on first case open of the day</w:t>
            </w:r>
          </w:p>
        </w:tc>
      </w:tr>
    </w:tbl>
    <w:p>
      <w:pPr>
        <w:spacing w:before="0" w:after="6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These rules follow the same deterministic pattern as all Tier 2 composition rules. They are sub-100ms evaluations against structured data. No AI inference is involved.</w:t>
      </w:r>
    </w:p>
    <w:p>
      <w:pPr>
        <w:pStyle w:val="Heading2"/>
        <w:spacing w:before="240" w:after="120" w:line="276"/>
      </w:pPr>
      <w:r>
        <w:rPr>
          <w:rFonts w:ascii="Arial" w:cs="Arial" w:eastAsia="Arial" w:hAnsi="Arial"/>
          <w:color w:val="1A2E2E"/>
          <w:sz w:val="22"/>
          <w:szCs w:val="22"/>
        </w:rPr>
        <w:t xml:space="preserve">7.2 Degradation Behavior</w:t>
      </w:r>
    </w:p>
    <w:p>
      <w:pPr>
        <w:spacing w:before="0" w:after="120" w:line="276"/>
      </w:pPr>
      <w:r>
        <w:rPr>
          <w:rFonts w:ascii="Arial" w:cs="Arial" w:eastAsia="Arial" w:hAnsi="Arial"/>
          <w:color w:val="1A2E2E"/>
          <w:sz w:val="22"/>
          <w:szCs w:val="22"/>
        </w:rPr>
        <w:t xml:space="preserve">Per ADR-007, all proficiency-driven composition decisions degrade gracefully. If the Proficiency Tracking service is unavailable, the composition engine falls back to the analyst’s last-known proficiency mode (cached locally). If no proficiency data exists (new analyst, system reset), the default is Guided mode for all complexity tiers — the safest starting point.</w:t>
      </w:r>
    </w:p>
    <w:p>
      <w:pPr>
        <w:pStyle w:val="Heading1"/>
        <w:spacing w:before="360" w:after="120" w:line="276"/>
      </w:pPr>
      <w:r>
        <w:rPr>
          <w:rFonts w:ascii="Arial" w:cs="Arial" w:eastAsia="Arial" w:hAnsi="Arial"/>
          <w:color w:val="1A2E2E"/>
          <w:sz w:val="22"/>
          <w:szCs w:val="22"/>
        </w:rPr>
        <w:t xml:space="preserve">8. Data Architecture</w:t>
      </w:r>
    </w:p>
    <w:p>
      <w:pPr>
        <w:pStyle w:val="Heading2"/>
        <w:spacing w:before="240" w:after="120" w:line="276"/>
      </w:pPr>
      <w:r>
        <w:rPr>
          <w:rFonts w:ascii="Arial" w:cs="Arial" w:eastAsia="Arial" w:hAnsi="Arial"/>
          <w:color w:val="1A2E2E"/>
          <w:sz w:val="22"/>
          <w:szCs w:val="22"/>
        </w:rPr>
        <w:t xml:space="preserve">8.1 Storage Model</w:t>
      </w:r>
    </w:p>
    <w:p>
      <w:pPr>
        <w:spacing w:before="0" w:after="120" w:line="276"/>
      </w:pPr>
      <w:r>
        <w:rPr>
          <w:rFonts w:ascii="Arial" w:cs="Arial" w:eastAsia="Arial" w:hAnsi="Arial"/>
          <w:color w:val="1A2E2E"/>
          <w:sz w:val="22"/>
          <w:szCs w:val="22"/>
        </w:rPr>
        <w:t xml:space="preserve">Proficiency data is stored in two structures within the Intelligence Service database:</w:t>
      </w:r>
    </w:p>
    <w:p>
      <w:pPr>
        <w:spacing w:before="0" w:after="120" w:line="276"/>
      </w:pPr>
      <w:r>
        <w:rPr>
          <w:rFonts w:ascii="Arial" w:cs="Arial" w:eastAsia="Arial" w:hAnsi="Arial"/>
          <w:color w:val="1A2E2E"/>
          <w:sz w:val="22"/>
          <w:szCs w:val="22"/>
        </w:rPr>
        <w:t xml:space="preserve"/>
      </w:r>
    </w:p>
    <w:p>
      <w:pPr>
        <w:spacing w:before="0" w:after="120" w:line="276"/>
      </w:pPr>
      <w:r>
        <w:rPr>
          <w:rFonts w:ascii="Courier New" w:cs="Courier New" w:eastAsia="Courier New" w:hAnsi="Courier New"/>
          <w:b/>
          <w:bCs/>
          <w:color w:val="1A2E2E"/>
          <w:sz w:val="20"/>
          <w:szCs w:val="20"/>
        </w:rPr>
        <w:t xml:space="preserve">analyst_capability_profile </w:t>
      </w:r>
      <w:r>
        <w:rPr>
          <w:rFonts w:ascii="Arial" w:cs="Arial" w:eastAsia="Arial" w:hAnsi="Arial"/>
          <w:color w:val="1A2E2E"/>
          <w:sz w:val="22"/>
          <w:szCs w:val="22"/>
        </w:rPr>
        <w:t xml:space="preserve">— one row per analyst per complexity tier. Updated after each case completion. Contains aggregate metrics (cases completed, accuracy rate, current proficiency level, help panel engagement rate, last updated timestamp).</w:t>
      </w:r>
    </w:p>
    <w:p>
      <w:pPr>
        <w:spacing w:before="0" w:after="120" w:line="276"/>
      </w:pPr>
      <w:r>
        <w:rPr>
          <w:rFonts w:ascii="Arial" w:cs="Arial" w:eastAsia="Arial" w:hAnsi="Arial"/>
          <w:color w:val="1A2E2E"/>
          <w:sz w:val="22"/>
          <w:szCs w:val="22"/>
        </w:rPr>
        <w:t xml:space="preserve"/>
      </w:r>
    </w:p>
    <w:p>
      <w:pPr>
        <w:spacing w:before="0" w:after="120" w:line="276"/>
      </w:pPr>
      <w:r>
        <w:rPr>
          <w:rFonts w:ascii="Courier New" w:cs="Courier New" w:eastAsia="Courier New" w:hAnsi="Courier New"/>
          <w:b/>
          <w:bCs/>
          <w:color w:val="1A2E2E"/>
          <w:sz w:val="20"/>
          <w:szCs w:val="20"/>
        </w:rPr>
        <w:t xml:space="preserve">case_complexity_record </w:t>
      </w:r>
      <w:r>
        <w:rPr>
          <w:rFonts w:ascii="Arial" w:cs="Arial" w:eastAsia="Arial" w:hAnsi="Arial"/>
          <w:color w:val="1A2E2E"/>
          <w:sz w:val="22"/>
          <w:szCs w:val="22"/>
        </w:rPr>
        <w:t xml:space="preserve">— one row per case. Written at case creation. Contains complexity tier, all factor evaluations (which checks triggered elevation), and the assigned analyst’s proficiency level at the time of assignment.</w:t>
      </w:r>
    </w:p>
    <w:p>
      <w:pPr>
        <w:spacing w:before="0" w:after="120" w:line="276"/>
      </w:pPr>
      <w:r>
        <w:rPr>
          <w:rFonts w:ascii="Arial" w:cs="Arial" w:eastAsia="Arial" w:hAnsi="Arial"/>
          <w:color w:val="1A2E2E"/>
          <w:sz w:val="22"/>
          <w:szCs w:val="22"/>
        </w:rPr>
        <w:t xml:space="preserve"/>
      </w:r>
    </w:p>
    <w:p>
      <w:pPr>
        <w:spacing w:before="0" w:after="120" w:line="276"/>
      </w:pPr>
      <w:r>
        <w:rPr>
          <w:rFonts w:ascii="Arial" w:cs="Arial" w:eastAsia="Arial" w:hAnsi="Arial"/>
          <w:color w:val="1A2E2E"/>
          <w:sz w:val="22"/>
          <w:szCs w:val="22"/>
        </w:rPr>
        <w:t xml:space="preserve">Both structures are append-oriented with temporal versioning. Historical proficiency states are preserved for audit purposes. Proficiency data is classified as Internal (not Confidential or Restricted) per the data governance framework — it contains no PII and relates to system interaction patterns, not personal information.</w:t>
      </w:r>
    </w:p>
    <w:p>
      <w:pPr>
        <w:pStyle w:val="Heading2"/>
        <w:spacing w:before="240" w:after="120" w:line="276"/>
      </w:pPr>
      <w:r>
        <w:rPr>
          <w:rFonts w:ascii="Arial" w:cs="Arial" w:eastAsia="Arial" w:hAnsi="Arial"/>
          <w:color w:val="1A2E2E"/>
          <w:sz w:val="22"/>
          <w:szCs w:val="22"/>
        </w:rPr>
        <w:t xml:space="preserve">8.2 Retention and Privacy</w:t>
      </w:r>
    </w:p>
    <w:p>
      <w:pPr>
        <w:spacing w:before="0" w:after="120" w:line="276"/>
      </w:pPr>
      <w:r>
        <w:rPr>
          <w:rFonts w:ascii="Arial" w:cs="Arial" w:eastAsia="Arial" w:hAnsi="Arial"/>
          <w:color w:val="1A2E2E"/>
          <w:sz w:val="22"/>
          <w:szCs w:val="22"/>
        </w:rPr>
        <w:t xml:space="preserve">Proficiency data is retained for the duration of the analyst’s employment plus a configurable retention period. When an analyst leaves the organization, their profile is anonymized (name replaced with a hash) but retained for aggregate analysis of team development patterns. Individual case-level association is severed.</w:t>
      </w:r>
    </w:p>
    <w:p>
      <w:pPr>
        <w:spacing w:before="0" w:after="120" w:line="276"/>
      </w:pPr>
      <w:r>
        <w:rPr>
          <w:rFonts w:ascii="Arial" w:cs="Arial" w:eastAsia="Arial" w:hAnsi="Arial"/>
          <w:color w:val="1A2E2E"/>
          <w:sz w:val="22"/>
          <w:szCs w:val="22"/>
        </w:rPr>
        <w:t xml:space="preserve">Analysts have read access to their own profile. Supervisors have read access to their team’s profiles. QA/Compliance has read access to aggregate proficiency metrics for audit purposes. No other roles have access to proficiency data.</w:t>
      </w:r>
    </w:p>
    <w:p>
      <w:pPr>
        <w:pStyle w:val="Heading1"/>
        <w:spacing w:before="360" w:after="120" w:line="276"/>
      </w:pPr>
      <w:r>
        <w:rPr>
          <w:rFonts w:ascii="Arial" w:cs="Arial" w:eastAsia="Arial" w:hAnsi="Arial"/>
          <w:color w:val="1A2E2E"/>
          <w:sz w:val="22"/>
          <w:szCs w:val="22"/>
        </w:rPr>
        <w:t xml:space="preserve">9. POC Scope</w:t>
      </w:r>
    </w:p>
    <w:p>
      <w:pPr>
        <w:spacing w:before="0" w:after="120" w:line="276"/>
      </w:pPr>
      <w:r>
        <w:rPr>
          <w:rFonts w:ascii="Arial" w:cs="Arial" w:eastAsia="Arial" w:hAnsi="Arial"/>
          <w:color w:val="1A2E2E"/>
          <w:sz w:val="22"/>
          <w:szCs w:val="22"/>
        </w:rPr>
        <w:t xml:space="preserve">Not all capabilities described in this document are required for the DERP POC. The following maps each capability to its POC status:</w:t>
      </w:r>
    </w:p>
    <w:p>
      <w:pPr>
        <w:spacing w:before="0" w:after="20" w:line="276"/>
      </w:pPr>
      <w:r>
        <w:rPr>
          <w:rFonts w:ascii="Arial" w:cs="Arial" w:eastAsia="Arial" w:hAnsi="Arial"/>
          <w:color w:val="1A2E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Capability</w:t>
            </w:r>
          </w:p>
        </w:tc>
        <w:tc>
          <w:tcPr>
            <w:tcW w:type="dxa" w:w="160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POC Status</w:t>
            </w:r>
          </w:p>
        </w:tc>
        <w:tc>
          <w:tcPr>
            <w:tcW w:type="dxa" w:w="4960"/>
            <w:tcBorders>
              <w:top w:val="single" w:color="D0DEDE" w:sz="1"/>
              <w:left w:val="single" w:color="D0DEDE" w:sz="1"/>
              <w:bottom w:val="single" w:color="D0DEDE" w:sz="1"/>
              <w:right w:val="single" w:color="D0DEDE" w:sz="1"/>
            </w:tcBorders>
            <w:shd w:fill="00363A" w:val="clear"/>
            <w:tcMar>
              <w:top w:type="dxa" w:w="60"/>
              <w:left w:type="dxa" w:w="100"/>
              <w:bottom w:type="dxa" w:w="60"/>
              <w:right w:type="dxa" w:w="100"/>
            </w:tcMar>
          </w:tcPr>
          <w:p>
            <w:pPr>
              <w:spacing w:before="0" w:after="120" w:line="276"/>
            </w:pPr>
            <w:r>
              <w:rPr>
                <w:rFonts w:ascii="Arial" w:cs="Arial" w:eastAsia="Arial" w:hAnsi="Arial"/>
                <w:b/>
                <w:bCs/>
                <w:color w:val="FFFFFF"/>
                <w:sz w:val="18"/>
                <w:szCs w:val="18"/>
              </w:rPr>
              <w:t xml:space="preserve">Scope Notes</w:t>
            </w:r>
          </w:p>
        </w:tc>
      </w:tr>
      <w:tr>
        <w:tc>
          <w:tcPr>
            <w:tcW w:type="dxa" w:w="2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Task complexity classification</w:t>
            </w:r>
          </w:p>
        </w:tc>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IN SCOPE</w:t>
            </w:r>
          </w:p>
        </w:tc>
        <w:tc>
          <w:tcPr>
            <w:tcW w:type="dxa" w:w="4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Computed at case creation for all four demo cases. Displayed on work queue and case header.</w:t>
            </w:r>
          </w:p>
        </w:tc>
      </w:tr>
      <w:tr>
        <w:tc>
          <w:tcPr>
            <w:tcW w:type="dxa" w:w="2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Guided/Assisted/Expert mode switching</w:t>
            </w:r>
          </w:p>
        </w:tc>
        <w:tc>
          <w:tcPr>
            <w:tcW w:type="dxa" w:w="16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IN SCOPE</w:t>
            </w:r>
          </w:p>
        </w:tc>
        <w:tc>
          <w:tcPr>
            <w:tcW w:type="dxa" w:w="49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Already identified as POC deliverable. This document provides the underlying model.</w:t>
            </w:r>
          </w:p>
        </w:tc>
      </w:tr>
      <w:tr>
        <w:tc>
          <w:tcPr>
            <w:tcW w:type="dxa" w:w="2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Analyst capability profile (static)</w:t>
            </w:r>
          </w:p>
        </w:tc>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PROTOTYPE</w:t>
            </w:r>
          </w:p>
        </w:tc>
        <w:tc>
          <w:tcPr>
            <w:tcW w:type="dxa" w:w="4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Pre-populated profiles for demo analysts showing different proficiency levels. Not dynamically updated.</w:t>
            </w:r>
          </w:p>
        </w:tc>
      </w:tr>
      <w:tr>
        <w:tc>
          <w:tcPr>
            <w:tcW w:type="dxa" w:w="2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Adaptive mode selection</w:t>
            </w:r>
          </w:p>
        </w:tc>
        <w:tc>
          <w:tcPr>
            <w:tcW w:type="dxa" w:w="16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PROTOTYPE</w:t>
            </w:r>
          </w:p>
        </w:tc>
        <w:tc>
          <w:tcPr>
            <w:tcW w:type="dxa" w:w="49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Demonstrate that the same analyst sees different workspace layouts for Standard vs. Complex cases.</w:t>
            </w:r>
          </w:p>
        </w:tc>
      </w:tr>
      <w:tr>
        <w:tc>
          <w:tcPr>
            <w:tcW w:type="dxa" w:w="2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Supervisor capability heat map</w:t>
            </w:r>
          </w:p>
        </w:tc>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PROTOTYPE</w:t>
            </w:r>
          </w:p>
        </w:tc>
        <w:tc>
          <w:tcPr>
            <w:tcW w:type="dxa" w:w="4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Static view in Supervisor workspace showing illustrative proficiency distribution.</w:t>
            </w:r>
          </w:p>
        </w:tc>
      </w:tr>
      <w:tr>
        <w:tc>
          <w:tcPr>
            <w:tcW w:type="dxa" w:w="2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Graduation / regression signals</w:t>
            </w:r>
          </w:p>
        </w:tc>
        <w:tc>
          <w:tcPr>
            <w:tcW w:type="dxa" w:w="16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DEFERRED</w:t>
            </w:r>
          </w:p>
        </w:tc>
        <w:tc>
          <w:tcPr>
            <w:tcW w:type="dxa" w:w="49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Requires production volume for meaningful signals.</w:t>
            </w:r>
          </w:p>
        </w:tc>
      </w:tr>
      <w:tr>
        <w:tc>
          <w:tcPr>
            <w:tcW w:type="dxa" w:w="2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Intelligent routing (Phase 3+)</w:t>
            </w:r>
          </w:p>
        </w:tc>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DEFERRED</w:t>
            </w:r>
          </w:p>
        </w:tc>
        <w:tc>
          <w:tcPr>
            <w:tcW w:type="dxa" w:w="4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Requires production volume and established baselines.</w:t>
            </w:r>
          </w:p>
        </w:tc>
      </w:tr>
      <w:tr>
        <w:tc>
          <w:tcPr>
            <w:tcW w:type="dxa" w:w="28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Skills development routing</w:t>
            </w:r>
          </w:p>
        </w:tc>
        <w:tc>
          <w:tcPr>
            <w:tcW w:type="dxa" w:w="160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DEFERRED</w:t>
            </w:r>
          </w:p>
        </w:tc>
        <w:tc>
          <w:tcPr>
            <w:tcW w:type="dxa" w:w="4960"/>
            <w:tcBorders>
              <w:top w:val="single" w:color="D0DEDE" w:sz="1"/>
              <w:left w:val="single" w:color="D0DEDE" w:sz="1"/>
              <w:bottom w:val="single" w:color="D0DEDE" w:sz="1"/>
              <w:right w:val="single" w:color="D0DEDE" w:sz="1"/>
            </w:tcBorders>
            <w:shd w:fill="F6F9F9" w:val="clear"/>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Requires Phase 3 routing as a prerequisite.</w:t>
            </w:r>
          </w:p>
        </w:tc>
      </w:tr>
      <w:tr>
        <w:tc>
          <w:tcPr>
            <w:tcW w:type="dxa" w:w="28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Analyst skills dashboard</w:t>
            </w:r>
          </w:p>
        </w:tc>
        <w:tc>
          <w:tcPr>
            <w:tcW w:type="dxa" w:w="160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DEFERRED</w:t>
            </w:r>
          </w:p>
        </w:tc>
        <w:tc>
          <w:tcPr>
            <w:tcW w:type="dxa" w:w="4960"/>
            <w:tcBorders>
              <w:top w:val="single" w:color="D0DEDE" w:sz="1"/>
              <w:left w:val="single" w:color="D0DEDE" w:sz="1"/>
              <w:bottom w:val="single" w:color="D0DEDE" w:sz="1"/>
              <w:right w:val="single" w:color="D0DEDE" w:sz="1"/>
            </w:tcBorders>
            <w:tcMar>
              <w:top w:type="dxa" w:w="60"/>
              <w:left w:type="dxa" w:w="100"/>
              <w:bottom w:type="dxa" w:w="60"/>
              <w:right w:type="dxa" w:w="100"/>
            </w:tcMar>
          </w:tcPr>
          <w:p>
            <w:pPr>
              <w:spacing w:before="0" w:after="120" w:line="276"/>
            </w:pPr>
            <w:r>
              <w:rPr>
                <w:rFonts w:ascii="Arial" w:cs="Arial" w:eastAsia="Arial" w:hAnsi="Arial"/>
                <w:color w:val="1A2E2E"/>
                <w:sz w:val="19"/>
                <w:szCs w:val="19"/>
              </w:rPr>
              <w:t xml:space="preserve">Builds on dynamic profile capability.</w:t>
            </w:r>
          </w:p>
        </w:tc>
      </w:tr>
    </w:tbl>
    <w:p>
      <w:pPr>
        <w:spacing w:before="0" w:after="80" w:line="276"/>
      </w:pPr>
      <w:r>
        <w:rPr>
          <w:rFonts w:ascii="Arial" w:cs="Arial" w:eastAsia="Arial" w:hAnsi="Arial"/>
          <w:color w:val="1A2E2E"/>
          <w:sz w:val="22"/>
          <w:szCs w:val="22"/>
        </w:rPr>
        <w:t xml:space="preserve"/>
      </w:r>
    </w:p>
    <w:p>
      <w:pPr>
        <w:pStyle w:val="Heading1"/>
        <w:spacing w:before="360" w:after="120" w:line="276"/>
      </w:pPr>
      <w:r>
        <w:rPr>
          <w:rFonts w:ascii="Arial" w:cs="Arial" w:eastAsia="Arial" w:hAnsi="Arial"/>
          <w:color w:val="1A2E2E"/>
          <w:sz w:val="22"/>
          <w:szCs w:val="22"/>
        </w:rPr>
        <w:t xml:space="preserve">10. What This Document Is Not</w:t>
      </w:r>
    </w:p>
    <w:p>
      <w:pPr>
        <w:spacing w:before="0" w:after="120" w:line="276"/>
      </w:pPr>
      <w:r>
        <w:rPr>
          <w:rFonts w:ascii="Arial" w:cs="Arial" w:eastAsia="Arial" w:hAnsi="Arial"/>
          <w:color w:val="1A2E2E"/>
          <w:sz w:val="22"/>
          <w:szCs w:val="22"/>
        </w:rPr>
        <w:t xml:space="preserve">This document does not define specific numeric thresholds for proficiency graduation. Those values must be calibrated with DERP staff based on actual case volumes and processing patterns. Stating them here without data would present assumptions as facts.</w:t>
      </w:r>
    </w:p>
    <w:p>
      <w:pPr>
        <w:spacing w:before="0" w:after="120" w:line="276"/>
      </w:pPr>
      <w:r>
        <w:rPr>
          <w:rFonts w:ascii="Arial" w:cs="Arial" w:eastAsia="Arial" w:hAnsi="Arial"/>
          <w:color w:val="1A2E2E"/>
          <w:sz w:val="22"/>
          <w:szCs w:val="22"/>
        </w:rPr>
        <w:t xml:space="preserve">This document does not replace the Roles &amp; Workspace Architecture or the Dynamic Workspace UX Architecture. It extends both with the proficiency data model that makes adaptive workspace composition possible.</w:t>
      </w:r>
    </w:p>
    <w:p>
      <w:pPr>
        <w:spacing w:before="0" w:after="120" w:line="276"/>
      </w:pPr>
      <w:r>
        <w:rPr>
          <w:rFonts w:ascii="Arial" w:cs="Arial" w:eastAsia="Arial" w:hAnsi="Arial"/>
          <w:color w:val="1A2E2E"/>
          <w:sz w:val="22"/>
          <w:szCs w:val="22"/>
        </w:rPr>
        <w:t xml:space="preserve">This document does not define a human resources performance evaluation framework. Proficiency tracking is a system capability for intelligent routing and skills development. Employment decisions, compensation, or disciplinary actions are entirely outside the scope of this model and explicitly outside the scope of any NoUI platform capability.</w:t>
      </w:r>
    </w:p>
    <w:p>
      <w:pPr>
        <w:spacing w:before="0" w:after="120" w:line="276"/>
      </w:pPr>
      <w:r>
        <w:rPr>
          <w:rFonts w:ascii="Arial" w:cs="Arial" w:eastAsia="Arial" w:hAnsi="Arial"/>
          <w:color w:val="1A2E2E"/>
          <w:sz w:val="22"/>
          <w:szCs w:val="22"/>
        </w:rPr>
        <w:t xml:space="preserve">This document does not specify the visual design of any dashboard or widget. Visual design language is defined in the Dynamic Workspace UX Architecture and applies consistently across all workspace variants.</w:t>
      </w:r>
    </w:p>
    <w:p>
      <w:pPr>
        <w:spacing w:before="0" w:after="120" w:line="276"/>
      </w:pPr>
      <w:r>
        <w:rPr>
          <w:rFonts w:ascii="Arial" w:cs="Arial" w:eastAsia="Arial" w:hAnsi="Arial"/>
          <w:color w:val="1A2E2E"/>
          <w:sz w:val="22"/>
          <w:szCs w:val="22"/>
        </w:rPr>
        <w:t xml:space="preserve"/>
      </w:r>
    </w:p>
    <w:p>
      <w:pPr>
        <w:spacing w:before="0" w:after="120" w:line="276"/>
      </w:pPr>
      <w:r>
        <w:rPr>
          <w:rFonts w:ascii="Arial" w:cs="Arial" w:eastAsia="Arial" w:hAnsi="Arial"/>
          <w:i/>
          <w:iCs/>
          <w:color w:val="00796B"/>
          <w:sz w:val="22"/>
          <w:szCs w:val="22"/>
        </w:rPr>
        <w:t xml:space="preserve">This document is a Tier 1 Governing Document per the Knowledge Governance Framework.</w:t>
      </w:r>
    </w:p>
    <w:p>
      <w:pPr>
        <w:spacing w:before="0" w:after="120" w:line="276"/>
      </w:pPr>
      <w:r>
        <w:rPr>
          <w:rFonts w:ascii="Arial" w:cs="Arial" w:eastAsia="Arial" w:hAnsi="Arial"/>
          <w:i/>
          <w:iCs/>
          <w:color w:val="7A9696"/>
          <w:sz w:val="22"/>
          <w:szCs w:val="22"/>
        </w:rPr>
        <w:t xml:space="preserve">End of Document</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EDE" w:sz="4" w:space="4"/>
      </w:pBdr>
      <w:tabs>
        <w:tab w:val="right" w:pos="9360"/>
      </w:tabs>
      <w:spacing w:before="0"/>
    </w:pPr>
    <w:r>
      <w:rPr>
        <w:rFonts w:ascii="Arial" w:cs="Arial" w:eastAsia="Arial" w:hAnsi="Arial"/>
        <w:color w:val="7A9696"/>
        <w:sz w:val="16"/>
        <w:szCs w:val="16"/>
      </w:rPr>
      <w:t xml:space="preserve">DERP Proof of Concept</w:t>
    </w:r>
    <w:r>
      <w:rPr>
        <w:rFonts w:ascii="Arial" w:cs="Arial" w:eastAsia="Arial" w:hAnsi="Arial"/>
        <w:sz w:val="16"/>
        <w:szCs w:val="16"/>
      </w:rPr>
      <w:t xml:space="preserve">	</w:t>
    </w:r>
    <w:r>
      <w:rPr>
        <w:rFonts w:ascii="Arial" w:cs="Arial" w:eastAsia="Arial" w:hAnsi="Arial"/>
        <w:color w:val="7A9696"/>
        <w:sz w:val="16"/>
        <w:szCs w:val="16"/>
      </w:rPr>
      <w:t xml:space="preserve">February 2026  |  Tier 1 Governing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96B" w:sz="6" w:space="4"/>
      </w:pBdr>
      <w:spacing w:after="0"/>
    </w:pPr>
    <w:r>
      <w:rPr>
        <w:rFonts w:ascii="Arial" w:cs="Arial" w:eastAsia="Arial" w:hAnsi="Arial"/>
        <w:b/>
        <w:bCs/>
        <w:color w:val="00796B"/>
        <w:sz w:val="16"/>
        <w:szCs w:val="16"/>
      </w:rPr>
      <w:t xml:space="preserve">NoUI Platform</w:t>
    </w:r>
    <w:r>
      <w:rPr>
        <w:rFonts w:ascii="Arial" w:cs="Arial" w:eastAsia="Arial" w:hAnsi="Arial"/>
        <w:color w:val="7A9696"/>
        <w:sz w:val="16"/>
        <w:szCs w:val="16"/>
      </w:rPr>
      <w:t xml:space="preserve">  |  </w:t>
    </w:r>
    <w:r>
      <w:rPr>
        <w:rFonts w:ascii="Arial" w:cs="Arial" w:eastAsia="Arial" w:hAnsi="Arial"/>
        <w:color w:val="4A6767"/>
        <w:sz w:val="16"/>
        <w:szCs w:val="16"/>
      </w:rPr>
      <w:t xml:space="preserve">Proficiency &amp; Skills Development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0796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2E2E"/>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676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2026-02-22T19:08:41.216Z</dcterms:created>
  <dcterms:modified xsi:type="dcterms:W3CDTF">2026-02-22T19:08:41.217Z</dcterms:modified>
</cp:coreProperties>
</file>

<file path=docProps/custom.xml><?xml version="1.0" encoding="utf-8"?>
<Properties xmlns="http://schemas.openxmlformats.org/officeDocument/2006/custom-properties" xmlns:vt="http://schemas.openxmlformats.org/officeDocument/2006/docPropsVTypes"/>
</file>