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Arial" w:cs="Arial" w:eastAsia="Arial" w:hAnsi="Arial"/>
          <w:sz w:val="20"/>
          <w:szCs w:val="20"/>
        </w:rPr>
        <w:t xml:space="preserve"/>
      </w:r>
    </w:p>
    <w:p>
      <w:pPr>
        <w:spacing w:after="200"/>
        <w:jc w:val="center"/>
      </w:pPr>
      <w:r>
        <w:rPr>
          <w:rFonts w:ascii="Arial" w:cs="Arial" w:eastAsia="Arial" w:hAnsi="Arial"/>
          <w:b/>
          <w:bCs/>
          <w:color w:val="1B3A5C"/>
          <w:sz w:val="48"/>
          <w:szCs w:val="48"/>
        </w:rPr>
        <w:t xml:space="preserve">NoUI DERP POC</w:t>
      </w:r>
    </w:p>
    <w:p>
      <w:pPr>
        <w:spacing w:after="120"/>
        <w:jc w:val="center"/>
      </w:pPr>
      <w:r>
        <w:rPr>
          <w:rFonts w:ascii="Arial" w:cs="Arial" w:eastAsia="Arial" w:hAnsi="Arial"/>
          <w:b/>
          <w:bCs/>
          <w:color w:val="2E75B6"/>
          <w:sz w:val="40"/>
          <w:szCs w:val="40"/>
        </w:rPr>
        <w:t xml:space="preserve">Business Rules Inventory</w:t>
      </w:r>
    </w:p>
    <w:p>
      <w:pPr>
        <w:spacing w:after="80"/>
        <w:jc w:val="center"/>
      </w:pPr>
      <w:r>
        <w:rPr>
          <w:rFonts w:ascii="Arial" w:cs="Arial" w:eastAsia="Arial" w:hAnsi="Arial"/>
          <w:color w:val="666666"/>
          <w:sz w:val="28"/>
          <w:szCs w:val="28"/>
        </w:rPr>
        <w:t xml:space="preserve">Service Retirement Process</w:t>
      </w:r>
    </w:p>
    <w:p>
      <w:pPr>
        <w:spacing w:after="600"/>
        <w:jc w:val="center"/>
      </w:pPr>
      <w:r>
        <w:rPr>
          <w:rFonts w:ascii="Arial" w:cs="Arial" w:eastAsia="Arial" w:hAnsi="Arial"/>
          <w:color w:val="666666"/>
          <w:sz w:val="22"/>
          <w:szCs w:val="22"/>
        </w:rPr>
        <w:t xml:space="preserve">Complete Rule Identification with Source Verification</w:t>
      </w:r>
    </w:p>
    <w:p>
      <w:pPr>
        <w:pBdr>
          <w:top w:val="single" w:color="2E75B6" w:sz="2"/>
        </w:pBdr>
        <w:spacing w:before="400" w:after="200"/>
        <w:jc w:val="center"/>
      </w:pPr>
      <w:r>
        <w:rPr>
          <w:rFonts w:ascii="Arial" w:cs="Arial" w:eastAsia="Arial" w:hAnsi="Arial"/>
          <w:color w:val="666666"/>
          <w:sz w:val="20"/>
          <w:szCs w:val="20"/>
        </w:rPr>
        <w:t xml:space="preserve">Version 1.0  |  February 21, 2026</w:t>
      </w:r>
    </w:p>
    <w:p>
      <w:pPr>
        <w:jc w:val="center"/>
      </w:pPr>
      <w:r>
        <w:rPr>
          <w:rFonts w:ascii="Arial" w:cs="Arial" w:eastAsia="Arial" w:hAnsi="Arial"/>
          <w:color w:val="666666"/>
          <w:sz w:val="20"/>
          <w:szCs w:val="20"/>
        </w:rPr>
        <w:t xml:space="preserve">Governing Authority: Revised Municipal Code, City and County of Denver</w:t>
      </w:r>
    </w:p>
    <w:p>
      <w:pPr>
        <w:jc w:val="center"/>
      </w:pPr>
      <w:r>
        <w:rPr>
          <w:rFonts w:ascii="Arial" w:cs="Arial" w:eastAsia="Arial" w:hAnsi="Arial"/>
          <w:color w:val="666666"/>
          <w:sz w:val="20"/>
          <w:szCs w:val="20"/>
        </w:rPr>
        <w:t xml:space="preserve">Sections 18-391 through 18-430.7 (January 2024 Edition)</w:t>
      </w:r>
    </w:p>
    <w:p>
      <w:pPr>
        <w:spacing w:before="600"/>
        <w:jc w:val="center"/>
      </w:pPr>
      <w:r>
        <w:rPr>
          <w:rFonts w:ascii="Arial" w:cs="Arial" w:eastAsia="Arial" w:hAnsi="Arial"/>
          <w:b/>
          <w:bCs/>
          <w:color w:val="C0392B"/>
          <w:sz w:val="22"/>
          <w:szCs w:val="22"/>
        </w:rPr>
        <w:t xml:space="preserve">DRAFT — Pending DERP Operational Confirmation on Open Items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Executive Summary</w:t>
      </w:r>
    </w:p>
    <w:p>
      <w:pPr>
        <w:spacing w:after="120"/>
      </w:pPr>
      <w:r>
        <w:rPr>
          <w:rFonts w:ascii="Arial" w:cs="Arial" w:eastAsia="Arial" w:hAnsi="Arial"/>
          <w:sz w:val="20"/>
          <w:szCs w:val="20"/>
        </w:rPr>
        <w:t xml:space="preserve">This document is the comprehensive business rules inventory for the NoUI DERP POC Service Retirement process. Every rule that the calculation engine and workspace composition system must implement is identified, sourced to the governing Revised Municipal Code (RMC), and classified by verification status.</w:t>
      </w:r>
    </w:p>
    <w:p>
      <w:pPr>
        <w:spacing w:after="120"/>
      </w:pPr>
      <w:r>
        <w:rPr>
          <w:rFonts w:ascii="Arial" w:cs="Arial" w:eastAsia="Arial" w:hAnsi="Arial"/>
          <w:sz w:val="20"/>
          <w:szCs w:val="20"/>
        </w:rPr>
        <w:t xml:space="preserve"/>
      </w:r>
    </w:p>
    <w:p>
      <w:pPr>
        <w:spacing w:after="120"/>
      </w:pPr>
      <w:r>
        <w:rPr>
          <w:rFonts w:ascii="Arial" w:cs="Arial" w:eastAsia="Arial" w:hAnsi="Arial"/>
          <w:b/>
          <w:bCs/>
          <w:color w:val="1B3A5C"/>
          <w:sz w:val="20"/>
          <w:szCs w:val="20"/>
        </w:rPr>
        <w:t xml:space="preserve">Verification Status Legend:</w:t>
      </w:r>
    </w:p>
    <w:p>
      <w:pPr>
        <w:spacing w:after="120"/>
      </w:pPr>
      <w:r>
        <w:rPr>
          <w:rFonts w:ascii="Arial" w:cs="Arial" w:eastAsia="Arial" w:hAnsi="Arial"/>
          <w:b/>
          <w:bCs/>
          <w:color w:val="2D8B4E"/>
          <w:sz w:val="20"/>
          <w:szCs w:val="20"/>
        </w:rPr>
        <w:t xml:space="preserve">✅ CONFIRMED</w:t>
      </w:r>
      <w:r>
        <w:rPr>
          <w:rFonts w:ascii="Arial" w:cs="Arial" w:eastAsia="Arial" w:hAnsi="Arial"/>
          <w:sz w:val="20"/>
          <w:szCs w:val="20"/>
        </w:rPr>
        <w:t xml:space="preserve"> — Directly verified against RMC statutory text or DERP-published authoritative materials.</w:t>
      </w:r>
    </w:p>
    <w:p>
      <w:pPr>
        <w:spacing w:after="120"/>
      </w:pPr>
      <w:r>
        <w:rPr>
          <w:rFonts w:ascii="Arial" w:cs="Arial" w:eastAsia="Arial" w:hAnsi="Arial"/>
          <w:b/>
          <w:bCs/>
          <w:color w:val="D4830A"/>
          <w:sz w:val="20"/>
          <w:szCs w:val="20"/>
        </w:rPr>
        <w:t xml:space="preserve">⚠️ ASSUMED</w:t>
      </w:r>
      <w:r>
        <w:rPr>
          <w:rFonts w:ascii="Arial" w:cs="Arial" w:eastAsia="Arial" w:hAnsi="Arial"/>
          <w:sz w:val="20"/>
          <w:szCs w:val="20"/>
        </w:rPr>
        <w:t xml:space="preserve"> — Reasonable project assumption not yet confirmed by DERP or RMC. Must be validated before production.</w:t>
      </w:r>
    </w:p>
    <w:p>
      <w:pPr>
        <w:spacing w:after="120"/>
      </w:pPr>
      <w:r>
        <w:rPr>
          <w:rFonts w:ascii="Arial" w:cs="Arial" w:eastAsia="Arial" w:hAnsi="Arial"/>
          <w:b/>
          <w:bCs/>
          <w:color w:val="C0392B"/>
          <w:sz w:val="20"/>
          <w:szCs w:val="20"/>
        </w:rPr>
        <w:t xml:space="preserve">❓ OPEN</w:t>
      </w:r>
      <w:r>
        <w:rPr>
          <w:rFonts w:ascii="Arial" w:cs="Arial" w:eastAsia="Arial" w:hAnsi="Arial"/>
          <w:sz w:val="20"/>
          <w:szCs w:val="20"/>
        </w:rPr>
        <w:t xml:space="preserve"> — Requires DERP staff input. Cannot be resolved from available documentation.</w:t>
      </w:r>
    </w:p>
    <w:p>
      <w:pPr>
        <w:spacing w:after="120"/>
      </w:pPr>
      <w:r>
        <w:rPr>
          <w:rFonts w:ascii="Arial" w:cs="Arial" w:eastAsia="Arial" w:hAnsi="Arial"/>
          <w:sz w:val="20"/>
          <w:szCs w:val="20"/>
        </w:rPr>
        <w:t xml:space="preserve"/>
      </w:r>
    </w:p>
    <w:p>
      <w:pPr>
        <w:spacing w:after="120"/>
      </w:pPr>
      <w:r>
        <w:rPr>
          <w:rFonts w:ascii="Arial" w:cs="Arial" w:eastAsia="Arial" w:hAnsi="Arial"/>
          <w:b/>
          <w:bCs/>
          <w:color w:val="1B3A5C"/>
          <w:sz w:val="20"/>
          <w:szCs w:val="20"/>
        </w:rPr>
        <w:t xml:space="preserve">Total Rules: 52  |  Confirmed: 48  |  Assumed: 4  |  Open Items: 12  |  Flagged Assumptions: 38</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Methodology</w:t>
      </w:r>
    </w:p>
    <w:p>
      <w:pPr>
        <w:spacing w:after="120"/>
      </w:pPr>
      <w:r>
        <w:rPr>
          <w:rFonts w:ascii="Arial" w:cs="Arial" w:eastAsia="Arial" w:hAnsi="Arial"/>
          <w:sz w:val="20"/>
          <w:szCs w:val="20"/>
        </w:rPr>
        <w:t xml:space="preserve">Every rule was identified by systematic analysis of the Denver Revised Municipal Code (DRMC, January 2024 edition, §18-391 through §18-430.7), cross-referenced against DERP member-facing materials (Active Member Handbook, website, FAQ, application forms), and validated against the four hand-calculated demo cases. Rules are organized in evaluation order matching the Service Retirement process workflow.</w:t>
      </w:r>
    </w:p>
    <w:p>
      <w:pPr>
        <w:spacing w:after="120"/>
      </w:pPr>
      <w:r>
        <w:rPr>
          <w:rFonts w:ascii="Arial" w:cs="Arial" w:eastAsia="Arial" w:hAnsi="Arial"/>
          <w:sz w:val="20"/>
          <w:szCs w:val="20"/>
        </w:rPr>
        <w:t xml:space="preserve">For each rule, five attributes are documented: (1) precise rule statement, (2) governing source with RMC section, (3) verification status, (4) any assumptions surfaced during analysis, and (5) test implications for the POC test suite.</w:t>
      </w:r>
    </w:p>
    <w:p>
      <w:pPr>
        <w:pStyle w:val="Heading2"/>
        <w:spacing w:before="280" w:after="160"/>
      </w:pPr>
      <w:r>
        <w:rPr>
          <w:rFonts w:ascii="Arial" w:cs="Arial" w:eastAsia="Arial" w:hAnsi="Arial"/>
          <w:b/>
          <w:bCs/>
          <w:color w:val="2E75B6"/>
          <w:sz w:val="26"/>
          <w:szCs w:val="26"/>
        </w:rPr>
        <w:t xml:space="preserve">Critical Open Items Requiring DERP Input</w:t>
      </w:r>
    </w:p>
    <w:p>
      <w:pPr>
        <w:spacing w:after="120"/>
      </w:pPr>
      <w:r>
        <w:rPr>
          <w:rFonts w:ascii="Arial" w:cs="Arial" w:eastAsia="Arial" w:hAnsi="Arial"/>
          <w:sz w:val="20"/>
          <w:szCs w:val="20"/>
        </w:rPr>
        <w:t xml:space="preserve">These items affect calculation accuracy and must be resolved before the rules engine can be finalized: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200"/>
        <w:gridCol w:w="18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Item ID</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TIER-REHIRE-01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If a member quits (not retires) in Tier 2 era and is rehired in Tier 3 era, which tier applies? Most likely: original tier based on 'initial service' language, but needs DERP confirmation.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CONTRIB-HIST-01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Historical employee contribution rate schedule needed for realistic seed data generation spanning multiple decades. Low priority — does not affect rules engine.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Q-CALC-02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 How does DERP calculate partial years of service credit? Year-month method (months/12) or exact day method (days/365.25)? Affects every benefit calculation.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Q-CALC-02-IMPACT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age + service sum depends on how partial years are calculated. Year-month vs exact day could change whether a member is 0.01 above or below 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Q-CALC-03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 While the statutory table strongly implies integer-age (no proration), DERP staff confirmation would eliminate any ambiguity. E.g., does a member age 55 years 11 months get 70% or something between 70% and 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Q-AMS-01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How are partial months at start or end of employment handled in AMS window? Include at prorated amount, or exclude?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Q-CALC-05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 Does DERP have anti-spiking provisions that cap year-over-year salary increases in the AMS window?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Q-FURLOUGH-01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is the cost formula for purchasing furlough days? Is it the same actuarial methodology as service purchase?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Q-CALC-01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 What rounding methodology does DERP use? Standard rounding, banker's rounding, or truncation? At what stage is rounding applied?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Q-CALC-04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 Can DERP provide the actuarial factor tables for J&amp;S calculations? Factors by member age, beneficiary age, and J&amp;S percentage.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Q-DRO-03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is DERP's default position on COLA for DRO alternate payees when the court order is silent?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Q-PROCESS-01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Is the 15th-of-month cutoff a hard rule or a guideline? Does it apply to the month before the effective date specifically?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t>
            </w:r>
          </w:p>
        </w:tc>
      </w:tr>
    </w:tbl>
    <w:p>
      <w:r>
        <w:br w:type="page"/>
      </w:r>
    </w:p>
    <w:p>
      <w:pPr>
        <w:pStyle w:val="Heading1"/>
        <w:spacing w:before="360" w:after="200"/>
      </w:pPr>
      <w:r>
        <w:rPr>
          <w:rFonts w:ascii="Arial" w:cs="Arial" w:eastAsia="Arial" w:hAnsi="Arial"/>
          <w:b/>
          <w:bCs/>
          <w:color w:val="1B3A5C"/>
          <w:sz w:val="32"/>
          <w:szCs w:val="32"/>
        </w:rPr>
        <w:t xml:space="preserve">Category 1: Membership &amp; Tier Determination</w:t>
      </w:r>
    </w:p>
    <w:p>
      <w:pPr>
        <w:spacing w:after="120"/>
      </w:pPr>
      <w:r>
        <w:rPr>
          <w:rFonts w:ascii="Arial" w:cs="Arial" w:eastAsia="Arial" w:hAnsi="Arial"/>
          <w:sz w:val="20"/>
          <w:szCs w:val="20"/>
        </w:rPr>
        <w:t xml:space="preserve">These rules fire first on every member interaction. They determine which set of subsequent rules applies. Tier determination is immutable once established and gates all eligibility and benefit calculations.</w:t>
      </w:r>
    </w:p>
    <w:p>
      <w:pPr>
        <w:pStyle w:val="Heading2"/>
        <w:spacing w:before="280" w:after="160"/>
      </w:pPr>
      <w:r>
        <w:rPr>
          <w:rFonts w:ascii="Arial" w:cs="Arial" w:eastAsia="Arial" w:hAnsi="Arial"/>
          <w:b/>
          <w:bCs/>
          <w:color w:val="2E75B6"/>
          <w:sz w:val="26"/>
          <w:szCs w:val="26"/>
        </w:rPr>
        <w:t xml:space="preserve">1.0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Name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Open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RULE-TIER-1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1 Determination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RULE-TIER-2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2 Determination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RULE-TIER-3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3 Determination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RULE-CONTRIB-EE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Employee Contribution Rate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RULE-CONTRIB-ER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Employer Contribution Rate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bl>
    <w:p>
      <w:pPr>
        <w:spacing w:after="20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1.1 — RULE-TIER-1</w:t>
      </w:r>
    </w:p>
    <w:p>
      <w:pPr>
        <w:pBdr>
          <w:bottom w:val="single" w:color="2E75B6" w:sz="2"/>
        </w:pBdr>
        <w:spacing w:before="240" w:after="80"/>
      </w:pPr>
      <w:r>
        <w:rPr>
          <w:rFonts w:ascii="Consolas" w:cs="Consolas" w:eastAsia="Consolas" w:hAnsi="Consolas"/>
          <w:b/>
          <w:bCs/>
          <w:color w:val="2E75B6"/>
          <w:sz w:val="22"/>
          <w:szCs w:val="22"/>
        </w:rPr>
        <w:t xml:space="preserve">RULE-TIER-1</w:t>
      </w:r>
      <w:r>
        <w:rPr>
          <w:rFonts w:ascii="Arial" w:cs="Arial" w:eastAsia="Arial" w:hAnsi="Arial"/>
          <w:b/>
          <w:bCs/>
          <w:color w:val="1B3A5C"/>
          <w:sz w:val="22"/>
          <w:szCs w:val="22"/>
        </w:rPr>
        <w:t xml:space="preserve">  Tier 1 Determination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A member is classified as Tier 1 if their initial service began before September 1, 2004 AND they terminated service after December 31, 1999.</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§18-409(a)(1)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The 'terminates after Dec 31, 1999' clause means members who separated before 2000 are under a prior plan provision. Seed data must not generate Tier 1 members with termination before Jan 1, 2000.</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Boundary: hire Aug 31, 2004 = Tier 1; hire Sep 1, 2004 = Tier 2. Also test termination date clause (pre-2000 termination should not produce Tier 1).</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1 only (determination rule)</w:t>
      </w:r>
    </w:p>
    <w:p>
      <w:pPr>
        <w:pStyle w:val="Heading2"/>
        <w:spacing w:before="280" w:after="160"/>
      </w:pPr>
      <w:r>
        <w:rPr>
          <w:rFonts w:ascii="Arial" w:cs="Arial" w:eastAsia="Arial" w:hAnsi="Arial"/>
          <w:b/>
          <w:bCs/>
          <w:color w:val="2E75B6"/>
          <w:sz w:val="26"/>
          <w:szCs w:val="26"/>
        </w:rPr>
        <w:t xml:space="preserve">1.2 — RULE-TIER-2</w:t>
      </w:r>
    </w:p>
    <w:p>
      <w:pPr>
        <w:pBdr>
          <w:bottom w:val="single" w:color="2E75B6" w:sz="2"/>
        </w:pBdr>
        <w:spacing w:before="240" w:after="80"/>
      </w:pPr>
      <w:r>
        <w:rPr>
          <w:rFonts w:ascii="Consolas" w:cs="Consolas" w:eastAsia="Consolas" w:hAnsi="Consolas"/>
          <w:b/>
          <w:bCs/>
          <w:color w:val="2E75B6"/>
          <w:sz w:val="22"/>
          <w:szCs w:val="22"/>
        </w:rPr>
        <w:t xml:space="preserve">RULE-TIER-2</w:t>
      </w:r>
      <w:r>
        <w:rPr>
          <w:rFonts w:ascii="Arial" w:cs="Arial" w:eastAsia="Arial" w:hAnsi="Arial"/>
          <w:b/>
          <w:bCs/>
          <w:color w:val="1B3A5C"/>
          <w:sz w:val="22"/>
          <w:szCs w:val="22"/>
        </w:rPr>
        <w:t xml:space="preserve">  Tier 2 Determination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A member is classified as Tier 2 if their initial service began on or after September 1, 2004 but before July 1, 2011.</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§18-409(a)(2)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Boundary: hire Sep 1, 2004 = Tier 2; hire Jun 30, 2011 = Tier 2; hire Jul 1, 2011 = Tier 3.</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2 only (determination rule)</w:t>
      </w:r>
    </w:p>
    <w:p>
      <w:pPr>
        <w:pStyle w:val="Heading2"/>
        <w:spacing w:before="280" w:after="160"/>
      </w:pPr>
      <w:r>
        <w:rPr>
          <w:rFonts w:ascii="Arial" w:cs="Arial" w:eastAsia="Arial" w:hAnsi="Arial"/>
          <w:b/>
          <w:bCs/>
          <w:color w:val="2E75B6"/>
          <w:sz w:val="26"/>
          <w:szCs w:val="26"/>
        </w:rPr>
        <w:t xml:space="preserve">1.3 — RULE-TIER-3</w:t>
      </w:r>
    </w:p>
    <w:p>
      <w:pPr>
        <w:pBdr>
          <w:bottom w:val="single" w:color="2E75B6" w:sz="2"/>
        </w:pBdr>
        <w:spacing w:before="240" w:after="80"/>
      </w:pPr>
      <w:r>
        <w:rPr>
          <w:rFonts w:ascii="Consolas" w:cs="Consolas" w:eastAsia="Consolas" w:hAnsi="Consolas"/>
          <w:b/>
          <w:bCs/>
          <w:color w:val="2E75B6"/>
          <w:sz w:val="22"/>
          <w:szCs w:val="22"/>
        </w:rPr>
        <w:t xml:space="preserve">RULE-TIER-3</w:t>
      </w:r>
      <w:r>
        <w:rPr>
          <w:rFonts w:ascii="Arial" w:cs="Arial" w:eastAsia="Arial" w:hAnsi="Arial"/>
          <w:b/>
          <w:bCs/>
          <w:color w:val="1B3A5C"/>
          <w:sz w:val="22"/>
          <w:szCs w:val="22"/>
        </w:rPr>
        <w:t xml:space="preserve">  Tier 3 Determination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A member is classified as Tier 3 if their initial service first began on or after July 1, 2011.</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§18-409(a)(3)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Tier is determined by INITIAL hire date, not most recent. For re-employment after retirement, RMC §18-408(j)(1) confirms new service earns under Tier 3 formula regardless of original tier, but original benefit retains original tier.</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[TIER-REHIRE-01] If a member quits (not retires) in Tier 2 era and is rehired in Tier 3 era, which tier applies? Most likely: original tier based on 'initial service' language, but needs DERP confirmation.</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Boundary: hire Jul 1, 2011 = Tier 3; hire Jun 30, 2011 = Tier 2. Test rehire scenario if DERP clarifies.</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3 only (determination rule)</w:t>
      </w:r>
    </w:p>
    <w:p>
      <w:pPr>
        <w:pStyle w:val="Heading2"/>
        <w:spacing w:before="280" w:after="160"/>
      </w:pPr>
      <w:r>
        <w:rPr>
          <w:rFonts w:ascii="Arial" w:cs="Arial" w:eastAsia="Arial" w:hAnsi="Arial"/>
          <w:b/>
          <w:bCs/>
          <w:color w:val="2E75B6"/>
          <w:sz w:val="26"/>
          <w:szCs w:val="26"/>
        </w:rPr>
        <w:t xml:space="preserve">1.4 — RULE-CONTRIB-EE</w:t>
      </w:r>
    </w:p>
    <w:p>
      <w:pPr>
        <w:pBdr>
          <w:bottom w:val="single" w:color="2E75B6" w:sz="2"/>
        </w:pBdr>
        <w:spacing w:before="240" w:after="80"/>
      </w:pPr>
      <w:r>
        <w:rPr>
          <w:rFonts w:ascii="Consolas" w:cs="Consolas" w:eastAsia="Consolas" w:hAnsi="Consolas"/>
          <w:b/>
          <w:bCs/>
          <w:color w:val="2E75B6"/>
          <w:sz w:val="22"/>
          <w:szCs w:val="22"/>
        </w:rPr>
        <w:t xml:space="preserve">RULE-CONTRIB-EE</w:t>
      </w:r>
      <w:r>
        <w:rPr>
          <w:rFonts w:ascii="Arial" w:cs="Arial" w:eastAsia="Arial" w:hAnsi="Arial"/>
          <w:b/>
          <w:bCs/>
          <w:color w:val="1B3A5C"/>
          <w:sz w:val="22"/>
          <w:szCs w:val="22"/>
        </w:rPr>
        <w:t xml:space="preserve">  Employee Contribution Rate</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Employee contributes 8.45% of gross salary, pretax.</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§18-407(f)(1), effective January 1, 2023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This is the current rate only. Historical rates needed for seed data (8.45% since at least 2014; earlier rates unknown). For the rules engine, only current rate matters.</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[CONTRIB-HIST-01] Historical employee contribution rate schedule needed for realistic seed data generation spanning multiple decades. Low priority — does not affect rules engine.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Verify 8.45% applied to gross salary. Verify pretax treatment.</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1.5 — RULE-CONTRIB-ER</w:t>
      </w:r>
    </w:p>
    <w:p>
      <w:pPr>
        <w:pBdr>
          <w:bottom w:val="single" w:color="2E75B6" w:sz="2"/>
        </w:pBdr>
        <w:spacing w:before="240" w:after="80"/>
      </w:pPr>
      <w:r>
        <w:rPr>
          <w:rFonts w:ascii="Consolas" w:cs="Consolas" w:eastAsia="Consolas" w:hAnsi="Consolas"/>
          <w:b/>
          <w:bCs/>
          <w:color w:val="2E75B6"/>
          <w:sz w:val="22"/>
          <w:szCs w:val="22"/>
        </w:rPr>
        <w:t xml:space="preserve">RULE-CONTRIB-ER</w:t>
      </w:r>
      <w:r>
        <w:rPr>
          <w:rFonts w:ascii="Arial" w:cs="Arial" w:eastAsia="Arial" w:hAnsi="Arial"/>
          <w:b/>
          <w:bCs/>
          <w:color w:val="1B3A5C"/>
          <w:sz w:val="22"/>
          <w:szCs w:val="22"/>
        </w:rPr>
        <w:t xml:space="preserve">  Employer Contribution Rate</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Employer contributes 17.95% of gross salary.</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§18-407(e)(1), effective January 1, 2023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Same historical rate caveat as employee contribution. Approximate: ~11% pre-2012, scaling to 17.95% current. These are estimates for seed data, not verified rates.</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Verify 17.95% applied to gross salary in current-era calculations.</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r>
        <w:br w:type="page"/>
      </w:r>
    </w:p>
    <w:p>
      <w:pPr>
        <w:pStyle w:val="Heading1"/>
        <w:spacing w:before="360" w:after="200"/>
      </w:pPr>
      <w:r>
        <w:rPr>
          <w:rFonts w:ascii="Arial" w:cs="Arial" w:eastAsia="Arial" w:hAnsi="Arial"/>
          <w:b/>
          <w:bCs/>
          <w:color w:val="1B3A5C"/>
          <w:sz w:val="32"/>
          <w:szCs w:val="32"/>
        </w:rPr>
        <w:t xml:space="preserve">Category 2: Service Credit Calculation</w:t>
      </w:r>
    </w:p>
    <w:p>
      <w:pPr>
        <w:spacing w:after="120"/>
      </w:pPr>
      <w:r>
        <w:rPr>
          <w:rFonts w:ascii="Arial" w:cs="Arial" w:eastAsia="Arial" w:hAnsi="Arial"/>
          <w:sz w:val="20"/>
          <w:szCs w:val="20"/>
        </w:rPr>
        <w:t xml:space="preserve">Service credit feeds both eligibility determination and benefit calculation, but with different inclusion rules. The critical distinction between earned and purchased service affects multiple downstream rules.</w:t>
      </w:r>
    </w:p>
    <w:p>
      <w:pPr>
        <w:pStyle w:val="Heading2"/>
        <w:spacing w:before="280" w:after="160"/>
      </w:pPr>
      <w:r>
        <w:rPr>
          <w:rFonts w:ascii="Arial" w:cs="Arial" w:eastAsia="Arial" w:hAnsi="Arial"/>
          <w:b/>
          <w:bCs/>
          <w:color w:val="2E75B6"/>
          <w:sz w:val="26"/>
          <w:szCs w:val="26"/>
        </w:rPr>
        <w:t xml:space="preserve">2.0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Name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Open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RULE-SVC-EARNED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Earned Service Credit Calculation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RULE-SVC-PURCHASED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Purchased Service Credit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RULE-SVC-SEPARATION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Service Credit Type Separation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bl>
    <w:p>
      <w:pPr>
        <w:spacing w:after="20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2.1 — RULE-SVC-EARNED</w:t>
      </w:r>
    </w:p>
    <w:p>
      <w:pPr>
        <w:pBdr>
          <w:bottom w:val="single" w:color="2E75B6" w:sz="2"/>
        </w:pBdr>
        <w:spacing w:before="240" w:after="80"/>
      </w:pPr>
      <w:r>
        <w:rPr>
          <w:rFonts w:ascii="Consolas" w:cs="Consolas" w:eastAsia="Consolas" w:hAnsi="Consolas"/>
          <w:b/>
          <w:bCs/>
          <w:color w:val="2E75B6"/>
          <w:sz w:val="22"/>
          <w:szCs w:val="22"/>
        </w:rPr>
        <w:t xml:space="preserve">RULE-SVC-EARNED</w:t>
      </w:r>
      <w:r>
        <w:rPr>
          <w:rFonts w:ascii="Arial" w:cs="Arial" w:eastAsia="Arial" w:hAnsi="Arial"/>
          <w:b/>
          <w:bCs/>
          <w:color w:val="1B3A5C"/>
          <w:sz w:val="22"/>
          <w:szCs w:val="22"/>
        </w:rPr>
        <w:t xml:space="preserve">  Earned Service Credit Calculation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Earned service credit accumulates from actual employment with covered employers, calculated from hire date to termination/retirement date.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 (definitions), §18-409(a) (benefit calculation references)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Service credit calculation method (year-month vs. exact day) is NOT specified in the RMC. Our demo cases use year-month (months/12, e.g., 28 yrs 9 mo = 28.75). If DERP uses exact days, Robert Martinez would be 28.797 instead of 28.75.</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[Q-CALC-02] [CRITICAL] How does DERP calculate partial years of service credit? Year-month method (months/12) or exact day method (days/365.25)? Affects every benefit calculation.</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with known employment periods. Verify calculation matches chosen method precisely. Must test both methods until DERP confirms which one.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2.2 — RULE-SVC-PURCHASED</w:t>
      </w:r>
    </w:p>
    <w:p>
      <w:pPr>
        <w:pBdr>
          <w:bottom w:val="single" w:color="2E75B6" w:sz="2"/>
        </w:pBdr>
        <w:spacing w:before="240" w:after="80"/>
      </w:pPr>
      <w:r>
        <w:rPr>
          <w:rFonts w:ascii="Consolas" w:cs="Consolas" w:eastAsia="Consolas" w:hAnsi="Consolas"/>
          <w:b/>
          <w:bCs/>
          <w:color w:val="2E75B6"/>
          <w:sz w:val="22"/>
          <w:szCs w:val="22"/>
        </w:rPr>
        <w:t xml:space="preserve">RULE-SVC-PURCHASED</w:t>
      </w:r>
      <w:r>
        <w:rPr>
          <w:rFonts w:ascii="Arial" w:cs="Arial" w:eastAsia="Arial" w:hAnsi="Arial"/>
          <w:b/>
          <w:bCs/>
          <w:color w:val="1B3A5C"/>
          <w:sz w:val="22"/>
          <w:szCs w:val="22"/>
        </w:rPr>
        <w:t xml:space="preserve">  Purchased Service Credit</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Purchased service credit counts toward benefit CALCULATION only. It is explicitly EXCLUDED from: vesting, Rule of 75/85 determination, and IPR calculation.</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§18-415(a) — 'Cannot be used for vesting or qualifying for different benefit category'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Critical test: member with purchased service must show different totals for 'service for calculation' vs 'service for eligibility'. Jennifer Kim (Case 2) is the primary test: 21.17 total but 18.17 for Rule of 75. Test that IPR uses earned-only service.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2.3 — RULE-SVC-SEPARATION</w:t>
      </w:r>
    </w:p>
    <w:p>
      <w:pPr>
        <w:pBdr>
          <w:bottom w:val="single" w:color="2E75B6" w:sz="2"/>
        </w:pBdr>
        <w:spacing w:before="240" w:after="80"/>
      </w:pPr>
      <w:r>
        <w:rPr>
          <w:rFonts w:ascii="Consolas" w:cs="Consolas" w:eastAsia="Consolas" w:hAnsi="Consolas"/>
          <w:b/>
          <w:bCs/>
          <w:color w:val="2E75B6"/>
          <w:sz w:val="22"/>
          <w:szCs w:val="22"/>
        </w:rPr>
        <w:t xml:space="preserve">RULE-SVC-SEPARATION</w:t>
      </w:r>
      <w:r>
        <w:rPr>
          <w:rFonts w:ascii="Arial" w:cs="Arial" w:eastAsia="Arial" w:hAnsi="Arial"/>
          <w:b/>
          <w:bCs/>
          <w:color w:val="1B3A5C"/>
          <w:sz w:val="22"/>
          <w:szCs w:val="22"/>
        </w:rPr>
        <w:t xml:space="preserve">  Service Credit Type Separation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System must maintain separate tracking of earned, purchased, military, and leave service credit types. Each type has different applicability rules.</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§18-415 (purchase provisions), §18-402 (definitions)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Verify data model stores service credit by type. Verify each usage point (eligibility, benefit calc, IPR) pulls the correct subset.</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r>
        <w:br w:type="page"/>
      </w:r>
    </w:p>
    <w:p>
      <w:pPr>
        <w:pStyle w:val="Heading1"/>
        <w:spacing w:before="360" w:after="200"/>
      </w:pPr>
      <w:r>
        <w:rPr>
          <w:rFonts w:ascii="Arial" w:cs="Arial" w:eastAsia="Arial" w:hAnsi="Arial"/>
          <w:b/>
          <w:bCs/>
          <w:color w:val="1B3A5C"/>
          <w:sz w:val="32"/>
          <w:szCs w:val="32"/>
        </w:rPr>
        <w:t xml:space="preserve">Category 3: Eligibility Determination</w:t>
      </w:r>
    </w:p>
    <w:p>
      <w:pPr>
        <w:spacing w:after="120"/>
      </w:pPr>
      <w:r>
        <w:rPr>
          <w:rFonts w:ascii="Arial" w:cs="Arial" w:eastAsia="Arial" w:hAnsi="Arial"/>
          <w:sz w:val="20"/>
          <w:szCs w:val="20"/>
        </w:rPr>
        <w:t xml:space="preserve">Eligibility rules gate the benefit calculation and determine whether reductions apply. They must be evaluated in a strict hierarchy. The interaction between age, service, tier, and minimum age requirements creates the complexity.</w:t>
      </w:r>
    </w:p>
    <w:p>
      <w:pPr>
        <w:pStyle w:val="Heading2"/>
        <w:spacing w:before="280" w:after="160"/>
      </w:pPr>
      <w:r>
        <w:rPr>
          <w:rFonts w:ascii="Arial" w:cs="Arial" w:eastAsia="Arial" w:hAnsi="Arial"/>
          <w:b/>
          <w:bCs/>
          <w:color w:val="2E75B6"/>
          <w:sz w:val="26"/>
          <w:szCs w:val="26"/>
        </w:rPr>
        <w:t xml:space="preserve">3.0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Name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Open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RULE-VESTING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Vesting Requirement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2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RULE-NORMAL-RET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Normal Retirement Eligibility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RULE-RULE-OF-75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Rule of 75 Eligibility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RULE-RULE-OF-85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Rule of 85 Eligibility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RULE-EARLY-RET-T12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Early Retirement Eligibility (Tiers 1 &amp; 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RULE-EARLY-RET-T3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Early Retirement Eligibility (Tier 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RULE-EARLY-REDUCE-T12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Early Retirement Reduction (Tiers 1 &amp; 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RULE-EARLY-REDUCE-T3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Early Retirement Reduction (Tier 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RULE-DEFERRED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Deferred Retirement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RULE-ELIG-HIERARCHY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Eligibility Evaluation Order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bl>
    <w:p>
      <w:pPr>
        <w:spacing w:after="20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3.1 — RULE-VESTING</w:t>
      </w:r>
    </w:p>
    <w:p>
      <w:pPr>
        <w:pBdr>
          <w:bottom w:val="single" w:color="2E75B6" w:sz="2"/>
        </w:pBdr>
        <w:spacing w:before="240" w:after="80"/>
      </w:pPr>
      <w:r>
        <w:rPr>
          <w:rFonts w:ascii="Consolas" w:cs="Consolas" w:eastAsia="Consolas" w:hAnsi="Consolas"/>
          <w:b/>
          <w:bCs/>
          <w:color w:val="2E75B6"/>
          <w:sz w:val="22"/>
          <w:szCs w:val="22"/>
        </w:rPr>
        <w:t xml:space="preserve">RULE-VESTING</w:t>
      </w:r>
      <w:r>
        <w:rPr>
          <w:rFonts w:ascii="Arial" w:cs="Arial" w:eastAsia="Arial" w:hAnsi="Arial"/>
          <w:b/>
          <w:bCs/>
          <w:color w:val="1B3A5C"/>
          <w:sz w:val="22"/>
          <w:szCs w:val="22"/>
        </w:rPr>
        <w:t xml:space="preserve">  Vesting Requirement</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A member must have at least 5 years of credited service to be vested and eligible for any retirement benefit. Members appointed before January 1, 1987 required 10 years. Post-1987 but pre-July 2011: 5 years or age 65 (whichever earlier). Post-July 2011: 5 years regardless of age.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§18-402(31)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For POC scope, all synthetic members are post-1987 hires, so 5-year vesting applies. The 10-year pre-1987 rule is documented but not expected in demo cases.</w:t>
      </w:r>
    </w:p>
    <w:p>
      <w:pPr>
        <w:spacing w:after="120"/>
      </w:pPr>
      <w:r>
        <w:rPr>
          <w:rFonts w:ascii="Arial" w:cs="Arial" w:eastAsia="Arial" w:hAnsi="Arial"/>
          <w:color w:val="666666"/>
          <w:sz w:val="20"/>
          <w:szCs w:val="20"/>
        </w:rPr>
        <w:t xml:space="preserve">  • Vesting uses credited service (earned only? or earned + purchased?). RMC §18-415(a) says purchased service cannot be used for vesting, so vesting is earned-only.</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at boundary: exactly 5.00 years = vested; 4.99 years = not vested. Verify purchased service excluded from vesting count.</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 (with era-specific variations)</w:t>
      </w:r>
    </w:p>
    <w:p>
      <w:pPr>
        <w:pStyle w:val="Heading2"/>
        <w:spacing w:before="280" w:after="160"/>
      </w:pPr>
      <w:r>
        <w:rPr>
          <w:rFonts w:ascii="Arial" w:cs="Arial" w:eastAsia="Arial" w:hAnsi="Arial"/>
          <w:b/>
          <w:bCs/>
          <w:color w:val="2E75B6"/>
          <w:sz w:val="26"/>
          <w:szCs w:val="26"/>
        </w:rPr>
        <w:t xml:space="preserve">3.2 — RULE-NORMAL-RET</w:t>
      </w:r>
    </w:p>
    <w:p>
      <w:pPr>
        <w:pBdr>
          <w:bottom w:val="single" w:color="2E75B6" w:sz="2"/>
        </w:pBdr>
        <w:spacing w:before="240" w:after="80"/>
      </w:pPr>
      <w:r>
        <w:rPr>
          <w:rFonts w:ascii="Consolas" w:cs="Consolas" w:eastAsia="Consolas" w:hAnsi="Consolas"/>
          <w:b/>
          <w:bCs/>
          <w:color w:val="2E75B6"/>
          <w:sz w:val="22"/>
          <w:szCs w:val="22"/>
        </w:rPr>
        <w:t xml:space="preserve">RULE-NORMAL-RET</w:t>
      </w:r>
      <w:r>
        <w:rPr>
          <w:rFonts w:ascii="Arial" w:cs="Arial" w:eastAsia="Arial" w:hAnsi="Arial"/>
          <w:b/>
          <w:bCs/>
          <w:color w:val="1B3A5C"/>
          <w:sz w:val="22"/>
          <w:szCs w:val="22"/>
        </w:rPr>
        <w:t xml:space="preserve">  Normal Retirement Eligibility</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Age 65 or older AND at least 5 years of credited service = normal retirement. Full unreduced benefit. Applies to all tiers.</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§18-402(20), §18-408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age 65 with 5 years = normal. Age 64 with 30 years = NOT normal (may be Rule of N). Age 65 with 4 years = NOT eligible at all.</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3.3 — RULE-RULE-OF-75</w:t>
      </w:r>
    </w:p>
    <w:p>
      <w:pPr>
        <w:pBdr>
          <w:bottom w:val="single" w:color="2E75B6" w:sz="2"/>
        </w:pBdr>
        <w:spacing w:before="240" w:after="80"/>
      </w:pPr>
      <w:r>
        <w:rPr>
          <w:rFonts w:ascii="Consolas" w:cs="Consolas" w:eastAsia="Consolas" w:hAnsi="Consolas"/>
          <w:b/>
          <w:bCs/>
          <w:color w:val="2E75B6"/>
          <w:sz w:val="22"/>
          <w:szCs w:val="22"/>
        </w:rPr>
        <w:t xml:space="preserve">RULE-RULE-OF-75</w:t>
      </w:r>
      <w:r>
        <w:rPr>
          <w:rFonts w:ascii="Arial" w:cs="Arial" w:eastAsia="Arial" w:hAnsi="Arial"/>
          <w:b/>
          <w:bCs/>
          <w:color w:val="1B3A5C"/>
          <w:sz w:val="22"/>
          <w:szCs w:val="22"/>
        </w:rPr>
        <w:t xml:space="preserve">  Rule of 75 Eligibility</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 Tiers 1 and 2: if age + earned service credit ≥ 75 AND member has attained minimum age 55, member qualifies for unreduced benefit. Rule must be attained while employed as active member, prior to termination.</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§18-402(20)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Rule uses EARNED service only (purchased excluded per RULE-SVC-PURCHASED). Confirmed by §18-415(a).</w:t>
      </w:r>
    </w:p>
    <w:p>
      <w:pPr>
        <w:spacing w:after="120"/>
      </w:pPr>
      <w:r>
        <w:rPr>
          <w:rFonts w:ascii="Arial" w:cs="Arial" w:eastAsia="Arial" w:hAnsi="Arial"/>
          <w:color w:val="666666"/>
          <w:sz w:val="20"/>
          <w:szCs w:val="20"/>
        </w:rPr>
        <w:t xml:space="preserve">  • If member terminates after meeting the sum but before reaching age 55, they must wait until age 55 to apply. They do NOT lose the Rule — they just cannot collect until minimum age.</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[Q-CALC-02-IMPACT] The age + service sum depends on how partial years are calculated. Year-month vs exact day could change whether a member is 0.01 above or below 75.</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Robert Martinez (Case 1): 63 + 28.75 = 91.75 ≥ 75 ✓. Jennifer Kim (Case 2): 55 + 18.17 = 73.17 &lt; 75 ✗. Test exact boundary: sum = 75.00 exactly. Test sum = 74.99. Test member who meets sum but is age 54 (must wait).</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Tiers 1 and 2 only</w:t>
      </w:r>
    </w:p>
    <w:p>
      <w:pPr>
        <w:pStyle w:val="Heading2"/>
        <w:spacing w:before="280" w:after="160"/>
      </w:pPr>
      <w:r>
        <w:rPr>
          <w:rFonts w:ascii="Arial" w:cs="Arial" w:eastAsia="Arial" w:hAnsi="Arial"/>
          <w:b/>
          <w:bCs/>
          <w:color w:val="2E75B6"/>
          <w:sz w:val="26"/>
          <w:szCs w:val="26"/>
        </w:rPr>
        <w:t xml:space="preserve">3.4 — RULE-RULE-OF-85</w:t>
      </w:r>
    </w:p>
    <w:p>
      <w:pPr>
        <w:pBdr>
          <w:bottom w:val="single" w:color="2E75B6" w:sz="2"/>
        </w:pBdr>
        <w:spacing w:before="240" w:after="80"/>
      </w:pPr>
      <w:r>
        <w:rPr>
          <w:rFonts w:ascii="Consolas" w:cs="Consolas" w:eastAsia="Consolas" w:hAnsi="Consolas"/>
          <w:b/>
          <w:bCs/>
          <w:color w:val="2E75B6"/>
          <w:sz w:val="22"/>
          <w:szCs w:val="22"/>
        </w:rPr>
        <w:t xml:space="preserve">RULE-RULE-OF-85</w:t>
      </w:r>
      <w:r>
        <w:rPr>
          <w:rFonts w:ascii="Arial" w:cs="Arial" w:eastAsia="Arial" w:hAnsi="Arial"/>
          <w:b/>
          <w:bCs/>
          <w:color w:val="1B3A5C"/>
          <w:sz w:val="22"/>
          <w:szCs w:val="22"/>
        </w:rPr>
        <w:t xml:space="preserve">  Rule of 85 Eligibility</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 Tier 3: if age + earned service credit ≥ 85 AND member has attained minimum age 60, member qualifies for unreduced benefit. Rule must be attained while employed as active member, prior to termination.</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§18-402(20)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Same partial-year calculation dependency as Rule of 75.</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David Washington (Case 3): 63 + 13.58 = 76.58 &lt; 85 ✗. Test exact boundary: sum = 85.00. Test member who meets sum at age 59 (must wait until 60).</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3 only</w:t>
      </w:r>
    </w:p>
    <w:p>
      <w:pPr>
        <w:pStyle w:val="Heading2"/>
        <w:spacing w:before="280" w:after="160"/>
      </w:pPr>
      <w:r>
        <w:rPr>
          <w:rFonts w:ascii="Arial" w:cs="Arial" w:eastAsia="Arial" w:hAnsi="Arial"/>
          <w:b/>
          <w:bCs/>
          <w:color w:val="2E75B6"/>
          <w:sz w:val="26"/>
          <w:szCs w:val="26"/>
        </w:rPr>
        <w:t xml:space="preserve">3.5 — RULE-EARLY-RET-T12</w:t>
      </w:r>
    </w:p>
    <w:p>
      <w:pPr>
        <w:pBdr>
          <w:bottom w:val="single" w:color="2E75B6" w:sz="2"/>
        </w:pBdr>
        <w:spacing w:before="240" w:after="80"/>
      </w:pPr>
      <w:r>
        <w:rPr>
          <w:rFonts w:ascii="Consolas" w:cs="Consolas" w:eastAsia="Consolas" w:hAnsi="Consolas"/>
          <w:b/>
          <w:bCs/>
          <w:color w:val="2E75B6"/>
          <w:sz w:val="22"/>
          <w:szCs w:val="22"/>
        </w:rPr>
        <w:t xml:space="preserve">RULE-EARLY-RET-T12</w:t>
      </w:r>
      <w:r>
        <w:rPr>
          <w:rFonts w:ascii="Arial" w:cs="Arial" w:eastAsia="Arial" w:hAnsi="Arial"/>
          <w:b/>
          <w:bCs/>
          <w:color w:val="1B3A5C"/>
          <w:sz w:val="22"/>
          <w:szCs w:val="22"/>
        </w:rPr>
        <w:t xml:space="preserve">  Early Retirement Eligibility (Tiers 1 &amp; 2)</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Age 55 or older AND at least 5 years of credited service AND does not meet normal retirement or Rule of 75. Benefit is reduced.</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§18-408, §18-409(b)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Jennifer Kim (Case 2): age 55, 18+ years service, does not meet Rule of 75 = early retirement. Test age 54 with 5 years = NOT eligible.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Tiers 1 and 2</w:t>
      </w:r>
    </w:p>
    <w:p>
      <w:pPr>
        <w:pStyle w:val="Heading2"/>
        <w:spacing w:before="280" w:after="160"/>
      </w:pPr>
      <w:r>
        <w:rPr>
          <w:rFonts w:ascii="Arial" w:cs="Arial" w:eastAsia="Arial" w:hAnsi="Arial"/>
          <w:b/>
          <w:bCs/>
          <w:color w:val="2E75B6"/>
          <w:sz w:val="26"/>
          <w:szCs w:val="26"/>
        </w:rPr>
        <w:t xml:space="preserve">3.6 — RULE-EARLY-RET-T3</w:t>
      </w:r>
    </w:p>
    <w:p>
      <w:pPr>
        <w:pBdr>
          <w:bottom w:val="single" w:color="2E75B6" w:sz="2"/>
        </w:pBdr>
        <w:spacing w:before="240" w:after="80"/>
      </w:pPr>
      <w:r>
        <w:rPr>
          <w:rFonts w:ascii="Consolas" w:cs="Consolas" w:eastAsia="Consolas" w:hAnsi="Consolas"/>
          <w:b/>
          <w:bCs/>
          <w:color w:val="2E75B6"/>
          <w:sz w:val="22"/>
          <w:szCs w:val="22"/>
        </w:rPr>
        <w:t xml:space="preserve">RULE-EARLY-RET-T3</w:t>
      </w:r>
      <w:r>
        <w:rPr>
          <w:rFonts w:ascii="Arial" w:cs="Arial" w:eastAsia="Arial" w:hAnsi="Arial"/>
          <w:b/>
          <w:bCs/>
          <w:color w:val="1B3A5C"/>
          <w:sz w:val="22"/>
          <w:szCs w:val="22"/>
        </w:rPr>
        <w:t xml:space="preserve">  Early Retirement Eligibility (Tier 3)</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Age 60 or older AND at least 5 years of credited service AND does not meet normal retirement or Rule of 85. Benefit is reduced.</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§18-408, §18-409(b)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David Washington (Case 3): age 63, 13+ years, does not meet Rule of 85 = early retirement. Test age 59 with 5 years = NOT eligible for Tier 3 early.</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3 only</w:t>
      </w:r>
    </w:p>
    <w:p>
      <w:pPr>
        <w:pStyle w:val="Heading2"/>
        <w:spacing w:before="280" w:after="160"/>
      </w:pPr>
      <w:r>
        <w:rPr>
          <w:rFonts w:ascii="Arial" w:cs="Arial" w:eastAsia="Arial" w:hAnsi="Arial"/>
          <w:b/>
          <w:bCs/>
          <w:color w:val="2E75B6"/>
          <w:sz w:val="26"/>
          <w:szCs w:val="26"/>
        </w:rPr>
        <w:t xml:space="preserve">3.7 — RULE-EARLY-REDUCE-T12</w:t>
      </w:r>
    </w:p>
    <w:p>
      <w:pPr>
        <w:pBdr>
          <w:bottom w:val="single" w:color="2E75B6" w:sz="2"/>
        </w:pBdr>
        <w:spacing w:before="240" w:after="80"/>
      </w:pPr>
      <w:r>
        <w:rPr>
          <w:rFonts w:ascii="Consolas" w:cs="Consolas" w:eastAsia="Consolas" w:hAnsi="Consolas"/>
          <w:b/>
          <w:bCs/>
          <w:color w:val="2E75B6"/>
          <w:sz w:val="22"/>
          <w:szCs w:val="22"/>
        </w:rPr>
        <w:t xml:space="preserve">RULE-EARLY-REDUCE-T12</w:t>
      </w:r>
      <w:r>
        <w:rPr>
          <w:rFonts w:ascii="Arial" w:cs="Arial" w:eastAsia="Arial" w:hAnsi="Arial"/>
          <w:b/>
          <w:bCs/>
          <w:color w:val="1B3A5C"/>
          <w:sz w:val="22"/>
          <w:szCs w:val="22"/>
        </w:rPr>
        <w:t xml:space="preserve">  Early Retirement Reduction (Tiers 1 &amp; 2)</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Benefit reduced by 3% per year under age 65. Maximum reduction 30% at age 55. Reduction is permanent. RMC provides statutory lookup table by integer age (age 55 = 70%, age 56 = 73%, ... age 64 = 97%, age 65 = 100%).</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§18-409(b) — statutory table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Integer-age approach confirmed by RMC statutory table. No monthly proration. Decision 18 assumed completed years only — RMC table confirms this by listing integer ages only.</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[Q-CALC-03] [CRITICAL] While the statutory table strongly implies integer-age (no proration), DERP staff confirmation would eliminate any ambiguity. E.g., does a member age 55 years 11 months get 70% or something between 70% and 73%?</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Jennifer Kim (Case 2): age 55, 10 years under 65, 30% reduction, benefit × 0.70 = $1,633.07. Test each integer age from 55 to 64. Verify reduction is permanent (does not change at age 65).</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Tiers 1 and 2</w:t>
      </w:r>
    </w:p>
    <w:p>
      <w:pPr>
        <w:pStyle w:val="Heading2"/>
        <w:spacing w:before="280" w:after="160"/>
      </w:pPr>
      <w:r>
        <w:rPr>
          <w:rFonts w:ascii="Arial" w:cs="Arial" w:eastAsia="Arial" w:hAnsi="Arial"/>
          <w:b/>
          <w:bCs/>
          <w:color w:val="2E75B6"/>
          <w:sz w:val="26"/>
          <w:szCs w:val="26"/>
        </w:rPr>
        <w:t xml:space="preserve">3.8 — RULE-EARLY-REDUCE-T3</w:t>
      </w:r>
    </w:p>
    <w:p>
      <w:pPr>
        <w:pBdr>
          <w:bottom w:val="single" w:color="2E75B6" w:sz="2"/>
        </w:pBdr>
        <w:spacing w:before="240" w:after="80"/>
      </w:pPr>
      <w:r>
        <w:rPr>
          <w:rFonts w:ascii="Consolas" w:cs="Consolas" w:eastAsia="Consolas" w:hAnsi="Consolas"/>
          <w:b/>
          <w:bCs/>
          <w:color w:val="2E75B6"/>
          <w:sz w:val="22"/>
          <w:szCs w:val="22"/>
        </w:rPr>
        <w:t xml:space="preserve">RULE-EARLY-REDUCE-T3</w:t>
      </w:r>
      <w:r>
        <w:rPr>
          <w:rFonts w:ascii="Arial" w:cs="Arial" w:eastAsia="Arial" w:hAnsi="Arial"/>
          <w:b/>
          <w:bCs/>
          <w:color w:val="1B3A5C"/>
          <w:sz w:val="22"/>
          <w:szCs w:val="22"/>
        </w:rPr>
        <w:t xml:space="preserve">  Early Retirement Reduction (Tier 3)</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Benefit reduced by 6% per year under age 65. Maximum reduction 30% at age 60. Reduction is permanent. RMC provides statutory lookup table (age 60 = 70%, age 61 = 76%, ... age 64 = 94%, age 65 = 100%).</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§18-409(b) — statutory table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Same integer-age approach as Tiers 1/2. Note: Tier 3 table increments are 6% (not uniform — 70, 76, 82, 88, 94, 100).</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David Washington (Case 3): age 63, 2 years under 65, 12% reduction, benefit × 0.88. Test each integer age from 60 to 64.</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3 only</w:t>
      </w:r>
    </w:p>
    <w:p>
      <w:pPr>
        <w:pStyle w:val="Heading2"/>
        <w:spacing w:before="280" w:after="160"/>
      </w:pPr>
      <w:r>
        <w:rPr>
          <w:rFonts w:ascii="Arial" w:cs="Arial" w:eastAsia="Arial" w:hAnsi="Arial"/>
          <w:b/>
          <w:bCs/>
          <w:color w:val="2E75B6"/>
          <w:sz w:val="26"/>
          <w:szCs w:val="26"/>
        </w:rPr>
        <w:t xml:space="preserve">3.9 — RULE-DEFERRED</w:t>
      </w:r>
    </w:p>
    <w:p>
      <w:pPr>
        <w:pBdr>
          <w:bottom w:val="single" w:color="2E75B6" w:sz="2"/>
        </w:pBdr>
        <w:spacing w:before="240" w:after="80"/>
      </w:pPr>
      <w:r>
        <w:rPr>
          <w:rFonts w:ascii="Consolas" w:cs="Consolas" w:eastAsia="Consolas" w:hAnsi="Consolas"/>
          <w:b/>
          <w:bCs/>
          <w:color w:val="2E75B6"/>
          <w:sz w:val="22"/>
          <w:szCs w:val="22"/>
        </w:rPr>
        <w:t xml:space="preserve">RULE-DEFERRED</w:t>
      </w:r>
      <w:r>
        <w:rPr>
          <w:rFonts w:ascii="Arial" w:cs="Arial" w:eastAsia="Arial" w:hAnsi="Arial"/>
          <w:b/>
          <w:bCs/>
          <w:color w:val="1B3A5C"/>
          <w:sz w:val="22"/>
          <w:szCs w:val="22"/>
        </w:rPr>
        <w:t xml:space="preserve">  Deferred Retirement</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Vested member who terminates employment before reaching any retirement eligibility. Benefits calculated based on service and salary at termination. Must wait until reaching eligibility age to begin payments. If application deadline missed (30 days), automatically classified as deferred.</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§18-402(10), §18-408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Automatic deferred classification after 30-day deadline is confirmed by RMC — no appeal or extension in statute.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vested member age 50 terminates = deferred. Test: member misses 30-day application deadline = forced deferred.</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3.10 — RULE-ELIG-HIERARCHY</w:t>
      </w:r>
    </w:p>
    <w:p>
      <w:pPr>
        <w:pBdr>
          <w:bottom w:val="single" w:color="2E75B6" w:sz="2"/>
        </w:pBdr>
        <w:spacing w:before="240" w:after="80"/>
      </w:pPr>
      <w:r>
        <w:rPr>
          <w:rFonts w:ascii="Consolas" w:cs="Consolas" w:eastAsia="Consolas" w:hAnsi="Consolas"/>
          <w:b/>
          <w:bCs/>
          <w:color w:val="2E75B6"/>
          <w:sz w:val="22"/>
          <w:szCs w:val="22"/>
        </w:rPr>
        <w:t xml:space="preserve">RULE-ELIG-HIERARCHY</w:t>
      </w:r>
      <w:r>
        <w:rPr>
          <w:rFonts w:ascii="Arial" w:cs="Arial" w:eastAsia="Arial" w:hAnsi="Arial"/>
          <w:b/>
          <w:bCs/>
          <w:color w:val="1B3A5C"/>
          <w:sz w:val="22"/>
          <w:szCs w:val="22"/>
        </w:rPr>
        <w:t xml:space="preserve">  Eligibility Evaluation Order</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Eligibility is evaluated in strict order: (1) Tier determination, (2) Age at retirement, (3) Service credit separation, (4) Vesting check, (5) Normal retirement check, (6) Rule of 75/85 check, (7) Early retirement check, (8) Deferred if none met. First qualifying category applies.</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Derived from RMC structure; evaluation order is architectural decision documented in noui-derp-service-retirement-process.md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A member who qualifies for both normal retirement (age 65+) and Rule of 75 should be classified as normal retirement. The hierarchy prevents double-classification but the benefit amount is identical.</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member who meets multiple categories (age 65, Rule of 75 met). Verify single classification returned. Test all four demo cases produce correct eligibility type.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r>
        <w:br w:type="page"/>
      </w:r>
    </w:p>
    <w:p>
      <w:pPr>
        <w:pStyle w:val="Heading1"/>
        <w:spacing w:before="360" w:after="200"/>
      </w:pPr>
      <w:r>
        <w:rPr>
          <w:rFonts w:ascii="Arial" w:cs="Arial" w:eastAsia="Arial" w:hAnsi="Arial"/>
          <w:b/>
          <w:bCs/>
          <w:color w:val="1B3A5C"/>
          <w:sz w:val="32"/>
          <w:szCs w:val="32"/>
        </w:rPr>
        <w:t xml:space="preserve">Category 4: Benefit Calculation</w:t>
      </w:r>
    </w:p>
    <w:p>
      <w:pPr>
        <w:spacing w:after="120"/>
      </w:pPr>
      <w:r>
        <w:rPr>
          <w:rFonts w:ascii="Arial" w:cs="Arial" w:eastAsia="Arial" w:hAnsi="Arial"/>
          <w:sz w:val="20"/>
          <w:szCs w:val="20"/>
        </w:rPr>
        <w:t xml:space="preserve">The core calculation engine. Every formula, every intermediate value, and every rounding decision must be verifiable to the penny against hand calculations. This is where pension administration demonstrates its core competency.</w:t>
      </w:r>
    </w:p>
    <w:p>
      <w:pPr>
        <w:pStyle w:val="Heading2"/>
        <w:spacing w:before="280" w:after="160"/>
      </w:pPr>
      <w:r>
        <w:rPr>
          <w:rFonts w:ascii="Arial" w:cs="Arial" w:eastAsia="Arial" w:hAnsi="Arial"/>
          <w:b/>
          <w:bCs/>
          <w:color w:val="2E75B6"/>
          <w:sz w:val="26"/>
          <w:szCs w:val="26"/>
        </w:rPr>
        <w:t xml:space="preserve">4.0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Name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Open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RULE-AMS-WINDOW</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AMS Averaging Period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RULE-AMS-CALC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AMS Calculation Method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RULE-LEAVE-PAYOUT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Leave Payout Inclusion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2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RULE-FURLOUGH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Furlough Impact on AMS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ASSUMED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RULE-BENEFIT-T1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1 Benefit Formula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RULE-BENEFIT-T2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2 Benefit Formula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RULE-BENEFIT-T3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3 Benefit Formula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RULE-REDUCTION-APPLY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Early Retirement Reduction Application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RULE-ROUNDING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Calculation Rounding Strategy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ASSUMED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bl>
    <w:p>
      <w:pPr>
        <w:spacing w:after="20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4.1 — RULE-AMS-WINDOW</w:t>
      </w:r>
    </w:p>
    <w:p>
      <w:pPr>
        <w:pBdr>
          <w:bottom w:val="single" w:color="2E75B6" w:sz="2"/>
        </w:pBdr>
        <w:spacing w:before="240" w:after="80"/>
      </w:pPr>
      <w:r>
        <w:rPr>
          <w:rFonts w:ascii="Consolas" w:cs="Consolas" w:eastAsia="Consolas" w:hAnsi="Consolas"/>
          <w:b/>
          <w:bCs/>
          <w:color w:val="2E75B6"/>
          <w:sz w:val="22"/>
          <w:szCs w:val="22"/>
        </w:rPr>
        <w:t xml:space="preserve">RULE-AMS-WINDOW</w:t>
      </w:r>
      <w:r>
        <w:rPr>
          <w:rFonts w:ascii="Arial" w:cs="Arial" w:eastAsia="Arial" w:hAnsi="Arial"/>
          <w:b/>
          <w:bCs/>
          <w:color w:val="1B3A5C"/>
          <w:sz w:val="22"/>
          <w:szCs w:val="22"/>
        </w:rPr>
        <w:t xml:space="preserve">  AMS Averaging Period</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AMS uses the highest consecutive months of pensionable salary. Tiers 1 &amp; 2: 36 consecutive months. Tier 3: 60 consecutive months.</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§18-409(a)(1-3)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Period must be consecutive (no gaps). System must search ALL possible windows to find the highest average.</w:t>
      </w:r>
    </w:p>
    <w:p>
      <w:pPr>
        <w:spacing w:after="120"/>
      </w:pPr>
      <w:r>
        <w:rPr>
          <w:rFonts w:ascii="Arial" w:cs="Arial" w:eastAsia="Arial" w:hAnsi="Arial"/>
          <w:color w:val="666666"/>
          <w:sz w:val="20"/>
          <w:szCs w:val="20"/>
        </w:rPr>
        <w:t xml:space="preserve">  • How partial months at start/end of employment are handled is not specified in the RMC. Our assumption: only complete months are included.</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[Q-AMS-01] How are partial months at start or end of employment handled in AMS window? Include at prorated amount, or exclude?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Jennifer Kim (Case 2): 36-month window, AMS = $7,347.62. David Washington (Case 3): 60-month window. Verify window slides to find highest average, not just most recent.</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 (window size varies)</w:t>
      </w:r>
    </w:p>
    <w:p>
      <w:pPr>
        <w:pStyle w:val="Heading2"/>
        <w:spacing w:before="280" w:after="160"/>
      </w:pPr>
      <w:r>
        <w:rPr>
          <w:rFonts w:ascii="Arial" w:cs="Arial" w:eastAsia="Arial" w:hAnsi="Arial"/>
          <w:b/>
          <w:bCs/>
          <w:color w:val="2E75B6"/>
          <w:sz w:val="26"/>
          <w:szCs w:val="26"/>
        </w:rPr>
        <w:t xml:space="preserve">4.2 — RULE-AMS-CALC</w:t>
      </w:r>
    </w:p>
    <w:p>
      <w:pPr>
        <w:pBdr>
          <w:bottom w:val="single" w:color="2E75B6" w:sz="2"/>
        </w:pBdr>
        <w:spacing w:before="240" w:after="80"/>
      </w:pPr>
      <w:r>
        <w:rPr>
          <w:rFonts w:ascii="Consolas" w:cs="Consolas" w:eastAsia="Consolas" w:hAnsi="Consolas"/>
          <w:b/>
          <w:bCs/>
          <w:color w:val="2E75B6"/>
          <w:sz w:val="22"/>
          <w:szCs w:val="22"/>
        </w:rPr>
        <w:t xml:space="preserve">RULE-AMS-CALC</w:t>
      </w:r>
      <w:r>
        <w:rPr>
          <w:rFonts w:ascii="Arial" w:cs="Arial" w:eastAsia="Arial" w:hAnsi="Arial"/>
          <w:b/>
          <w:bCs/>
          <w:color w:val="1B3A5C"/>
          <w:sz w:val="22"/>
          <w:szCs w:val="22"/>
        </w:rPr>
        <w:t xml:space="preserve">  AMS Calculation Method</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 each possible consecutive window of N months, sum all pensionable compensation and divide by N. The highest resulting average is the AMS.</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§18-409(a)(1-3)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Pensionable compensation includes base salary, longevity pay, shift differentials. Excludes bonuses, expense reimbursements, severance.</w:t>
      </w:r>
    </w:p>
    <w:p>
      <w:pPr>
        <w:spacing w:after="120"/>
      </w:pPr>
      <w:r>
        <w:rPr>
          <w:rFonts w:ascii="Arial" w:cs="Arial" w:eastAsia="Arial" w:hAnsi="Arial"/>
          <w:color w:val="666666"/>
          <w:sz w:val="20"/>
          <w:szCs w:val="20"/>
        </w:rPr>
        <w:t xml:space="preserve">  • Anti-spiking provisions: unknown whether DERP caps year-over-year salary increases in the AMS window.</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[Q-CALC-05] [HIGH] Does DERP have anti-spiking provisions that cap year-over-year salary increases in the AMS window?</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Verify AMS matches hand calculations for all four demo cases to the penny (after rounding strategy is applied).</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4.3 — RULE-LEAVE-PAYOUT</w:t>
      </w:r>
    </w:p>
    <w:p>
      <w:pPr>
        <w:pBdr>
          <w:bottom w:val="single" w:color="2E75B6" w:sz="2"/>
        </w:pBdr>
        <w:spacing w:before="240" w:after="80"/>
      </w:pPr>
      <w:r>
        <w:rPr>
          <w:rFonts w:ascii="Consolas" w:cs="Consolas" w:eastAsia="Consolas" w:hAnsi="Consolas"/>
          <w:b/>
          <w:bCs/>
          <w:color w:val="2E75B6"/>
          <w:sz w:val="22"/>
          <w:szCs w:val="22"/>
        </w:rPr>
        <w:t xml:space="preserve">RULE-LEAVE-PAYOUT</w:t>
      </w:r>
      <w:r>
        <w:rPr>
          <w:rFonts w:ascii="Arial" w:cs="Arial" w:eastAsia="Arial" w:hAnsi="Arial"/>
          <w:b/>
          <w:bCs/>
          <w:color w:val="1B3A5C"/>
          <w:sz w:val="22"/>
          <w:szCs w:val="22"/>
        </w:rPr>
        <w:t xml:space="preserve">  Leave Payout Inclusion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 members whose service begins on or before December 31, 2009: unused sick and vacation leave paid out at separation is treated as salary and included in the AMS calculation. Members hired on or after January 1, 2010: leave payout is NOT included.</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§18-402(15)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The leave payout is added to the FINAL month's salary before AMS window calculation. This can dramatically boost the AMS if the final month falls within the highest window.</w:t>
      </w:r>
    </w:p>
    <w:p>
      <w:pPr>
        <w:spacing w:after="120"/>
      </w:pPr>
      <w:r>
        <w:rPr>
          <w:rFonts w:ascii="Arial" w:cs="Arial" w:eastAsia="Arial" w:hAnsi="Arial"/>
          <w:color w:val="666666"/>
          <w:sz w:val="20"/>
          <w:szCs w:val="20"/>
        </w:rPr>
        <w:t xml:space="preserve">  • Note: The hire date cutoff (Jan 1, 2010) does NOT align with tier boundaries (Sep 1, 2004 / Jul 1, 2011). A Tier 2 member hired March 1, 2008 IS eligible. A Tier 2 member hired Feb 1, 2010 is NOT eligible.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Robert Martinez (Case 1): hired 1997, eligible, $52,000 payout boosts final month. Jennifer Kim (Case 2): hired March 2008, eligible for leave payout (hired before Jan 1, 2010). David Washington (Case 3): hired Sep 2012, NOT eligible. Test the hire-date boundary independent of tier.</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 (eligibility based on hire date, not tier)</w:t>
      </w:r>
    </w:p>
    <w:p>
      <w:pPr>
        <w:pStyle w:val="Heading2"/>
        <w:spacing w:before="280" w:after="160"/>
      </w:pPr>
      <w:r>
        <w:rPr>
          <w:rFonts w:ascii="Arial" w:cs="Arial" w:eastAsia="Arial" w:hAnsi="Arial"/>
          <w:b/>
          <w:bCs/>
          <w:color w:val="2E75B6"/>
          <w:sz w:val="26"/>
          <w:szCs w:val="26"/>
        </w:rPr>
        <w:t xml:space="preserve">4.4 — RULE-FURLOUGH</w:t>
      </w:r>
    </w:p>
    <w:p>
      <w:pPr>
        <w:pBdr>
          <w:bottom w:val="single" w:color="2E75B6" w:sz="2"/>
        </w:pBdr>
        <w:spacing w:before="240" w:after="80"/>
      </w:pPr>
      <w:r>
        <w:rPr>
          <w:rFonts w:ascii="Consolas" w:cs="Consolas" w:eastAsia="Consolas" w:hAnsi="Consolas"/>
          <w:b/>
          <w:bCs/>
          <w:color w:val="2E75B6"/>
          <w:sz w:val="22"/>
          <w:szCs w:val="22"/>
        </w:rPr>
        <w:t xml:space="preserve">RULE-FURLOUGH</w:t>
      </w:r>
      <w:r>
        <w:rPr>
          <w:rFonts w:ascii="Arial" w:cs="Arial" w:eastAsia="Arial" w:hAnsi="Arial"/>
          <w:b/>
          <w:bCs/>
          <w:color w:val="1B3A5C"/>
          <w:sz w:val="22"/>
          <w:szCs w:val="22"/>
        </w:rPr>
        <w:t xml:space="preserve">  Furlough Impact on AMS</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If furlough days fall within the AMS window, they reduce pensionable salary for those months. Members may purchase furlough days to negate this impact.</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 (definitions), operational practice  </w:t>
      </w:r>
      <w:r>
        <w:rPr>
          <w:rFonts w:ascii="Arial" w:cs="Arial" w:eastAsia="Arial" w:hAnsi="Arial"/>
          <w:b/>
          <w:bCs/>
          <w:color w:val="D4830A"/>
          <w:sz w:val="20"/>
          <w:szCs w:val="20"/>
        </w:rPr>
        <w:t xml:space="preserve">⚠️ ASSUMED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Furlough purchase mechanism exists but specific cost calculation and process details are not fully documented in available RMC sections. This rule is included for completeness but no demo case exercises it.</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[Q-FURLOUGH-01] What is the cost formula for purchasing furlough days? Is it the same actuarial methodology as service purchase?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No demo case currently exercises this. If included in POC, would need a synthetic member with furlough in AMS window to test before/after impact.</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4.5 — RULE-BENEFIT-T1</w:t>
      </w:r>
    </w:p>
    <w:p>
      <w:pPr>
        <w:pBdr>
          <w:bottom w:val="single" w:color="2E75B6" w:sz="2"/>
        </w:pBdr>
        <w:spacing w:before="240" w:after="80"/>
      </w:pPr>
      <w:r>
        <w:rPr>
          <w:rFonts w:ascii="Consolas" w:cs="Consolas" w:eastAsia="Consolas" w:hAnsi="Consolas"/>
          <w:b/>
          <w:bCs/>
          <w:color w:val="2E75B6"/>
          <w:sz w:val="22"/>
          <w:szCs w:val="22"/>
        </w:rPr>
        <w:t xml:space="preserve">RULE-BENEFIT-T1</w:t>
      </w:r>
      <w:r>
        <w:rPr>
          <w:rFonts w:ascii="Arial" w:cs="Arial" w:eastAsia="Arial" w:hAnsi="Arial"/>
          <w:b/>
          <w:bCs/>
          <w:color w:val="1B3A5C"/>
          <w:sz w:val="22"/>
          <w:szCs w:val="22"/>
        </w:rPr>
        <w:t xml:space="preserve">  Tier 1 Benefit Formula</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Monthly Benefit = AMS × 2.0% × Total Service Years (earned + purchased).</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§18-409(a)(1)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Robert Martinez (Case 1): AMS × 0.02 × 28.75. Verify to the penny against hand calculation.</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1</w:t>
      </w:r>
    </w:p>
    <w:p>
      <w:pPr>
        <w:pStyle w:val="Heading2"/>
        <w:spacing w:before="280" w:after="160"/>
      </w:pPr>
      <w:r>
        <w:rPr>
          <w:rFonts w:ascii="Arial" w:cs="Arial" w:eastAsia="Arial" w:hAnsi="Arial"/>
          <w:b/>
          <w:bCs/>
          <w:color w:val="2E75B6"/>
          <w:sz w:val="26"/>
          <w:szCs w:val="26"/>
        </w:rPr>
        <w:t xml:space="preserve">4.6 — RULE-BENEFIT-T2</w:t>
      </w:r>
    </w:p>
    <w:p>
      <w:pPr>
        <w:pBdr>
          <w:bottom w:val="single" w:color="2E75B6" w:sz="2"/>
        </w:pBdr>
        <w:spacing w:before="240" w:after="80"/>
      </w:pPr>
      <w:r>
        <w:rPr>
          <w:rFonts w:ascii="Consolas" w:cs="Consolas" w:eastAsia="Consolas" w:hAnsi="Consolas"/>
          <w:b/>
          <w:bCs/>
          <w:color w:val="2E75B6"/>
          <w:sz w:val="22"/>
          <w:szCs w:val="22"/>
        </w:rPr>
        <w:t xml:space="preserve">RULE-BENEFIT-T2</w:t>
      </w:r>
      <w:r>
        <w:rPr>
          <w:rFonts w:ascii="Arial" w:cs="Arial" w:eastAsia="Arial" w:hAnsi="Arial"/>
          <w:b/>
          <w:bCs/>
          <w:color w:val="1B3A5C"/>
          <w:sz w:val="22"/>
          <w:szCs w:val="22"/>
        </w:rPr>
        <w:t xml:space="preserve">  Tier 2 Benefit Formula</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Monthly Benefit = AMS × 1.5% × Total Service Years (earned + purchased).</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§18-409(a)(2)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Jennifer Kim (Case 2): $7,347.62 × 0.015 × 21.17 = $2,332.96. Verify to the penny.</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2</w:t>
      </w:r>
    </w:p>
    <w:p>
      <w:pPr>
        <w:pStyle w:val="Heading2"/>
        <w:spacing w:before="280" w:after="160"/>
      </w:pPr>
      <w:r>
        <w:rPr>
          <w:rFonts w:ascii="Arial" w:cs="Arial" w:eastAsia="Arial" w:hAnsi="Arial"/>
          <w:b/>
          <w:bCs/>
          <w:color w:val="2E75B6"/>
          <w:sz w:val="26"/>
          <w:szCs w:val="26"/>
        </w:rPr>
        <w:t xml:space="preserve">4.7 — RULE-BENEFIT-T3</w:t>
      </w:r>
    </w:p>
    <w:p>
      <w:pPr>
        <w:pBdr>
          <w:bottom w:val="single" w:color="2E75B6" w:sz="2"/>
        </w:pBdr>
        <w:spacing w:before="240" w:after="80"/>
      </w:pPr>
      <w:r>
        <w:rPr>
          <w:rFonts w:ascii="Consolas" w:cs="Consolas" w:eastAsia="Consolas" w:hAnsi="Consolas"/>
          <w:b/>
          <w:bCs/>
          <w:color w:val="2E75B6"/>
          <w:sz w:val="22"/>
          <w:szCs w:val="22"/>
        </w:rPr>
        <w:t xml:space="preserve">RULE-BENEFIT-T3</w:t>
      </w:r>
      <w:r>
        <w:rPr>
          <w:rFonts w:ascii="Arial" w:cs="Arial" w:eastAsia="Arial" w:hAnsi="Arial"/>
          <w:b/>
          <w:bCs/>
          <w:color w:val="1B3A5C"/>
          <w:sz w:val="22"/>
          <w:szCs w:val="22"/>
        </w:rPr>
        <w:t xml:space="preserve">  Tier 3 Benefit Formula</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Monthly Benefit = AMS × 1.5% × Total Service Years (earned + purchased).</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§18-409(a)(3)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David Washington (Case 3): verify against hand calculation. Note: same multiplier as Tier 2 but different AMS window (60 vs 36 months).</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3</w:t>
      </w:r>
    </w:p>
    <w:p>
      <w:pPr>
        <w:pStyle w:val="Heading2"/>
        <w:spacing w:before="280" w:after="160"/>
      </w:pPr>
      <w:r>
        <w:rPr>
          <w:rFonts w:ascii="Arial" w:cs="Arial" w:eastAsia="Arial" w:hAnsi="Arial"/>
          <w:b/>
          <w:bCs/>
          <w:color w:val="2E75B6"/>
          <w:sz w:val="26"/>
          <w:szCs w:val="26"/>
        </w:rPr>
        <w:t xml:space="preserve">4.8 — RULE-REDUCTION-APPLY</w:t>
      </w:r>
    </w:p>
    <w:p>
      <w:pPr>
        <w:pBdr>
          <w:bottom w:val="single" w:color="2E75B6" w:sz="2"/>
        </w:pBdr>
        <w:spacing w:before="240" w:after="80"/>
      </w:pPr>
      <w:r>
        <w:rPr>
          <w:rFonts w:ascii="Consolas" w:cs="Consolas" w:eastAsia="Consolas" w:hAnsi="Consolas"/>
          <w:b/>
          <w:bCs/>
          <w:color w:val="2E75B6"/>
          <w:sz w:val="22"/>
          <w:szCs w:val="22"/>
        </w:rPr>
        <w:t xml:space="preserve">RULE-REDUCTION-APPLY</w:t>
      </w:r>
      <w:r>
        <w:rPr>
          <w:rFonts w:ascii="Arial" w:cs="Arial" w:eastAsia="Arial" w:hAnsi="Arial"/>
          <w:b/>
          <w:bCs/>
          <w:color w:val="1B3A5C"/>
          <w:sz w:val="22"/>
          <w:szCs w:val="22"/>
        </w:rPr>
        <w:t xml:space="preserve">  Early Retirement Reduction Application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If early retirement, multiply unreduced benefit by (1 - reduction_percentage). Reduction is permanent for lifetime.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§18-409(b)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Jennifer Kim: $2,332.96 × 0.70 = $1,633.07. David Washington: unreduced × 0.88.</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 (when early retirement applies)</w:t>
      </w:r>
    </w:p>
    <w:p>
      <w:pPr>
        <w:pStyle w:val="Heading2"/>
        <w:spacing w:before="280" w:after="160"/>
      </w:pPr>
      <w:r>
        <w:rPr>
          <w:rFonts w:ascii="Arial" w:cs="Arial" w:eastAsia="Arial" w:hAnsi="Arial"/>
          <w:b/>
          <w:bCs/>
          <w:color w:val="2E75B6"/>
          <w:sz w:val="26"/>
          <w:szCs w:val="26"/>
        </w:rPr>
        <w:t xml:space="preserve">4.9 — RULE-ROUNDING</w:t>
      </w:r>
    </w:p>
    <w:p>
      <w:pPr>
        <w:pBdr>
          <w:bottom w:val="single" w:color="2E75B6" w:sz="2"/>
        </w:pBdr>
        <w:spacing w:before="240" w:after="80"/>
      </w:pPr>
      <w:r>
        <w:rPr>
          <w:rFonts w:ascii="Consolas" w:cs="Consolas" w:eastAsia="Consolas" w:hAnsi="Consolas"/>
          <w:b/>
          <w:bCs/>
          <w:color w:val="2E75B6"/>
          <w:sz w:val="22"/>
          <w:szCs w:val="22"/>
        </w:rPr>
        <w:t xml:space="preserve">RULE-ROUNDING</w:t>
      </w:r>
      <w:r>
        <w:rPr>
          <w:rFonts w:ascii="Arial" w:cs="Arial" w:eastAsia="Arial" w:hAnsi="Arial"/>
          <w:b/>
          <w:bCs/>
          <w:color w:val="1B3A5C"/>
          <w:sz w:val="22"/>
          <w:szCs w:val="22"/>
        </w:rPr>
        <w:t xml:space="preserve">  Calculation Rounding Strategy</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Carry full precision through all intermediate calculations. Round only the final monthly benefit amount to cents (2 decimal places). Use banker's rounding (round half to even).</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BUILD_HISTORY Decision 21 — project decision, NOT confirmed by DERP  </w:t>
      </w:r>
      <w:r>
        <w:rPr>
          <w:rFonts w:ascii="Arial" w:cs="Arial" w:eastAsia="Arial" w:hAnsi="Arial"/>
          <w:b/>
          <w:bCs/>
          <w:color w:val="D4830A"/>
          <w:sz w:val="20"/>
          <w:szCs w:val="20"/>
        </w:rPr>
        <w:t xml:space="preserve">⚠️ ASSUMED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DERP's actual rounding methodology is unknown. We have assumed banker's rounding. DERP may use standard rounding (0.5 rounds up) or truncation. This could cause penny-level differences.</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[Q-CALC-01] [CRITICAL] What rounding methodology does DERP use? Standard rounding, banker's rounding, or truncation? At what stage is rounding applied?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cases at rounding boundaries (amounts ending in exactly .X50). Compare results under each rounding method to quantify impact.</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r>
        <w:br w:type="page"/>
      </w:r>
    </w:p>
    <w:p>
      <w:pPr>
        <w:pStyle w:val="Heading1"/>
        <w:spacing w:before="360" w:after="200"/>
      </w:pPr>
      <w:r>
        <w:rPr>
          <w:rFonts w:ascii="Arial" w:cs="Arial" w:eastAsia="Arial" w:hAnsi="Arial"/>
          <w:b/>
          <w:bCs/>
          <w:color w:val="1B3A5C"/>
          <w:sz w:val="32"/>
          <w:szCs w:val="32"/>
        </w:rPr>
        <w:t xml:space="preserve">Category 5: Payment Options &amp; Spousal Consent</w:t>
      </w:r>
    </w:p>
    <w:p>
      <w:pPr>
        <w:spacing w:after="120"/>
      </w:pPr>
      <w:r>
        <w:rPr>
          <w:rFonts w:ascii="Arial" w:cs="Arial" w:eastAsia="Arial" w:hAnsi="Arial"/>
          <w:sz w:val="20"/>
          <w:szCs w:val="20"/>
        </w:rPr>
        <w:t xml:space="preserve">Payment option selection determines the lifetime benefit structure. J&amp;S options reduce the member's benefit in exchange for survivor protection. Spousal consent requirements protect marital interests. All elections are irrevocable.</w:t>
      </w:r>
    </w:p>
    <w:p>
      <w:pPr>
        <w:pStyle w:val="Heading2"/>
        <w:spacing w:before="280" w:after="160"/>
      </w:pPr>
      <w:r>
        <w:rPr>
          <w:rFonts w:ascii="Arial" w:cs="Arial" w:eastAsia="Arial" w:hAnsi="Arial"/>
          <w:b/>
          <w:bCs/>
          <w:color w:val="2E75B6"/>
          <w:sz w:val="26"/>
          <w:szCs w:val="26"/>
        </w:rPr>
        <w:t xml:space="preserve">5.0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Name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Open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RULE-PAY-MAXIMUM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Maximum Benefit (Single Life Annuity)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RULE-JS-100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100% Joint &amp; Survivor Option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RULE-JS-75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75% Joint &amp; Survivor Option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RULE-JS-50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50% Joint &amp; Survivor Option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RULE-JS-DEFAULT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Default Payment Option for Married Members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RULE-SPOUSAL-CONSENT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Spousal Consent Requirement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RULE-BENEFICIARY-PREDECEASE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Beneficiary Predeceases Member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bl>
    <w:p>
      <w:pPr>
        <w:spacing w:after="20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5.1 — RULE-PAY-MAXIMUM</w:t>
      </w:r>
    </w:p>
    <w:p>
      <w:pPr>
        <w:pBdr>
          <w:bottom w:val="single" w:color="2E75B6" w:sz="2"/>
        </w:pBdr>
        <w:spacing w:before="240" w:after="80"/>
      </w:pPr>
      <w:r>
        <w:rPr>
          <w:rFonts w:ascii="Consolas" w:cs="Consolas" w:eastAsia="Consolas" w:hAnsi="Consolas"/>
          <w:b/>
          <w:bCs/>
          <w:color w:val="2E75B6"/>
          <w:sz w:val="22"/>
          <w:szCs w:val="22"/>
        </w:rPr>
        <w:t xml:space="preserve">RULE-PAY-MAXIMUM</w:t>
      </w:r>
      <w:r>
        <w:rPr>
          <w:rFonts w:ascii="Arial" w:cs="Arial" w:eastAsia="Arial" w:hAnsi="Arial"/>
          <w:b/>
          <w:bCs/>
          <w:color w:val="1B3A5C"/>
          <w:sz w:val="22"/>
          <w:szCs w:val="22"/>
        </w:rPr>
        <w:t xml:space="preserve">  Maximum Benefit (Single Life Annuity)</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The maximum benefit is the full calculated monthly amount with no survivor protection. Payments continue for member's lifetime only; all payments cease upon death.</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§18-410(a)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Verify maximum equals the formula output (after reduction if applicable, after DRO split if applicable).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5.2 — RULE-JS-100</w:t>
      </w:r>
    </w:p>
    <w:p>
      <w:pPr>
        <w:pBdr>
          <w:bottom w:val="single" w:color="2E75B6" w:sz="2"/>
        </w:pBdr>
        <w:spacing w:before="240" w:after="80"/>
      </w:pPr>
      <w:r>
        <w:rPr>
          <w:rFonts w:ascii="Consolas" w:cs="Consolas" w:eastAsia="Consolas" w:hAnsi="Consolas"/>
          <w:b/>
          <w:bCs/>
          <w:color w:val="2E75B6"/>
          <w:sz w:val="22"/>
          <w:szCs w:val="22"/>
        </w:rPr>
        <w:t xml:space="preserve">RULE-JS-100</w:t>
      </w:r>
      <w:r>
        <w:rPr>
          <w:rFonts w:ascii="Arial" w:cs="Arial" w:eastAsia="Arial" w:hAnsi="Arial"/>
          <w:b/>
          <w:bCs/>
          <w:color w:val="1B3A5C"/>
          <w:sz w:val="22"/>
          <w:szCs w:val="22"/>
        </w:rPr>
        <w:t xml:space="preserve">  100% Joint &amp; Survivor Option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Reduced benefit that, upon member's death, continues at 100% of the member's reduced amount to the designated beneficiary for life.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§18-410(a)(1)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Actuarial factors for J&amp;S options are NOT available. POC uses placeholder factors (100% J&amp;S: 0.8850). Actual factors depend on member age, beneficiary age, and DERP's actuarial tables.</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[Q-CALC-04] [CRITICAL] Can DERP provide the actuarial factor tables for J&amp;S calculations? Factors by member age, beneficiary age, and J&amp;S percentage.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Using placeholder factors: verify calculation is maximum × factor. When real factors obtained, recalculate all demo cases.</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5.3 — RULE-JS-75</w:t>
      </w:r>
    </w:p>
    <w:p>
      <w:pPr>
        <w:pBdr>
          <w:bottom w:val="single" w:color="2E75B6" w:sz="2"/>
        </w:pBdr>
        <w:spacing w:before="240" w:after="80"/>
      </w:pPr>
      <w:r>
        <w:rPr>
          <w:rFonts w:ascii="Consolas" w:cs="Consolas" w:eastAsia="Consolas" w:hAnsi="Consolas"/>
          <w:b/>
          <w:bCs/>
          <w:color w:val="2E75B6"/>
          <w:sz w:val="22"/>
          <w:szCs w:val="22"/>
        </w:rPr>
        <w:t xml:space="preserve">RULE-JS-75</w:t>
      </w:r>
      <w:r>
        <w:rPr>
          <w:rFonts w:ascii="Arial" w:cs="Arial" w:eastAsia="Arial" w:hAnsi="Arial"/>
          <w:b/>
          <w:bCs/>
          <w:color w:val="1B3A5C"/>
          <w:sz w:val="22"/>
          <w:szCs w:val="22"/>
        </w:rPr>
        <w:t xml:space="preserve">  75% Joint &amp; Survivor Option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Reduced benefit that, upon member's death, continues at 75% of the member's reduced amount to the designated beneficiary for life.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§18-410(a)(1)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Placeholder factor: 0.9150. Same dependency on actual actuarial tables.</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Robert Martinez (Case 1) elects 75% J&amp;S with Elena. Verify: member benefit = maximum × 0.9150; survivor = member benefit × 0.75.</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5.4 — RULE-JS-50</w:t>
      </w:r>
    </w:p>
    <w:p>
      <w:pPr>
        <w:pBdr>
          <w:bottom w:val="single" w:color="2E75B6" w:sz="2"/>
        </w:pBdr>
        <w:spacing w:before="240" w:after="80"/>
      </w:pPr>
      <w:r>
        <w:rPr>
          <w:rFonts w:ascii="Consolas" w:cs="Consolas" w:eastAsia="Consolas" w:hAnsi="Consolas"/>
          <w:b/>
          <w:bCs/>
          <w:color w:val="2E75B6"/>
          <w:sz w:val="22"/>
          <w:szCs w:val="22"/>
        </w:rPr>
        <w:t xml:space="preserve">RULE-JS-50</w:t>
      </w:r>
      <w:r>
        <w:rPr>
          <w:rFonts w:ascii="Arial" w:cs="Arial" w:eastAsia="Arial" w:hAnsi="Arial"/>
          <w:b/>
          <w:bCs/>
          <w:color w:val="1B3A5C"/>
          <w:sz w:val="22"/>
          <w:szCs w:val="22"/>
        </w:rPr>
        <w:t xml:space="preserve">  50% Joint &amp; Survivor Option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Reduced benefit that, upon member's death, continues at 50% of the member's reduced amount to the designated beneficiary for life.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§18-410(a)(1)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Placeholder factor: 0.9450. Default option for married members who fail to make an election.</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Verify: member benefit = maximum × 0.9450; survivor = member benefit × 0.50.</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5.5 — RULE-JS-DEFAULT</w:t>
      </w:r>
    </w:p>
    <w:p>
      <w:pPr>
        <w:pBdr>
          <w:bottom w:val="single" w:color="2E75B6" w:sz="2"/>
        </w:pBdr>
        <w:spacing w:before="240" w:after="80"/>
      </w:pPr>
      <w:r>
        <w:rPr>
          <w:rFonts w:ascii="Consolas" w:cs="Consolas" w:eastAsia="Consolas" w:hAnsi="Consolas"/>
          <w:b/>
          <w:bCs/>
          <w:color w:val="2E75B6"/>
          <w:sz w:val="22"/>
          <w:szCs w:val="22"/>
        </w:rPr>
        <w:t xml:space="preserve">RULE-JS-DEFAULT</w:t>
      </w:r>
      <w:r>
        <w:rPr>
          <w:rFonts w:ascii="Arial" w:cs="Arial" w:eastAsia="Arial" w:hAnsi="Arial"/>
          <w:b/>
          <w:bCs/>
          <w:color w:val="1B3A5C"/>
          <w:sz w:val="22"/>
          <w:szCs w:val="22"/>
        </w:rPr>
        <w:t xml:space="preserve">  Default Payment Option for Married Members</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If a married member fails to elect a payment option, the default is 50% J&amp;S with spouse as beneficiary.</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§18-410(a)(1) — confirmed in RMC verification v3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married member with no election recorded → system defaults to 50% J&amp;S. Unmarried member with no election → Maximum.</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5.6 — RULE-SPOUSAL-CONSENT</w:t>
      </w:r>
    </w:p>
    <w:p>
      <w:pPr>
        <w:pBdr>
          <w:bottom w:val="single" w:color="2E75B6" w:sz="2"/>
        </w:pBdr>
        <w:spacing w:before="240" w:after="80"/>
      </w:pPr>
      <w:r>
        <w:rPr>
          <w:rFonts w:ascii="Consolas" w:cs="Consolas" w:eastAsia="Consolas" w:hAnsi="Consolas"/>
          <w:b/>
          <w:bCs/>
          <w:color w:val="2E75B6"/>
          <w:sz w:val="22"/>
          <w:szCs w:val="22"/>
        </w:rPr>
        <w:t xml:space="preserve">RULE-SPOUSAL-CONSENT</w:t>
      </w:r>
      <w:r>
        <w:rPr>
          <w:rFonts w:ascii="Arial" w:cs="Arial" w:eastAsia="Arial" w:hAnsi="Arial"/>
          <w:b/>
          <w:bCs/>
          <w:color w:val="1B3A5C"/>
          <w:sz w:val="22"/>
          <w:szCs w:val="22"/>
        </w:rPr>
        <w:t xml:space="preserve">  Spousal Consent Requirement</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If married, spouse must be designated as beneficiary for at least 50% J&amp;S option UNLESS spouse provides notarized written consent to waive this right. Consent form cannot be signed/submitted more than 90 days before first payment. Consent is irrevocable.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§18-410(a)(1), Spousal Consent At Retirement form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married member elects Maximum without spousal consent → blocked. Married member elects 50% J&amp;S with non-spouse beneficiary → requires consent. Married member elects 75% J&amp;S with spouse → no consent needed. 90-day timing validation.</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5.7 — RULE-BENEFICIARY-PREDECEASE</w:t>
      </w:r>
    </w:p>
    <w:p>
      <w:pPr>
        <w:pBdr>
          <w:bottom w:val="single" w:color="2E75B6" w:sz="2"/>
        </w:pBdr>
        <w:spacing w:before="240" w:after="80"/>
      </w:pPr>
      <w:r>
        <w:rPr>
          <w:rFonts w:ascii="Consolas" w:cs="Consolas" w:eastAsia="Consolas" w:hAnsi="Consolas"/>
          <w:b/>
          <w:bCs/>
          <w:color w:val="2E75B6"/>
          <w:sz w:val="22"/>
          <w:szCs w:val="22"/>
        </w:rPr>
        <w:t xml:space="preserve">RULE-BENEFICIARY-PREDECEASE</w:t>
      </w:r>
      <w:r>
        <w:rPr>
          <w:rFonts w:ascii="Arial" w:cs="Arial" w:eastAsia="Arial" w:hAnsi="Arial"/>
          <w:b/>
          <w:bCs/>
          <w:color w:val="1B3A5C"/>
          <w:sz w:val="22"/>
          <w:szCs w:val="22"/>
        </w:rPr>
        <w:t xml:space="preserve">  Beneficiary Predeceases Member</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If J&amp;S beneficiary predeceases the member, the member's benefit is increased prospectively to the Maximum (single life) amount. Member may NOT select a new beneficiary.</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Retirement Application Page 2 — explicit statement on form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beneficiary death event → member benefit recalculated to Maximum. No new beneficiary election allowed.</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r>
        <w:br w:type="page"/>
      </w:r>
    </w:p>
    <w:p>
      <w:pPr>
        <w:pStyle w:val="Heading1"/>
        <w:spacing w:before="360" w:after="200"/>
      </w:pPr>
      <w:r>
        <w:rPr>
          <w:rFonts w:ascii="Arial" w:cs="Arial" w:eastAsia="Arial" w:hAnsi="Arial"/>
          <w:b/>
          <w:bCs/>
          <w:color w:val="1B3A5C"/>
          <w:sz w:val="32"/>
          <w:szCs w:val="32"/>
        </w:rPr>
        <w:t xml:space="preserve">Category 6: Domestic Relations Orders (DRO)</w:t>
      </w:r>
    </w:p>
    <w:p>
      <w:pPr>
        <w:spacing w:after="120"/>
      </w:pPr>
      <w:r>
        <w:rPr>
          <w:rFonts w:ascii="Arial" w:cs="Arial" w:eastAsia="Arial" w:hAnsi="Arial"/>
          <w:sz w:val="20"/>
          <w:szCs w:val="20"/>
        </w:rPr>
        <w:t xml:space="preserve">DRO rules govern the division of pension benefits pursuant to court orders from divorce proceedings. The critical principle is sequencing: DRO split happens FIRST, before payment option selection. The alternate payee's amount is independent of the member's J&amp;S election.</w:t>
      </w:r>
    </w:p>
    <w:p>
      <w:pPr>
        <w:pStyle w:val="Heading2"/>
        <w:spacing w:before="280" w:after="160"/>
      </w:pPr>
      <w:r>
        <w:rPr>
          <w:rFonts w:ascii="Arial" w:cs="Arial" w:eastAsia="Arial" w:hAnsi="Arial"/>
          <w:b/>
          <w:bCs/>
          <w:color w:val="2E75B6"/>
          <w:sz w:val="26"/>
          <w:szCs w:val="26"/>
        </w:rPr>
        <w:t xml:space="preserve">6.0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Name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Open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RULE-DRO-MARITAL-SHARE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DRO Marital Share Calculation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RULE-DRO-SEQUENCE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DRO Split Before Payment Option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RULE-DRO-METHODS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DRO Division Methods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RULE-DRO-NO-IPR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DRO Alternate Payee IPR Exclusion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RULE-DRO-NO-HEALTH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DRO Alternate Payee Health Insurance Exclusion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RULE-DRO-COLA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DRO and COLA Applicability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ASSUMED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bl>
    <w:p>
      <w:pPr>
        <w:spacing w:after="20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6.1 — RULE-DRO-MARITAL-SHARE</w:t>
      </w:r>
    </w:p>
    <w:p>
      <w:pPr>
        <w:pBdr>
          <w:bottom w:val="single" w:color="2E75B6" w:sz="2"/>
        </w:pBdr>
        <w:spacing w:before="240" w:after="80"/>
      </w:pPr>
      <w:r>
        <w:rPr>
          <w:rFonts w:ascii="Consolas" w:cs="Consolas" w:eastAsia="Consolas" w:hAnsi="Consolas"/>
          <w:b/>
          <w:bCs/>
          <w:color w:val="2E75B6"/>
          <w:sz w:val="22"/>
          <w:szCs w:val="22"/>
        </w:rPr>
        <w:t xml:space="preserve">RULE-DRO-MARITAL-SHARE</w:t>
      </w:r>
      <w:r>
        <w:rPr>
          <w:rFonts w:ascii="Arial" w:cs="Arial" w:eastAsia="Arial" w:hAnsi="Arial"/>
          <w:b/>
          <w:bCs/>
          <w:color w:val="1B3A5C"/>
          <w:sz w:val="22"/>
          <w:szCs w:val="22"/>
        </w:rPr>
        <w:t xml:space="preserve">  DRO Marital Share Calculation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Marital fraction = service credit during marriage / total service credit at retirement. Marital share = maximum benefit × marital fraction. Alternate payee receives their awarded percentage of the marital share.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§18-418(b), doc07-domestic-relations-orders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Service during marriage is calculated from marriage date to divorce date, overlapping with employment period only. If marriage predates employment, marital service starts at hire date.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Case 4: marriage Aug 15, 1999 to Nov 3, 2017 = 18.25 years of marital service. Fraction: 18.25/28.75 = 63.48%. Patricia gets 40% of marital share.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6.2 — RULE-DRO-SEQUENCE</w:t>
      </w:r>
    </w:p>
    <w:p>
      <w:pPr>
        <w:pBdr>
          <w:bottom w:val="single" w:color="2E75B6" w:sz="2"/>
        </w:pBdr>
        <w:spacing w:before="240" w:after="80"/>
      </w:pPr>
      <w:r>
        <w:rPr>
          <w:rFonts w:ascii="Consolas" w:cs="Consolas" w:eastAsia="Consolas" w:hAnsi="Consolas"/>
          <w:b/>
          <w:bCs/>
          <w:color w:val="2E75B6"/>
          <w:sz w:val="22"/>
          <w:szCs w:val="22"/>
        </w:rPr>
        <w:t xml:space="preserve">RULE-DRO-SEQUENCE</w:t>
      </w:r>
      <w:r>
        <w:rPr>
          <w:rFonts w:ascii="Arial" w:cs="Arial" w:eastAsia="Arial" w:hAnsi="Arial"/>
          <w:b/>
          <w:bCs/>
          <w:color w:val="1B3A5C"/>
          <w:sz w:val="22"/>
          <w:szCs w:val="22"/>
        </w:rPr>
        <w:t xml:space="preserve">  DRO Split Before Payment Option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DRO split is calculated on the Maximum (single life) benefit FIRST. The member's remaining benefit (after DRO) is then subject to J&amp;S option selection. The alternate payee's amount is NOT affected by the member's payment option election.</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§18-418(b), doc07 Section 6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Case 4: DRO split from maximum, THEN 75% J&amp;S applied to remainder. Patricia's $1,553.24 is unaffected by Robert's J&amp;S election. This is the single most important sequencing rule for DRO cases.</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6.3 — RULE-DRO-METHODS</w:t>
      </w:r>
    </w:p>
    <w:p>
      <w:pPr>
        <w:pBdr>
          <w:bottom w:val="single" w:color="2E75B6" w:sz="2"/>
        </w:pBdr>
        <w:spacing w:before="240" w:after="80"/>
      </w:pPr>
      <w:r>
        <w:rPr>
          <w:rFonts w:ascii="Consolas" w:cs="Consolas" w:eastAsia="Consolas" w:hAnsi="Consolas"/>
          <w:b/>
          <w:bCs/>
          <w:color w:val="2E75B6"/>
          <w:sz w:val="22"/>
          <w:szCs w:val="22"/>
        </w:rPr>
        <w:t xml:space="preserve">RULE-DRO-METHODS</w:t>
      </w:r>
      <w:r>
        <w:rPr>
          <w:rFonts w:ascii="Arial" w:cs="Arial" w:eastAsia="Arial" w:hAnsi="Arial"/>
          <w:b/>
          <w:bCs/>
          <w:color w:val="1B3A5C"/>
          <w:sz w:val="22"/>
          <w:szCs w:val="22"/>
        </w:rPr>
        <w:t xml:space="preserve">  DRO Division Methods</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DROs may divide benefits by: (a) percentage of marital share (most common), (b) fixed dollar amount, or (c) present value offset (no ongoing plan involvement).</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§18-418(b), doc07 Section 4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POC implements percentage-of-marital-share method (Case 4). Fixed dollar method is simpler but less common. Present value offset requires no system calculation.</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Case 4 demonstrates percentage method. Future test cases could add fixed-dollar method.</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6.4 — RULE-DRO-NO-IPR</w:t>
      </w:r>
    </w:p>
    <w:p>
      <w:pPr>
        <w:pBdr>
          <w:bottom w:val="single" w:color="2E75B6" w:sz="2"/>
        </w:pBdr>
        <w:spacing w:before="240" w:after="80"/>
      </w:pPr>
      <w:r>
        <w:rPr>
          <w:rFonts w:ascii="Consolas" w:cs="Consolas" w:eastAsia="Consolas" w:hAnsi="Consolas"/>
          <w:b/>
          <w:bCs/>
          <w:color w:val="2E75B6"/>
          <w:sz w:val="22"/>
          <w:szCs w:val="22"/>
        </w:rPr>
        <w:t xml:space="preserve">RULE-DRO-NO-IPR</w:t>
      </w:r>
      <w:r>
        <w:rPr>
          <w:rFonts w:ascii="Arial" w:cs="Arial" w:eastAsia="Arial" w:hAnsi="Arial"/>
          <w:b/>
          <w:bCs/>
          <w:color w:val="1B3A5C"/>
          <w:sz w:val="22"/>
          <w:szCs w:val="22"/>
        </w:rPr>
        <w:t xml:space="preserve">  DRO Alternate Payee IPR Exclusion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Former spouse receiving DRO benefits is NOT eligible for IPR (Insurance Premium Reduction).</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§18-418(b)(8)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Case 4 calculation document originally included Patricia's IPR. This must be removed per RMC verification v3.</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Case 4: verify Patricia does NOT receive IPR. Robert still receives IPR on his earned service.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6.5 — RULE-DRO-NO-HEALTH</w:t>
      </w:r>
    </w:p>
    <w:p>
      <w:pPr>
        <w:pBdr>
          <w:bottom w:val="single" w:color="2E75B6" w:sz="2"/>
        </w:pBdr>
        <w:spacing w:before="240" w:after="80"/>
      </w:pPr>
      <w:r>
        <w:rPr>
          <w:rFonts w:ascii="Consolas" w:cs="Consolas" w:eastAsia="Consolas" w:hAnsi="Consolas"/>
          <w:b/>
          <w:bCs/>
          <w:color w:val="2E75B6"/>
          <w:sz w:val="22"/>
          <w:szCs w:val="22"/>
        </w:rPr>
        <w:t xml:space="preserve">RULE-DRO-NO-HEALTH</w:t>
      </w:r>
      <w:r>
        <w:rPr>
          <w:rFonts w:ascii="Arial" w:cs="Arial" w:eastAsia="Arial" w:hAnsi="Arial"/>
          <w:b/>
          <w:bCs/>
          <w:color w:val="1B3A5C"/>
          <w:sz w:val="22"/>
          <w:szCs w:val="22"/>
        </w:rPr>
        <w:t xml:space="preserve">  DRO Alternate Payee Health Insurance Exclusion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Former spouse is NOT eligible for DERP health insurance benefits.</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§18-418(b)(8)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Verify workspace does not show health insurance options for alternate payees.</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6.6 — RULE-DRO-COLA</w:t>
      </w:r>
    </w:p>
    <w:p>
      <w:pPr>
        <w:pBdr>
          <w:bottom w:val="single" w:color="2E75B6" w:sz="2"/>
        </w:pBdr>
        <w:spacing w:before="240" w:after="80"/>
      </w:pPr>
      <w:r>
        <w:rPr>
          <w:rFonts w:ascii="Consolas" w:cs="Consolas" w:eastAsia="Consolas" w:hAnsi="Consolas"/>
          <w:b/>
          <w:bCs/>
          <w:color w:val="2E75B6"/>
          <w:sz w:val="22"/>
          <w:szCs w:val="22"/>
        </w:rPr>
        <w:t xml:space="preserve">RULE-DRO-COLA</w:t>
      </w:r>
      <w:r>
        <w:rPr>
          <w:rFonts w:ascii="Arial" w:cs="Arial" w:eastAsia="Arial" w:hAnsi="Arial"/>
          <w:b/>
          <w:bCs/>
          <w:color w:val="1B3A5C"/>
          <w:sz w:val="22"/>
          <w:szCs w:val="22"/>
        </w:rPr>
        <w:t xml:space="preserve">  DRO and COLA Applicability</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Whether the alternate payee's share participates in future COLAs depends on the specific DRO language.</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doc07 Section 4  </w:t>
      </w:r>
      <w:r>
        <w:rPr>
          <w:rFonts w:ascii="Arial" w:cs="Arial" w:eastAsia="Arial" w:hAnsi="Arial"/>
          <w:b/>
          <w:bCs/>
          <w:color w:val="D4830A"/>
          <w:sz w:val="20"/>
          <w:szCs w:val="20"/>
        </w:rPr>
        <w:t xml:space="preserve">⚠️ ASSUMED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COLA participation for alternate payees is determined by DRO order language, not plan default. Each DRO must be reviewed individually.</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[Q-DRO-03] What is DERP's default position on COLA for DRO alternate payees when the court order is silent?</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both scenarios: COLA-participating and non-participating alternate payee shares.</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r>
        <w:br w:type="page"/>
      </w:r>
    </w:p>
    <w:p>
      <w:pPr>
        <w:pStyle w:val="Heading1"/>
        <w:spacing w:before="360" w:after="200"/>
      </w:pPr>
      <w:r>
        <w:rPr>
          <w:rFonts w:ascii="Arial" w:cs="Arial" w:eastAsia="Arial" w:hAnsi="Arial"/>
          <w:b/>
          <w:bCs/>
          <w:color w:val="1B3A5C"/>
          <w:sz w:val="32"/>
          <w:szCs w:val="32"/>
        </w:rPr>
        <w:t xml:space="preserve">Category 7: Supplemental Benefits (IPR &amp; Death Benefit)</w:t>
      </w:r>
    </w:p>
    <w:p>
      <w:pPr>
        <w:spacing w:after="120"/>
      </w:pPr>
      <w:r>
        <w:rPr>
          <w:rFonts w:ascii="Arial" w:cs="Arial" w:eastAsia="Arial" w:hAnsi="Arial"/>
          <w:sz w:val="20"/>
          <w:szCs w:val="20"/>
        </w:rPr>
        <w:t xml:space="preserve">Supplemental benefits are calculated alongside the core retirement benefit. IPR provides health insurance assistance. The lump-sum death benefit is an irrevocable election made at retirement.</w:t>
      </w:r>
    </w:p>
    <w:p>
      <w:pPr>
        <w:pStyle w:val="Heading2"/>
        <w:spacing w:before="280" w:after="160"/>
      </w:pPr>
      <w:r>
        <w:rPr>
          <w:rFonts w:ascii="Arial" w:cs="Arial" w:eastAsia="Arial" w:hAnsi="Arial"/>
          <w:b/>
          <w:bCs/>
          <w:color w:val="2E75B6"/>
          <w:sz w:val="26"/>
          <w:szCs w:val="26"/>
        </w:rPr>
        <w:t xml:space="preserve">7.0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Name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Open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RULE-IPR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Insurance Premium Reduction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2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RULE-DEATH-NORMAL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Lump-Sum Death Benefit (Normal/Rule of 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RULE-DEATH-EARLY-T12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Lump-Sum Death Benefit (Early Retirement, Tiers 1 &amp; 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RULE-DEATH-EARLY-T3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Lump-Sum Death Benefit (Early Retirement, Tier 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RULE-DEATH-ELECTION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Death Benefit Election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RULE-DEATH-REEMPLOY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Death Benefit Re-Employment Exclusion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bl>
    <w:p>
      <w:pPr>
        <w:spacing w:after="20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7.1 — RULE-IPR</w:t>
      </w:r>
    </w:p>
    <w:p>
      <w:pPr>
        <w:pBdr>
          <w:bottom w:val="single" w:color="2E75B6" w:sz="2"/>
        </w:pBdr>
        <w:spacing w:before="240" w:after="80"/>
      </w:pPr>
      <w:r>
        <w:rPr>
          <w:rFonts w:ascii="Consolas" w:cs="Consolas" w:eastAsia="Consolas" w:hAnsi="Consolas"/>
          <w:b/>
          <w:bCs/>
          <w:color w:val="2E75B6"/>
          <w:sz w:val="22"/>
          <w:szCs w:val="22"/>
        </w:rPr>
        <w:t xml:space="preserve">RULE-IPR</w:t>
      </w:r>
      <w:r>
        <w:rPr>
          <w:rFonts w:ascii="Arial" w:cs="Arial" w:eastAsia="Arial" w:hAnsi="Arial"/>
          <w:b/>
          <w:bCs/>
          <w:color w:val="1B3A5C"/>
          <w:sz w:val="22"/>
          <w:szCs w:val="22"/>
        </w:rPr>
        <w:t xml:space="preserve">  Insurance Premium Reduction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IPR provides a monthly supplement: $12.50 per year of earned service (non-Medicare eligible) or $6.25 per year of earned service (Medicare eligible). Purchased service is EXCLUDED from IPR calculation.</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§18-412, process definition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IPR uses EARNED service only. This is consistent with the purchased-service exclusion principle.</w:t>
      </w:r>
    </w:p>
    <w:p>
      <w:pPr>
        <w:spacing w:after="120"/>
      </w:pPr>
      <w:r>
        <w:rPr>
          <w:rFonts w:ascii="Arial" w:cs="Arial" w:eastAsia="Arial" w:hAnsi="Arial"/>
          <w:color w:val="666666"/>
          <w:sz w:val="20"/>
          <w:szCs w:val="20"/>
        </w:rPr>
        <w:t xml:space="preserve">  • Medicare eligibility is typically at age 65, but members may become Medicare-eligible earlier through disability. For POC, we assume age 65 = Medicare transition point.</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Robert Martinez: 28.75 earned years × $12.50 = $359.38/month (pre-Medicare). Test transition to $6.25 rate at Medicare eligibility.</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7.2 — RULE-DEATH-NORMAL</w:t>
      </w:r>
    </w:p>
    <w:p>
      <w:pPr>
        <w:pBdr>
          <w:bottom w:val="single" w:color="2E75B6" w:sz="2"/>
        </w:pBdr>
        <w:spacing w:before="240" w:after="80"/>
      </w:pPr>
      <w:r>
        <w:rPr>
          <w:rFonts w:ascii="Consolas" w:cs="Consolas" w:eastAsia="Consolas" w:hAnsi="Consolas"/>
          <w:b/>
          <w:bCs/>
          <w:color w:val="2E75B6"/>
          <w:sz w:val="22"/>
          <w:szCs w:val="22"/>
        </w:rPr>
        <w:t xml:space="preserve">RULE-DEATH-NORMAL</w:t>
      </w:r>
      <w:r>
        <w:rPr>
          <w:rFonts w:ascii="Arial" w:cs="Arial" w:eastAsia="Arial" w:hAnsi="Arial"/>
          <w:b/>
          <w:bCs/>
          <w:color w:val="1B3A5C"/>
          <w:sz w:val="22"/>
          <w:szCs w:val="22"/>
        </w:rPr>
        <w:t xml:space="preserve">  Lump-Sum Death Benefit (Normal/Rule of 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 normal retirement, Rule of 75, Rule of 85, or Disability Retirement after age 65: lump-sum death benefit is $5,000.</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§18-411(d)(1-2), Retirement Application Part C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Must retire directly from active service to be eligible. Deferred retirees are NOT eligible.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Robert Martinez (Cases 1 &amp; 4): $5,000. Verify deferred members get $0.</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7.3 — RULE-DEATH-EARLY-T12</w:t>
      </w:r>
    </w:p>
    <w:p>
      <w:pPr>
        <w:pBdr>
          <w:bottom w:val="single" w:color="2E75B6" w:sz="2"/>
        </w:pBdr>
        <w:spacing w:before="240" w:after="80"/>
      </w:pPr>
      <w:r>
        <w:rPr>
          <w:rFonts w:ascii="Consolas" w:cs="Consolas" w:eastAsia="Consolas" w:hAnsi="Consolas"/>
          <w:b/>
          <w:bCs/>
          <w:color w:val="2E75B6"/>
          <w:sz w:val="22"/>
          <w:szCs w:val="22"/>
        </w:rPr>
        <w:t xml:space="preserve">RULE-DEATH-EARLY-T12</w:t>
      </w:r>
      <w:r>
        <w:rPr>
          <w:rFonts w:ascii="Arial" w:cs="Arial" w:eastAsia="Arial" w:hAnsi="Arial"/>
          <w:b/>
          <w:bCs/>
          <w:color w:val="1B3A5C"/>
          <w:sz w:val="22"/>
          <w:szCs w:val="22"/>
        </w:rPr>
        <w:t xml:space="preserve">  Lump-Sum Death Benefit (Early Retirement, Tiers 1 &amp; 2)</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 early retirement: $5,000 minus $250 per completed year under age 65. RMC provides statutory dollar-amount table by integer age (age 55 = $2,500, age 56 = $2,750, ..., age 64 = $4,750).</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§18-411(d)(1) — statutory table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Integer-age approach confirmed by statutory dollar-amount table (not formula-based; explicit amounts per age).</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Jennifer Kim (Case 2): age 55, $2,500. Test each age from 55-64.</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Tiers 1 and 2</w:t>
      </w:r>
    </w:p>
    <w:p>
      <w:pPr>
        <w:pStyle w:val="Heading2"/>
        <w:spacing w:before="280" w:after="160"/>
      </w:pPr>
      <w:r>
        <w:rPr>
          <w:rFonts w:ascii="Arial" w:cs="Arial" w:eastAsia="Arial" w:hAnsi="Arial"/>
          <w:b/>
          <w:bCs/>
          <w:color w:val="2E75B6"/>
          <w:sz w:val="26"/>
          <w:szCs w:val="26"/>
        </w:rPr>
        <w:t xml:space="preserve">7.4 — RULE-DEATH-EARLY-T3</w:t>
      </w:r>
    </w:p>
    <w:p>
      <w:pPr>
        <w:pBdr>
          <w:bottom w:val="single" w:color="2E75B6" w:sz="2"/>
        </w:pBdr>
        <w:spacing w:before="240" w:after="80"/>
      </w:pPr>
      <w:r>
        <w:rPr>
          <w:rFonts w:ascii="Consolas" w:cs="Consolas" w:eastAsia="Consolas" w:hAnsi="Consolas"/>
          <w:b/>
          <w:bCs/>
          <w:color w:val="2E75B6"/>
          <w:sz w:val="22"/>
          <w:szCs w:val="22"/>
        </w:rPr>
        <w:t xml:space="preserve">RULE-DEATH-EARLY-T3</w:t>
      </w:r>
      <w:r>
        <w:rPr>
          <w:rFonts w:ascii="Arial" w:cs="Arial" w:eastAsia="Arial" w:hAnsi="Arial"/>
          <w:b/>
          <w:bCs/>
          <w:color w:val="1B3A5C"/>
          <w:sz w:val="22"/>
          <w:szCs w:val="22"/>
        </w:rPr>
        <w:t xml:space="preserve">  Lump-Sum Death Benefit (Early Retirement, Tier 3)</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For early retirement: $5,000 minus $500 per completed year under age 65. Statutory table: age 60 = $2,500, age 61 = $3,000, ..., age 64 = $4,500.</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§18-411(d)(2) — statutory table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David Washington (Case 3): age 63, $4,000. Test each age from 60-64.</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Tier 3</w:t>
      </w:r>
    </w:p>
    <w:p>
      <w:pPr>
        <w:pStyle w:val="Heading2"/>
        <w:spacing w:before="280" w:after="160"/>
      </w:pPr>
      <w:r>
        <w:rPr>
          <w:rFonts w:ascii="Arial" w:cs="Arial" w:eastAsia="Arial" w:hAnsi="Arial"/>
          <w:b/>
          <w:bCs/>
          <w:color w:val="2E75B6"/>
          <w:sz w:val="26"/>
          <w:szCs w:val="26"/>
        </w:rPr>
        <w:t xml:space="preserve">7.5 — RULE-DEATH-ELECTION</w:t>
      </w:r>
    </w:p>
    <w:p>
      <w:pPr>
        <w:pBdr>
          <w:bottom w:val="single" w:color="2E75B6" w:sz="2"/>
        </w:pBdr>
        <w:spacing w:before="240" w:after="80"/>
      </w:pPr>
      <w:r>
        <w:rPr>
          <w:rFonts w:ascii="Consolas" w:cs="Consolas" w:eastAsia="Consolas" w:hAnsi="Consolas"/>
          <w:b/>
          <w:bCs/>
          <w:color w:val="2E75B6"/>
          <w:sz w:val="22"/>
          <w:szCs w:val="22"/>
        </w:rPr>
        <w:t xml:space="preserve">RULE-DEATH-ELECTION</w:t>
      </w:r>
      <w:r>
        <w:rPr>
          <w:rFonts w:ascii="Arial" w:cs="Arial" w:eastAsia="Arial" w:hAnsi="Arial"/>
          <w:b/>
          <w:bCs/>
          <w:color w:val="1B3A5C"/>
          <w:sz w:val="22"/>
          <w:szCs w:val="22"/>
        </w:rPr>
        <w:t xml:space="preserve">  Death Benefit Election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Lump-sum death benefit may be drawn in 50 or 100 equal monthly installments. This is an irrevocable election made at retirement. Disbursement is concurrent with monthly retirement benefit. Member may also elect NOT to draw the death benefit.</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§18-411(d), Retirement Application Part C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three election options (50 installments, 100 installments, do not draw). Verify installment amount = total / elected installments. Verify irrevocability.</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7.6 — RULE-DEATH-REEMPLOY</w:t>
      </w:r>
    </w:p>
    <w:p>
      <w:pPr>
        <w:pBdr>
          <w:bottom w:val="single" w:color="2E75B6" w:sz="2"/>
        </w:pBdr>
        <w:spacing w:before="240" w:after="80"/>
      </w:pPr>
      <w:r>
        <w:rPr>
          <w:rFonts w:ascii="Consolas" w:cs="Consolas" w:eastAsia="Consolas" w:hAnsi="Consolas"/>
          <w:b/>
          <w:bCs/>
          <w:color w:val="2E75B6"/>
          <w:sz w:val="22"/>
          <w:szCs w:val="22"/>
        </w:rPr>
        <w:t xml:space="preserve">RULE-DEATH-REEMPLOY</w:t>
      </w:r>
      <w:r>
        <w:rPr>
          <w:rFonts w:ascii="Arial" w:cs="Arial" w:eastAsia="Arial" w:hAnsi="Arial"/>
          <w:b/>
          <w:bCs/>
          <w:color w:val="1B3A5C"/>
          <w:sz w:val="22"/>
          <w:szCs w:val="22"/>
        </w:rPr>
        <w:t xml:space="preserve">  Death Benefit Re-Employment Exclusion</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Re-employed retirees are NOT entitled to a subsequent death benefit. The original amount from their first retirement applies.</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§18-408(j)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re-employed member's death benefit = original retirement amount, not recalculated.</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r>
        <w:br w:type="page"/>
      </w:r>
    </w:p>
    <w:p>
      <w:pPr>
        <w:pStyle w:val="Heading1"/>
        <w:spacing w:before="360" w:after="200"/>
      </w:pPr>
      <w:r>
        <w:rPr>
          <w:rFonts w:ascii="Arial" w:cs="Arial" w:eastAsia="Arial" w:hAnsi="Arial"/>
          <w:b/>
          <w:bCs/>
          <w:color w:val="1B3A5C"/>
          <w:sz w:val="32"/>
          <w:szCs w:val="32"/>
        </w:rPr>
        <w:t xml:space="preserve">Category 8: Process &amp; Timing Rules</w:t>
      </w:r>
    </w:p>
    <w:p>
      <w:pPr>
        <w:spacing w:after="120"/>
      </w:pPr>
      <w:r>
        <w:rPr>
          <w:rFonts w:ascii="Arial" w:cs="Arial" w:eastAsia="Arial" w:hAnsi="Arial"/>
          <w:sz w:val="20"/>
          <w:szCs w:val="20"/>
        </w:rPr>
        <w:t xml:space="preserve">Process rules govern application deadlines, payment processing, and the irrevocability of elections. These rules enforce the administrative framework within which benefit calculations operate.</w:t>
      </w:r>
    </w:p>
    <w:p>
      <w:pPr>
        <w:pStyle w:val="Heading2"/>
        <w:spacing w:before="280" w:after="160"/>
      </w:pPr>
      <w:r>
        <w:rPr>
          <w:rFonts w:ascii="Arial" w:cs="Arial" w:eastAsia="Arial" w:hAnsi="Arial"/>
          <w:b/>
          <w:bCs/>
          <w:color w:val="2E75B6"/>
          <w:sz w:val="26"/>
          <w:szCs w:val="26"/>
        </w:rPr>
        <w:t xml:space="preserve">8.0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Name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Open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RULE-APP-DEADLINE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Application Filing Deadline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RULE-NOTARIZATION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Application Notarization Requirement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RULE-PAYMENT-CUTOFF</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Payment Processing Cutoff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ASSUMED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1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RULE-EFFECTIVE-DATE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Retirement Effective 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1 assumptions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RULE-IRREVOCABILITY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Election Irrevocability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RULE-COLA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Cost of Living Adjustment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CONFIRMED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2 assumptions</w:t>
            </w:r>
          </w:p>
        </w:tc>
      </w:tr>
    </w:tbl>
    <w:p>
      <w:pPr>
        <w:spacing w:after="20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8.1 — RULE-APP-DEADLINE</w:t>
      </w:r>
    </w:p>
    <w:p>
      <w:pPr>
        <w:pBdr>
          <w:bottom w:val="single" w:color="2E75B6" w:sz="2"/>
        </w:pBdr>
        <w:spacing w:before="240" w:after="80"/>
      </w:pPr>
      <w:r>
        <w:rPr>
          <w:rFonts w:ascii="Consolas" w:cs="Consolas" w:eastAsia="Consolas" w:hAnsi="Consolas"/>
          <w:b/>
          <w:bCs/>
          <w:color w:val="2E75B6"/>
          <w:sz w:val="22"/>
          <w:szCs w:val="22"/>
        </w:rPr>
        <w:t xml:space="preserve">RULE-APP-DEADLINE</w:t>
      </w:r>
      <w:r>
        <w:rPr>
          <w:rFonts w:ascii="Arial" w:cs="Arial" w:eastAsia="Arial" w:hAnsi="Arial"/>
          <w:b/>
          <w:bCs/>
          <w:color w:val="1B3A5C"/>
          <w:sz w:val="22"/>
          <w:szCs w:val="22"/>
        </w:rPr>
        <w:t xml:space="preserve">  Application Filing Deadline</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Retirement application must be received within 30 calendar days of last day worked. Missing this deadline results in automatic deferred member classification with no appeal or extension.</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§18-402(10), §18-408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30 'calendar days' (not business days). Application must be RECEIVED, not postmarked.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All four demo cases pass (applications filed well within 30 days). Test boundary: day 30 = accepted; day 31 = deferred. Test: what constitutes 'received' (mail vs. in-person vs. electronic).</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8.2 — RULE-NOTARIZATION</w:t>
      </w:r>
    </w:p>
    <w:p>
      <w:pPr>
        <w:pBdr>
          <w:bottom w:val="single" w:color="2E75B6" w:sz="2"/>
        </w:pBdr>
        <w:spacing w:before="240" w:after="80"/>
      </w:pPr>
      <w:r>
        <w:rPr>
          <w:rFonts w:ascii="Consolas" w:cs="Consolas" w:eastAsia="Consolas" w:hAnsi="Consolas"/>
          <w:b/>
          <w:bCs/>
          <w:color w:val="2E75B6"/>
          <w:sz w:val="22"/>
          <w:szCs w:val="22"/>
        </w:rPr>
        <w:t xml:space="preserve">RULE-NOTARIZATION</w:t>
      </w:r>
      <w:r>
        <w:rPr>
          <w:rFonts w:ascii="Arial" w:cs="Arial" w:eastAsia="Arial" w:hAnsi="Arial"/>
          <w:b/>
          <w:bCs/>
          <w:color w:val="1B3A5C"/>
          <w:sz w:val="22"/>
          <w:szCs w:val="22"/>
        </w:rPr>
        <w:t xml:space="preserve">  Application Notarization Requirement</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Retirement application must bear notarized signature before the application can be processed.</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Retirement Application form, Spousal Consent form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Application without notarization → blocks progression past Stage 1 (Intake).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8.3 — RULE-PAYMENT-CUTOFF</w:t>
      </w:r>
    </w:p>
    <w:p>
      <w:pPr>
        <w:pBdr>
          <w:bottom w:val="single" w:color="2E75B6" w:sz="2"/>
        </w:pBdr>
        <w:spacing w:before="240" w:after="80"/>
      </w:pPr>
      <w:r>
        <w:rPr>
          <w:rFonts w:ascii="Consolas" w:cs="Consolas" w:eastAsia="Consolas" w:hAnsi="Consolas"/>
          <w:b/>
          <w:bCs/>
          <w:color w:val="2E75B6"/>
          <w:sz w:val="22"/>
          <w:szCs w:val="22"/>
        </w:rPr>
        <w:t xml:space="preserve">RULE-PAYMENT-CUTOFF</w:t>
      </w:r>
      <w:r>
        <w:rPr>
          <w:rFonts w:ascii="Arial" w:cs="Arial" w:eastAsia="Arial" w:hAnsi="Arial"/>
          <w:b/>
          <w:bCs/>
          <w:color w:val="1B3A5C"/>
          <w:sz w:val="22"/>
          <w:szCs w:val="22"/>
        </w:rPr>
        <w:t xml:space="preserve">  Payment Processing Cutoff</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Complete application package received by the 15th of the month prior to retirement effective date → first payment on time. Received after 15th → first payment delayed; combined first/second payment in following month.</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Operational practice, Retirement Application instructions  </w:t>
      </w:r>
      <w:r>
        <w:rPr>
          <w:rFonts w:ascii="Arial" w:cs="Arial" w:eastAsia="Arial" w:hAnsi="Arial"/>
          <w:b/>
          <w:bCs/>
          <w:color w:val="D4830A"/>
          <w:sz w:val="20"/>
          <w:szCs w:val="20"/>
        </w:rPr>
        <w:t xml:space="preserve">⚠️ ASSUMED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This is documented in DERP member materials but the specific cutoff date (15th) is not in the RMC. It is an operational/administrative deadline, not a statutory one.</w:t>
      </w:r>
    </w:p>
    <w:p>
      <w:pPr>
        <w:spacing w:after="120"/>
      </w:pPr>
      <w:r>
        <w:rPr>
          <w:rFonts w:ascii="Arial" w:cs="Arial" w:eastAsia="Arial" w:hAnsi="Arial"/>
          <w:b/>
          <w:bCs/>
          <w:color w:val="C0392B"/>
          <w:sz w:val="20"/>
          <w:szCs w:val="20"/>
        </w:rPr>
        <w:t xml:space="preserve">❓ Open Items:</w:t>
      </w:r>
    </w:p>
    <w:p>
      <w:pPr>
        <w:spacing w:after="120"/>
      </w:pPr>
      <w:r>
        <w:rPr>
          <w:rFonts w:ascii="Arial" w:cs="Arial" w:eastAsia="Arial" w:hAnsi="Arial"/>
          <w:color w:val="C0392B"/>
          <w:sz w:val="20"/>
          <w:szCs w:val="20"/>
        </w:rPr>
        <w:t xml:space="preserve">  • [Q-PROCESS-01] Is the 15th-of-month cutoff a hard rule or a guideline? Does it apply to the month before the effective date specifically?</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All four demo cases pass (complete packages before 15th). Test: package received March 16 for April 1 effective date → first payment delayed.</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8.4 — RULE-EFFECTIVE-DATE</w:t>
      </w:r>
    </w:p>
    <w:p>
      <w:pPr>
        <w:pBdr>
          <w:bottom w:val="single" w:color="2E75B6" w:sz="2"/>
        </w:pBdr>
        <w:spacing w:before="240" w:after="80"/>
      </w:pPr>
      <w:r>
        <w:rPr>
          <w:rFonts w:ascii="Consolas" w:cs="Consolas" w:eastAsia="Consolas" w:hAnsi="Consolas"/>
          <w:b/>
          <w:bCs/>
          <w:color w:val="2E75B6"/>
          <w:sz w:val="22"/>
          <w:szCs w:val="22"/>
        </w:rPr>
        <w:t xml:space="preserve">RULE-EFFECTIVE-DATE</w:t>
      </w:r>
      <w:r>
        <w:rPr>
          <w:rFonts w:ascii="Arial" w:cs="Arial" w:eastAsia="Arial" w:hAnsi="Arial"/>
          <w:b/>
          <w:bCs/>
          <w:color w:val="1B3A5C"/>
          <w:sz w:val="22"/>
          <w:szCs w:val="22"/>
        </w:rPr>
        <w:t xml:space="preserve">  Retirement Effective Date</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Retirement is effective on the first day of a calendar month following the last day of employment.</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§18-408, operational practice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If last day worked is March 31, effective date is April 1. If last day worked is March 15, effective date is still April 1 (next first-of-month).</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various termination dates within a month. All should produce first-of-next-month effective date.</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8.5 — RULE-IRREVOCABILITY</w:t>
      </w:r>
    </w:p>
    <w:p>
      <w:pPr>
        <w:pBdr>
          <w:bottom w:val="single" w:color="2E75B6" w:sz="2"/>
        </w:pBdr>
        <w:spacing w:before="240" w:after="80"/>
      </w:pPr>
      <w:r>
        <w:rPr>
          <w:rFonts w:ascii="Consolas" w:cs="Consolas" w:eastAsia="Consolas" w:hAnsi="Consolas"/>
          <w:b/>
          <w:bCs/>
          <w:color w:val="2E75B6"/>
          <w:sz w:val="22"/>
          <w:szCs w:val="22"/>
        </w:rPr>
        <w:t xml:space="preserve">RULE-IRREVOCABILITY</w:t>
      </w:r>
      <w:r>
        <w:rPr>
          <w:rFonts w:ascii="Arial" w:cs="Arial" w:eastAsia="Arial" w:hAnsi="Arial"/>
          <w:b/>
          <w:bCs/>
          <w:color w:val="1B3A5C"/>
          <w:sz w:val="22"/>
          <w:szCs w:val="22"/>
        </w:rPr>
        <w:t xml:space="preserve">  Election Irrevocability</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Payment option election, death benefit election, and spousal consent waiver are all irrevocable once retirement payments begin. J&amp;S beneficiary cannot be changed after retirement.</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§18-410, Retirement Application form  </w:t>
      </w:r>
      <w:r>
        <w:rPr>
          <w:rFonts w:ascii="Arial" w:cs="Arial" w:eastAsia="Arial" w:hAnsi="Arial"/>
          <w:b/>
          <w:bCs/>
          <w:color w:val="2D8B4E"/>
          <w:sz w:val="20"/>
          <w:szCs w:val="20"/>
        </w:rPr>
        <w:t xml:space="preserve">✅ CONFIRMED</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System must enforce: no election changes after Stage 5 (Payment Initiation). Pre-Stage 5 changes should be allowed.</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pPr>
        <w:pStyle w:val="Heading2"/>
        <w:spacing w:before="280" w:after="160"/>
      </w:pPr>
      <w:r>
        <w:rPr>
          <w:rFonts w:ascii="Arial" w:cs="Arial" w:eastAsia="Arial" w:hAnsi="Arial"/>
          <w:b/>
          <w:bCs/>
          <w:color w:val="2E75B6"/>
          <w:sz w:val="26"/>
          <w:szCs w:val="26"/>
        </w:rPr>
        <w:t xml:space="preserve">8.6 — RULE-COLA</w:t>
      </w:r>
    </w:p>
    <w:p>
      <w:pPr>
        <w:pBdr>
          <w:bottom w:val="single" w:color="2E75B6" w:sz="2"/>
        </w:pBdr>
        <w:spacing w:before="240" w:after="80"/>
      </w:pPr>
      <w:r>
        <w:rPr>
          <w:rFonts w:ascii="Consolas" w:cs="Consolas" w:eastAsia="Consolas" w:hAnsi="Consolas"/>
          <w:b/>
          <w:bCs/>
          <w:color w:val="2E75B6"/>
          <w:sz w:val="22"/>
          <w:szCs w:val="22"/>
        </w:rPr>
        <w:t xml:space="preserve">RULE-COLA</w:t>
      </w:r>
      <w:r>
        <w:rPr>
          <w:rFonts w:ascii="Arial" w:cs="Arial" w:eastAsia="Arial" w:hAnsi="Arial"/>
          <w:b/>
          <w:bCs/>
          <w:color w:val="1B3A5C"/>
          <w:sz w:val="22"/>
          <w:szCs w:val="22"/>
        </w:rPr>
        <w:t xml:space="preserve">  Cost of Living Adjustment</w:t>
      </w:r>
    </w:p>
    <w:p>
      <w:pPr>
        <w:spacing w:after="120"/>
      </w:pPr>
      <w:r>
        <w:rPr>
          <w:rFonts w:ascii="Arial" w:cs="Arial" w:eastAsia="Arial" w:hAnsi="Arial"/>
          <w:b/>
          <w:bCs/>
          <w:color w:val="1B3A5C"/>
          <w:sz w:val="20"/>
          <w:szCs w:val="20"/>
        </w:rPr>
        <w:t xml:space="preserve">Rule Statement: </w:t>
      </w:r>
      <w:r>
        <w:rPr>
          <w:rFonts w:ascii="Arial" w:cs="Arial" w:eastAsia="Arial" w:hAnsi="Arial"/>
          <w:sz w:val="20"/>
          <w:szCs w:val="20"/>
        </w:rPr>
        <w:t xml:space="preserve">COLA is discretionary, approved by the DERP Board. No automatic formula. Maximum 5% per year or CPI (whichever is less). First eligible January 1 of the second calendar year after retirement.</w:t>
      </w:r>
    </w:p>
    <w:p>
      <w:pPr>
        <w:spacing w:after="120"/>
      </w:pPr>
      <w:r>
        <w:rPr>
          <w:rFonts w:ascii="Arial" w:cs="Arial" w:eastAsia="Arial" w:hAnsi="Arial"/>
          <w:b/>
          <w:bCs/>
          <w:color w:val="1B3A5C"/>
          <w:sz w:val="20"/>
          <w:szCs w:val="20"/>
        </w:rPr>
        <w:t xml:space="preserve">Source: </w:t>
      </w:r>
      <w:r>
        <w:rPr>
          <w:rFonts w:ascii="Arial" w:cs="Arial" w:eastAsia="Arial" w:hAnsi="Arial"/>
          <w:sz w:val="20"/>
          <w:szCs w:val="20"/>
        </w:rPr>
        <w:t xml:space="preserve">RMC §18-414  </w:t>
      </w:r>
      <w:r>
        <w:rPr>
          <w:rFonts w:ascii="Arial" w:cs="Arial" w:eastAsia="Arial" w:hAnsi="Arial"/>
          <w:b/>
          <w:bCs/>
          <w:color w:val="2D8B4E"/>
          <w:sz w:val="20"/>
          <w:szCs w:val="20"/>
        </w:rPr>
        <w:t xml:space="preserve">✅ CONFIRMED</w:t>
      </w:r>
    </w:p>
    <w:p>
      <w:pPr>
        <w:spacing w:after="120"/>
      </w:pPr>
      <w:r>
        <w:rPr>
          <w:rFonts w:ascii="Arial" w:cs="Arial" w:eastAsia="Arial" w:hAnsi="Arial"/>
          <w:b/>
          <w:bCs/>
          <w:color w:val="D4830A"/>
          <w:sz w:val="20"/>
          <w:szCs w:val="20"/>
        </w:rPr>
        <w:t xml:space="preserve">⚠️ Assumptions Surfaced:</w:t>
      </w:r>
    </w:p>
    <w:p>
      <w:pPr>
        <w:spacing w:after="120"/>
      </w:pPr>
      <w:r>
        <w:rPr>
          <w:rFonts w:ascii="Arial" w:cs="Arial" w:eastAsia="Arial" w:hAnsi="Arial"/>
          <w:color w:val="666666"/>
          <w:sz w:val="20"/>
          <w:szCs w:val="20"/>
        </w:rPr>
        <w:t xml:space="preserve">  • COLA is board-discretionary, not calculated by the system. The system tracks eligibility dates and applies board-approved amounts. No calculation engine component needed for COLA determination.</w:t>
      </w:r>
    </w:p>
    <w:p>
      <w:pPr>
        <w:spacing w:after="120"/>
      </w:pPr>
      <w:r>
        <w:rPr>
          <w:rFonts w:ascii="Arial" w:cs="Arial" w:eastAsia="Arial" w:hAnsi="Arial"/>
          <w:color w:val="666666"/>
          <w:sz w:val="20"/>
          <w:szCs w:val="20"/>
        </w:rPr>
        <w:t xml:space="preserve">  • For POC, COLA is acknowledged in rules but not exercised in demo cases (all retire in 2026, first COLA eligibility would be January 1, 2028).</w:t>
      </w:r>
    </w:p>
    <w:p>
      <w:pPr>
        <w:spacing w:after="120"/>
      </w:pPr>
      <w:r>
        <w:rPr>
          <w:rFonts w:ascii="Arial" w:cs="Arial" w:eastAsia="Arial" w:hAnsi="Arial"/>
          <w:b/>
          <w:bCs/>
          <w:color w:val="1B3A5C"/>
          <w:sz w:val="20"/>
          <w:szCs w:val="20"/>
        </w:rPr>
        <w:t xml:space="preserve">Test Implications: </w:t>
      </w:r>
      <w:r>
        <w:rPr>
          <w:rFonts w:ascii="Arial" w:cs="Arial" w:eastAsia="Arial" w:hAnsi="Arial"/>
          <w:sz w:val="20"/>
          <w:szCs w:val="20"/>
        </w:rPr>
        <w:t xml:space="preserve">Test: COLA eligibility date correctly calculated (Jan 1 of 2nd calendar year post-retirement). April 2026 retiree → first eligible Jan 1, 2028.</w:t>
      </w:r>
    </w:p>
    <w:p>
      <w:pPr>
        <w:spacing w:after="120"/>
      </w:pPr>
      <w:r>
        <w:rPr>
          <w:rFonts w:ascii="Arial" w:cs="Arial" w:eastAsia="Arial" w:hAnsi="Arial"/>
          <w:b/>
          <w:bCs/>
          <w:color w:val="1B3A5C"/>
          <w:sz w:val="20"/>
          <w:szCs w:val="20"/>
        </w:rPr>
        <w:t xml:space="preserve">Tier Applicability: </w:t>
      </w:r>
      <w:r>
        <w:rPr>
          <w:rFonts w:ascii="Arial" w:cs="Arial" w:eastAsia="Arial" w:hAnsi="Arial"/>
          <w:sz w:val="20"/>
          <w:szCs w:val="20"/>
        </w:rPr>
        <w:t xml:space="preserve">All tiers</w:t>
      </w:r>
    </w:p>
    <w:p>
      <w:r>
        <w:br w:type="page"/>
      </w:r>
    </w:p>
    <w:p>
      <w:pPr>
        <w:pStyle w:val="Heading1"/>
        <w:spacing w:before="360" w:after="200"/>
      </w:pPr>
      <w:r>
        <w:rPr>
          <w:rFonts w:ascii="Arial" w:cs="Arial" w:eastAsia="Arial" w:hAnsi="Arial"/>
          <w:b/>
          <w:bCs/>
          <w:color w:val="1B3A5C"/>
          <w:sz w:val="32"/>
          <w:szCs w:val="32"/>
        </w:rPr>
        <w:t xml:space="preserve">Appendix A: Assumptions Register</w:t>
      </w:r>
    </w:p>
    <w:p>
      <w:pPr>
        <w:spacing w:after="120"/>
      </w:pPr>
      <w:r>
        <w:rPr>
          <w:rFonts w:ascii="Arial" w:cs="Arial" w:eastAsia="Arial" w:hAnsi="Arial"/>
          <w:sz w:val="20"/>
          <w:szCs w:val="20"/>
        </w:rPr>
        <w:t xml:space="preserve">Every assumption embedded in the rules inventory, with risk classification. HIGH risk assumptions could cause calculation errors. MEDIUM risk assumptions may cause presentation or workflow issues. LOW risk assumptions affect only seed data or non-critical features.</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Related Rule</w:t>
            </w:r>
          </w:p>
        </w:tc>
        <w:tc>
          <w:tcPr>
            <w:tcW w:type="dxa" w:w="5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Assumption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Risk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RULE-TIER-1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'terminates after Dec 31, 1999' clause means members who separated before 2000 are under a prior plan provision. Seed data must not generate Tier 1 members with termination before Jan 1, 2000.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RULE-TIER-3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is determined by INITIAL hire date, not most recent. For re-employment after retirement, RMC §18-408(j)(1) confirms new service earns under Tier 3 formula regardless of original tier, but original benefit retains original tier.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RULE-CONTRIB-EE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This is the current rate only. Historical rates needed for seed data (8.45% since at least 2014; earlier rates unknown). For the rules engine, only current rate matters.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RULE-CONTRIB-ER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Same historical rate caveat as employee contribution. Approximate: ~11% pre-2012, scaling to 17.95% current. These are estimates for seed data, not verified rates.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RULE-SVC-EARNED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Service credit calculation method (year-month vs. exact day) is NOT specified in the RMC. Our demo cases use year-month (months/12, e.g., 28 yrs 9 mo = 28.75). If DERP uses exact days, Robert Martinez would be 28.797 instead of 28.75.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RULE-VESTING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For POC scope, all synthetic members are post-1987 hires, so 5-year vesting applies. The 10-year pre-1987 rule is documented but not expected in demo cases.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RULE-VESTING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Vesting uses credited service (earned only? or earned + purchased?). RMC §18-415(a) says purchased service cannot be used for vesting, so vesting is earned-only.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RULE-RULE-OF-75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Rule uses EARNED service only (purchased excluded per RULE-SVC-PURCHASED). Confirmed by §18-415(a).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RULE-RULE-OF-75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If member terminates after meeting the sum but before reaching age 55, they must wait until age 55 to apply. They do NOT lose the Rule — they just cannot collect until minimum 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RULE-RULE-OF-85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Same partial-year calculation dependency as Rule of 75.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RULE-EARLY-REDUCE-T12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Integer-age approach confirmed by RMC statutory table. No monthly proration. Decision 18 assumed completed years only — RMC table confirms this by listing integer ages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RULE-EARLY-REDUCE-T3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Same integer-age approach as Tiers 1/2. Note: Tier 3 table increments are 6% (not uniform — 70, 76, 82, 88, 94,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RULE-DEFERRED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Automatic deferred classification after 30-day deadline is confirmed by RMC — no appeal or extension in statute.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RULE-ELIG-HIERARCHY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member who qualifies for both normal retirement (age 65+) and Rule of 75 should be classified as normal retirement. The hierarchy prevents double-classification but the benefit amount is identical.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RULE-AMS-WINDOW</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Period must be consecutive (no gaps). System must search ALL possible windows to find the highest average.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RULE-AMS-WINDOW</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How partial months at start/end of employment are handled is not specified in the RMC. Our assumption: only complete months are included.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RULE-AMS-CALC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Pensionable compensation includes base salary, longevity pay, shift differentials. Excludes bonuses, expense reimbursements, severance.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RULE-AMS-CALC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Anti-spiking provisions: unknown whether DERP caps year-over-year salary increases in the AMS window.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RULE-LEAVE-PAYOUT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leave payout is added to the FINAL month's salary before AMS window calculation. This can dramatically boost the AMS if the final month falls within the highest window.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RULE-LEAVE-PAYOUT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Note: The hire date cutoff (Jan 1, 2010) does NOT align with tier boundaries (Sep 1, 2004 / Jul 1, 2011). A Tier 2 member hired March 1, 2008 IS eligible. A Tier 2 member hired Feb 1, 2010 is NOT eligible.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RULE-FURLOUGH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Furlough purchase mechanism exists but specific cost calculation and process details are not fully documented in available RMC sections. This rule is included for completeness but no demo case exercises 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RULE-ROUNDING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DERP's actual rounding methodology is unknown. We have assumed banker's rounding. DERP may use standard rounding (0.5 rounds up) or truncation. This could cause penny-level differences.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Actuarial factors for J&amp;S options are NOT available. POC uses placeholder factors (100% J&amp;S: 0.8850). Actual factors depend on member age, beneficiary age, and DERP's actuarial tables.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RULE-JS-75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Placeholder factor: 0.9150. Same dependency on actual actuarial tables.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RULE-JS-50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Placeholder factor: 0.9450. Default option for married members who fail to make an election.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RULE-DRO-MARITAL-SHARE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Service during marriage is calculated from marriage date to divorce date, overlapping with employment period only. If marriage predates employment, marital service starts at hire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RULE-DRO-METHODS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POC implements percentage-of-marital-share method (Case 4). Fixed dollar method is simpler but less common. Present value offset requires no system calculation.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RULE-DRO-NO-IPR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Case 4 calculation document originally included Patricia's IPR. This must be removed per RMC verification v3.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RULE-DRO-COLA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COLA participation for alternate payees is determined by DRO order language, not plan default. Each DRO must be reviewed individually.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RULE-IPR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IPR uses EARNED service only. This is consistent with the purchased-service exclusion principle.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RULE-IPR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Medicare eligibility is typically at age 65, but members may become Medicare-eligible earlier through disability. For POC, we assume age 65 = Medicare transition point.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RULE-DEATH-NORMAL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Must retire directly from active service to be eligible. Deferred retirees are NOT eligible.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RULE-DEATH-EARLY-T12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Integer-age approach confirmed by statutory dollar-amount table (not formula-based; explicit amounts per 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RULE-APP-DEADLINE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30 'calendar days' (not business days). Application must be RECEIVED, not postmarked.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RULE-PAYMENT-CUTOFF</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This is documented in DERP member materials but the specific cutoff date (15th) is not in the RMC. It is an operational/administrative deadline, not a statutory 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RULE-EFFECTIVE-DATE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If last day worked is March 31, effective date is April 1. If last day worked is March 15, effective date is still April 1 (next first-of-month).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RULE-COLA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COLA is board-discretionary, not calculated by the system. The system tracks eligibility dates and applies board-approved amounts. No calculation engine component needed for COLA determination.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RULE-COLA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For POC, COLA is acknowledged in rules but not exercised in demo cases (all retire in 2026, first COLA eligibility would be January 1, 2028).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D4830A"/>
                <w:sz w:val="18"/>
                <w:szCs w:val="18"/>
              </w:rPr>
              <w:t xml:space="preserve">MEDIUM</w:t>
            </w:r>
          </w:p>
        </w:tc>
      </w:tr>
    </w:tbl>
    <w:p>
      <w:r>
        <w:br w:type="page"/>
      </w:r>
    </w:p>
    <w:p>
      <w:pPr>
        <w:pStyle w:val="Heading1"/>
        <w:spacing w:before="360" w:after="200"/>
      </w:pPr>
      <w:r>
        <w:rPr>
          <w:rFonts w:ascii="Arial" w:cs="Arial" w:eastAsia="Arial" w:hAnsi="Arial"/>
          <w:b/>
          <w:bCs/>
          <w:color w:val="1B3A5C"/>
          <w:sz w:val="32"/>
          <w:szCs w:val="32"/>
        </w:rPr>
        <w:t xml:space="preserve">Appendix B: Demo Case Coverage Matrix</w:t>
      </w:r>
    </w:p>
    <w:p>
      <w:pPr>
        <w:spacing w:after="120"/>
      </w:pPr>
      <w:r>
        <w:rPr>
          <w:rFonts w:ascii="Arial" w:cs="Arial" w:eastAsia="Arial" w:hAnsi="Arial"/>
          <w:sz w:val="20"/>
          <w:szCs w:val="20"/>
        </w:rPr>
        <w:t xml:space="preserve">Mapping of which rules are exercised by each demo case. Rules not covered by any demo case will require additional synthetic test members.</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ID</w:t>
            </w:r>
          </w:p>
        </w:tc>
        <w:tc>
          <w:tcPr>
            <w:tcW w:type="dxa" w:w="17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Case 1</w:t>
            </w:r>
          </w:p>
        </w:tc>
        <w:tc>
          <w:tcPr>
            <w:tcW w:type="dxa" w:w="17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Case 2</w:t>
            </w:r>
          </w:p>
        </w:tc>
        <w:tc>
          <w:tcPr>
            <w:tcW w:type="dxa" w:w="17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Case 3</w:t>
            </w:r>
          </w:p>
        </w:tc>
        <w:tc>
          <w:tcPr>
            <w:tcW w:type="dxa" w:w="17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Case 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RULE-TIER-1</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RULE-TIER-2</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RULE-TIER-3</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RULE-CONTRIB-EE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RULE-CONTRIB-ER</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RULE-SVC-EARNED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RULE-SVC-PURCHASED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RULE-SVC-SEPARATION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RULE-VESTING</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RULE-NORMAL-RET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RULE-RULE-OF-75</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RULE-RULE-OF-85</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RULE-EARLY-RET-T12</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RULE-EARLY-RET-T3</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RULE-EARLY-REDUCE-T12</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RULE-EARLY-REDUCE-T3</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RULE-DEFERRED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RULE-ELIG-HIERARCHY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RULE-AMS-WINDOW</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RULE-AMS-CALC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RULE-LEAVE-PAYOUT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RULE-FURLOUGH</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RULE-BENEFIT-T1</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RULE-BENEFIT-T2</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RULE-BENEFIT-T3</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RULE-REDUCTION-APPLY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RULE-ROUNDING</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RULE-PAY-MAXIMUM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RULE-JS-100</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RULE-JS-75</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RULE-JS-50</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RULE-JS-DEFAULT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RULE-SPOUSAL-CONSENT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RULE-BENEFICIARY-PREDECEASE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RULE-DRO-MARITAL-SHARE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RULE-DRO-SEQUENCE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RULE-DRO-METHODS</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RULE-DRO-NO-IPR</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RULE-DRO-NO-HEALTH</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RULE-DRO-COLA</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RULE-IPR</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RULE-DEATH-NORMAL</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RULE-DEATH-EARLY-T12</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RULE-DEATH-EARLY-T3</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RULE-DEATH-ELECTION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RULE-DEATH-REEMPLOY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RULE-APP-DEADLINE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RULE-NOTARIZATION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RULE-PAYMENT-CUTOFF</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8B4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RULE-EFFECTIVE-DATE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RULE-IRREVOCABILITY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00000"/>
                <w:sz w:val="18"/>
                <w:szCs w:val="18"/>
              </w:rPr>
              <w:t xml:space="preserve">RULE-COLA</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5B6"/>
          <w:sz w:val="26"/>
          <w:szCs w:val="26"/>
        </w:rPr>
        <w:t xml:space="preserve">Rules Not Covered by Any Demo Case</w:t>
      </w:r>
    </w:p>
    <w:p>
      <w:pPr>
        <w:spacing w:after="120"/>
      </w:pPr>
      <w:r>
        <w:rPr>
          <w:rFonts w:ascii="Arial" w:cs="Arial" w:eastAsia="Arial" w:hAnsi="Arial"/>
          <w:sz w:val="20"/>
          <w:szCs w:val="20"/>
        </w:rPr>
        <w:t xml:space="preserve">The following rules require additional synthetic test cases for coverage:</w:t>
      </w:r>
    </w:p>
    <w:p>
      <w:pPr>
        <w:spacing w:after="120"/>
      </w:pPr>
      <w:r>
        <w:rPr>
          <w:rFonts w:ascii="Consolas" w:cs="Consolas" w:eastAsia="Consolas" w:hAnsi="Consolas"/>
          <w:b/>
          <w:bCs/>
          <w:sz w:val="20"/>
          <w:szCs w:val="20"/>
        </w:rPr>
        <w:t xml:space="preserve">RULE-CONTRIB-EE: </w:t>
      </w:r>
      <w:r>
        <w:rPr>
          <w:rFonts w:ascii="Arial" w:cs="Arial" w:eastAsia="Arial" w:hAnsi="Arial"/>
          <w:sz w:val="20"/>
          <w:szCs w:val="20"/>
        </w:rPr>
        <w:t xml:space="preserve">Employee Contribution Rate — Needs synthetic test case</w:t>
      </w:r>
    </w:p>
    <w:p>
      <w:pPr>
        <w:spacing w:after="120"/>
      </w:pPr>
      <w:r>
        <w:rPr>
          <w:rFonts w:ascii="Consolas" w:cs="Consolas" w:eastAsia="Consolas" w:hAnsi="Consolas"/>
          <w:b/>
          <w:bCs/>
          <w:sz w:val="20"/>
          <w:szCs w:val="20"/>
        </w:rPr>
        <w:t xml:space="preserve">RULE-CONTRIB-ER: </w:t>
      </w:r>
      <w:r>
        <w:rPr>
          <w:rFonts w:ascii="Arial" w:cs="Arial" w:eastAsia="Arial" w:hAnsi="Arial"/>
          <w:sz w:val="20"/>
          <w:szCs w:val="20"/>
        </w:rPr>
        <w:t xml:space="preserve">Employer Contribution Rate — Needs synthetic test case</w:t>
      </w:r>
    </w:p>
    <w:p>
      <w:pPr>
        <w:spacing w:after="120"/>
      </w:pPr>
      <w:r>
        <w:rPr>
          <w:rFonts w:ascii="Consolas" w:cs="Consolas" w:eastAsia="Consolas" w:hAnsi="Consolas"/>
          <w:b/>
          <w:bCs/>
          <w:sz w:val="20"/>
          <w:szCs w:val="20"/>
        </w:rPr>
        <w:t xml:space="preserve">RULE-DEFERRED: </w:t>
      </w:r>
      <w:r>
        <w:rPr>
          <w:rFonts w:ascii="Arial" w:cs="Arial" w:eastAsia="Arial" w:hAnsi="Arial"/>
          <w:sz w:val="20"/>
          <w:szCs w:val="20"/>
        </w:rPr>
        <w:t xml:space="preserve">Deferred Retirement — Needs synthetic test case</w:t>
      </w:r>
    </w:p>
    <w:p>
      <w:pPr>
        <w:spacing w:after="120"/>
      </w:pPr>
      <w:r>
        <w:rPr>
          <w:rFonts w:ascii="Consolas" w:cs="Consolas" w:eastAsia="Consolas" w:hAnsi="Consolas"/>
          <w:b/>
          <w:bCs/>
          <w:sz w:val="20"/>
          <w:szCs w:val="20"/>
        </w:rPr>
        <w:t xml:space="preserve">RULE-ELIG-HIERARCHY: </w:t>
      </w:r>
      <w:r>
        <w:rPr>
          <w:rFonts w:ascii="Arial" w:cs="Arial" w:eastAsia="Arial" w:hAnsi="Arial"/>
          <w:sz w:val="20"/>
          <w:szCs w:val="20"/>
        </w:rPr>
        <w:t xml:space="preserve">Eligibility Evaluation Order — Needs synthetic test case</w:t>
      </w:r>
    </w:p>
    <w:p>
      <w:pPr>
        <w:spacing w:after="120"/>
      </w:pPr>
      <w:r>
        <w:rPr>
          <w:rFonts w:ascii="Consolas" w:cs="Consolas" w:eastAsia="Consolas" w:hAnsi="Consolas"/>
          <w:b/>
          <w:bCs/>
          <w:sz w:val="20"/>
          <w:szCs w:val="20"/>
        </w:rPr>
        <w:t xml:space="preserve">RULE-FURLOUGH: </w:t>
      </w:r>
      <w:r>
        <w:rPr>
          <w:rFonts w:ascii="Arial" w:cs="Arial" w:eastAsia="Arial" w:hAnsi="Arial"/>
          <w:sz w:val="20"/>
          <w:szCs w:val="20"/>
        </w:rPr>
        <w:t xml:space="preserve">Furlough Impact on AMS — Needs synthetic test case</w:t>
      </w:r>
    </w:p>
    <w:p>
      <w:pPr>
        <w:spacing w:after="120"/>
      </w:pPr>
      <w:r>
        <w:rPr>
          <w:rFonts w:ascii="Consolas" w:cs="Consolas" w:eastAsia="Consolas" w:hAnsi="Consolas"/>
          <w:b/>
          <w:bCs/>
          <w:sz w:val="20"/>
          <w:szCs w:val="20"/>
        </w:rPr>
        <w:t xml:space="preserve">RULE-ROUNDING: </w:t>
      </w:r>
      <w:r>
        <w:rPr>
          <w:rFonts w:ascii="Arial" w:cs="Arial" w:eastAsia="Arial" w:hAnsi="Arial"/>
          <w:sz w:val="20"/>
          <w:szCs w:val="20"/>
        </w:rPr>
        <w:t xml:space="preserve">Calculation Rounding Strategy — Needs synthetic test case</w:t>
      </w:r>
    </w:p>
    <w:p>
      <w:pPr>
        <w:spacing w:after="120"/>
      </w:pPr>
      <w:r>
        <w:rPr>
          <w:rFonts w:ascii="Consolas" w:cs="Consolas" w:eastAsia="Consolas" w:hAnsi="Consolas"/>
          <w:b/>
          <w:bCs/>
          <w:sz w:val="20"/>
          <w:szCs w:val="20"/>
        </w:rPr>
        <w:t xml:space="preserve">RULE-JS-100: </w:t>
      </w:r>
      <w:r>
        <w:rPr>
          <w:rFonts w:ascii="Arial" w:cs="Arial" w:eastAsia="Arial" w:hAnsi="Arial"/>
          <w:sz w:val="20"/>
          <w:szCs w:val="20"/>
        </w:rPr>
        <w:t xml:space="preserve">100% Joint &amp; Survivor Option — Needs synthetic test case</w:t>
      </w:r>
    </w:p>
    <w:p>
      <w:pPr>
        <w:spacing w:after="120"/>
      </w:pPr>
      <w:r>
        <w:rPr>
          <w:rFonts w:ascii="Consolas" w:cs="Consolas" w:eastAsia="Consolas" w:hAnsi="Consolas"/>
          <w:b/>
          <w:bCs/>
          <w:sz w:val="20"/>
          <w:szCs w:val="20"/>
        </w:rPr>
        <w:t xml:space="preserve">RULE-JS-50: </w:t>
      </w:r>
      <w:r>
        <w:rPr>
          <w:rFonts w:ascii="Arial" w:cs="Arial" w:eastAsia="Arial" w:hAnsi="Arial"/>
          <w:sz w:val="20"/>
          <w:szCs w:val="20"/>
        </w:rPr>
        <w:t xml:space="preserve">50% Joint &amp; Survivor Option — Needs synthetic test case</w:t>
      </w:r>
    </w:p>
    <w:p>
      <w:pPr>
        <w:spacing w:after="120"/>
      </w:pPr>
      <w:r>
        <w:rPr>
          <w:rFonts w:ascii="Consolas" w:cs="Consolas" w:eastAsia="Consolas" w:hAnsi="Consolas"/>
          <w:b/>
          <w:bCs/>
          <w:sz w:val="20"/>
          <w:szCs w:val="20"/>
        </w:rPr>
        <w:t xml:space="preserve">RULE-JS-DEFAULT: </w:t>
      </w:r>
      <w:r>
        <w:rPr>
          <w:rFonts w:ascii="Arial" w:cs="Arial" w:eastAsia="Arial" w:hAnsi="Arial"/>
          <w:sz w:val="20"/>
          <w:szCs w:val="20"/>
        </w:rPr>
        <w:t xml:space="preserve">Default Payment Option for Married Members — Needs synthetic test case</w:t>
      </w:r>
    </w:p>
    <w:p>
      <w:pPr>
        <w:spacing w:after="120"/>
      </w:pPr>
      <w:r>
        <w:rPr>
          <w:rFonts w:ascii="Consolas" w:cs="Consolas" w:eastAsia="Consolas" w:hAnsi="Consolas"/>
          <w:b/>
          <w:bCs/>
          <w:sz w:val="20"/>
          <w:szCs w:val="20"/>
        </w:rPr>
        <w:t xml:space="preserve">RULE-BENEFICIARY-PREDECEASE: </w:t>
      </w:r>
      <w:r>
        <w:rPr>
          <w:rFonts w:ascii="Arial" w:cs="Arial" w:eastAsia="Arial" w:hAnsi="Arial"/>
          <w:sz w:val="20"/>
          <w:szCs w:val="20"/>
        </w:rPr>
        <w:t xml:space="preserve">Beneficiary Predeceases Member — Needs synthetic test case</w:t>
      </w:r>
    </w:p>
    <w:p>
      <w:pPr>
        <w:spacing w:after="120"/>
      </w:pPr>
      <w:r>
        <w:rPr>
          <w:rFonts w:ascii="Consolas" w:cs="Consolas" w:eastAsia="Consolas" w:hAnsi="Consolas"/>
          <w:b/>
          <w:bCs/>
          <w:sz w:val="20"/>
          <w:szCs w:val="20"/>
        </w:rPr>
        <w:t xml:space="preserve">RULE-DRO-NO-HEALTH: </w:t>
      </w:r>
      <w:r>
        <w:rPr>
          <w:rFonts w:ascii="Arial" w:cs="Arial" w:eastAsia="Arial" w:hAnsi="Arial"/>
          <w:sz w:val="20"/>
          <w:szCs w:val="20"/>
        </w:rPr>
        <w:t xml:space="preserve">DRO Alternate Payee Health Insurance Exclusion — Needs synthetic test case</w:t>
      </w:r>
    </w:p>
    <w:p>
      <w:pPr>
        <w:spacing w:after="120"/>
      </w:pPr>
      <w:r>
        <w:rPr>
          <w:rFonts w:ascii="Consolas" w:cs="Consolas" w:eastAsia="Consolas" w:hAnsi="Consolas"/>
          <w:b/>
          <w:bCs/>
          <w:sz w:val="20"/>
          <w:szCs w:val="20"/>
        </w:rPr>
        <w:t xml:space="preserve">RULE-DRO-COLA: </w:t>
      </w:r>
      <w:r>
        <w:rPr>
          <w:rFonts w:ascii="Arial" w:cs="Arial" w:eastAsia="Arial" w:hAnsi="Arial"/>
          <w:sz w:val="20"/>
          <w:szCs w:val="20"/>
        </w:rPr>
        <w:t xml:space="preserve">DRO and COLA Applicability — Needs synthetic test case</w:t>
      </w:r>
    </w:p>
    <w:p>
      <w:pPr>
        <w:spacing w:after="120"/>
      </w:pPr>
      <w:r>
        <w:rPr>
          <w:rFonts w:ascii="Consolas" w:cs="Consolas" w:eastAsia="Consolas" w:hAnsi="Consolas"/>
          <w:b/>
          <w:bCs/>
          <w:sz w:val="20"/>
          <w:szCs w:val="20"/>
        </w:rPr>
        <w:t xml:space="preserve">RULE-DEATH-REEMPLOY: </w:t>
      </w:r>
      <w:r>
        <w:rPr>
          <w:rFonts w:ascii="Arial" w:cs="Arial" w:eastAsia="Arial" w:hAnsi="Arial"/>
          <w:sz w:val="20"/>
          <w:szCs w:val="20"/>
        </w:rPr>
        <w:t xml:space="preserve">Death Benefit Re-Employment Exclusion — Needs synthetic test case</w:t>
      </w:r>
    </w:p>
    <w:p>
      <w:pPr>
        <w:spacing w:after="120"/>
      </w:pPr>
      <w:r>
        <w:rPr>
          <w:rFonts w:ascii="Consolas" w:cs="Consolas" w:eastAsia="Consolas" w:hAnsi="Consolas"/>
          <w:b/>
          <w:bCs/>
          <w:sz w:val="20"/>
          <w:szCs w:val="20"/>
        </w:rPr>
        <w:t xml:space="preserve">RULE-EFFECTIVE-DATE: </w:t>
      </w:r>
      <w:r>
        <w:rPr>
          <w:rFonts w:ascii="Arial" w:cs="Arial" w:eastAsia="Arial" w:hAnsi="Arial"/>
          <w:sz w:val="20"/>
          <w:szCs w:val="20"/>
        </w:rPr>
        <w:t xml:space="preserve">Retirement Effective Date — Needs synthetic test case</w:t>
      </w:r>
    </w:p>
    <w:p>
      <w:pPr>
        <w:spacing w:after="120"/>
      </w:pPr>
      <w:r>
        <w:rPr>
          <w:rFonts w:ascii="Consolas" w:cs="Consolas" w:eastAsia="Consolas" w:hAnsi="Consolas"/>
          <w:b/>
          <w:bCs/>
          <w:sz w:val="20"/>
          <w:szCs w:val="20"/>
        </w:rPr>
        <w:t xml:space="preserve">RULE-IRREVOCABILITY: </w:t>
      </w:r>
      <w:r>
        <w:rPr>
          <w:rFonts w:ascii="Arial" w:cs="Arial" w:eastAsia="Arial" w:hAnsi="Arial"/>
          <w:sz w:val="20"/>
          <w:szCs w:val="20"/>
        </w:rPr>
        <w:t xml:space="preserve">Election Irrevocability — Needs synthetic test case</w:t>
      </w:r>
    </w:p>
    <w:p>
      <w:pPr>
        <w:spacing w:after="120"/>
      </w:pPr>
      <w:r>
        <w:rPr>
          <w:rFonts w:ascii="Consolas" w:cs="Consolas" w:eastAsia="Consolas" w:hAnsi="Consolas"/>
          <w:b/>
          <w:bCs/>
          <w:sz w:val="20"/>
          <w:szCs w:val="20"/>
        </w:rPr>
        <w:t xml:space="preserve">RULE-COLA: </w:t>
      </w:r>
      <w:r>
        <w:rPr>
          <w:rFonts w:ascii="Arial" w:cs="Arial" w:eastAsia="Arial" w:hAnsi="Arial"/>
          <w:sz w:val="20"/>
          <w:szCs w:val="20"/>
        </w:rPr>
        <w:t xml:space="preserve">Cost of Living Adjustment — Needs synthetic test case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i/>
        <w:iCs/>
        <w:color w:val="666666"/>
        <w:sz w:val="16"/>
        <w:szCs w:val="16"/>
      </w:rPr>
      <w:t xml:space="preserve">NoUI DERP POC — Business Rules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2026-02-21T22:40:44.847Z</dcterms:created>
  <dcterms:modified xsi:type="dcterms:W3CDTF">2026-02-21T22:40:44.848Z</dcterms:modified>
</cp:coreProperties>
</file>

<file path=docProps/custom.xml><?xml version="1.0" encoding="utf-8"?>
<Properties xmlns="http://schemas.openxmlformats.org/officeDocument/2006/custom-properties" xmlns:vt="http://schemas.openxmlformats.org/officeDocument/2006/docPropsVTypes"/>
</file>