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212070"/>
          <w:sz w:val="56"/>
          <w:szCs w:val="56"/>
        </w:rPr>
        <w:t xml:space="preserve">MSW AI LAB</w:t>
      </w:r>
    </w:p>
    <w:p>
      <w:pPr>
        <w:spacing w:after="200"/>
        <w:jc w:val="center"/>
      </w:pPr>
      <w:r>
        <w:rPr>
          <w:rFonts w:ascii="Arial" w:cs="Arial" w:eastAsia="Arial" w:hAnsi="Arial"/>
          <w:color w:val="06ABEB"/>
          <w:sz w:val="40"/>
          <w:szCs w:val="40"/>
        </w:rPr>
        <w:t xml:space="preserve">HIPAA Dev Team Plugin</w:t>
      </w:r>
    </w:p>
    <w:p>
      <w:pPr>
        <w:pBdr>
          <w:bottom w:val="single" w:color="06ABEB" w:sz="6" w:space="1"/>
        </w:pBdr>
        <w:spacing w:after="400"/>
        <w:jc w:val="center"/>
      </w:pPr>
    </w:p>
    <w:p>
      <w:pPr>
        <w:spacing w:after="80"/>
        <w:jc w:val="center"/>
      </w:pPr>
      <w:r>
        <w:rPr>
          <w:rFonts w:ascii="Arial" w:cs="Arial" w:eastAsia="Arial" w:hAnsi="Arial"/>
          <w:color w:val="00002D"/>
          <w:sz w:val="26"/>
          <w:szCs w:val="26"/>
        </w:rPr>
        <w:t xml:space="preserve">Multi-Agent Development &amp; Security Team</w:t>
      </w:r>
    </w:p>
    <w:p>
      <w:pPr>
        <w:spacing w:after="80"/>
        <w:jc w:val="center"/>
      </w:pPr>
      <w:r>
        <w:rPr>
          <w:rFonts w:ascii="Arial" w:cs="Arial" w:eastAsia="Arial" w:hAnsi="Arial"/>
          <w:color w:val="00002D"/>
          <w:sz w:val="26"/>
          <w:szCs w:val="26"/>
        </w:rPr>
        <w:t xml:space="preserve">for HIPAA-Compliant Healthcare Software</w:t>
      </w:r>
    </w:p>
    <w:p>
      <w:pPr>
        <w:spacing w:before="600" w:after="80"/>
        <w:jc w:val="center"/>
      </w:pPr>
      <w:r>
        <w:rPr>
          <w:rFonts w:ascii="Arial" w:cs="Arial" w:eastAsia="Arial" w:hAnsi="Arial"/>
          <w:b/>
          <w:bCs/>
          <w:color w:val="212070"/>
          <w:sz w:val="22"/>
          <w:szCs w:val="22"/>
        </w:rPr>
        <w:t xml:space="preserve">Mount Sinai Health System</w:t>
      </w:r>
    </w:p>
    <w:p>
      <w:pPr>
        <w:jc w:val="center"/>
      </w:pPr>
      <w:r>
        <w:rPr>
          <w:rFonts w:ascii="Arial" w:cs="Arial" w:eastAsia="Arial" w:hAnsi="Arial"/>
          <w:color w:val="888888"/>
          <w:sz w:val="20"/>
          <w:szCs w:val="20"/>
        </w:rPr>
        <w:t xml:space="preserve">Version 1.0.0  |  February 2026</w:t>
      </w:r>
    </w:p>
    <w:p>
      <w:pPr>
        <w:spacing w:before="200"/>
        <w:jc w:val="center"/>
      </w:pPr>
      <w:hyperlink w:history="1" r:id="rIdp8w7aeqtkd6p0in6fvee0">
        <w:r>
          <w:rPr>
            <w:rStyle w:val="Hyperlink"/>
            <w:rFonts w:ascii="Arial" w:cs="Arial" w:eastAsia="Arial" w:hAnsi="Arial"/>
            <w:sz w:val="22"/>
            <w:szCs w:val="22"/>
          </w:rPr>
          <w:t xml:space="preserve">mswlab.ai/agents</w:t>
        </w:r>
      </w:hyperlink>
    </w:p>
    <w:p>
      <w:pPr>
        <w:sectPr>
          <w:pgSz w:w="12240" w:h="15840" w:orient="portrait"/>
          <w:pgMar w:top="1440" w:right="1440" w:bottom="1440" w:left="1440" w:header="708" w:footer="708" w:gutter="0"/>
          <w:pgNumType/>
          <w:docGrid w:linePitch="360"/>
        </w:sectPr>
      </w:pPr>
    </w:p>
    <w:p>
      <w:pPr>
        <w:pStyle w:val="Heading1"/>
      </w:pPr>
      <w:r>
        <w:t xml:space="preserve">Overview</w:t>
      </w:r>
    </w:p>
    <w:p>
      <w:pPr>
        <w:spacing w:after="200"/>
      </w:pPr>
      <w:r>
        <w:rPr>
          <w:rFonts w:ascii="Arial" w:cs="Arial" w:eastAsia="Arial" w:hAnsi="Arial"/>
          <w:sz w:val="22"/>
          <w:szCs w:val="22"/>
        </w:rPr>
        <w:t xml:space="preserve">The HIPAA Dev Team is a Claude Code plugin that provides a full team of 10 specialized AI agents. These agents work together to design, build, test, secure, and deploy HIPAA-compliant healthcare software for the Mount Sinai Health System.</w:t>
      </w:r>
    </w:p>
    <w:p>
      <w:pPr>
        <w:spacing w:after="200"/>
      </w:pPr>
      <w:r>
        <w:rPr>
          <w:rFonts w:ascii="Arial" w:cs="Arial" w:eastAsia="Arial" w:hAnsi="Arial"/>
          <w:sz w:val="22"/>
          <w:szCs w:val="22"/>
        </w:rPr>
        <w:t xml:space="preserve">Every agent is pre-configured for the MSW AI Lab tech stack (React, Node.js, Clerk, Neon DB, Vercel) and enforces HIPAA compliance at every step of the development process. The plugin includes slash commands for common workflows, autonomous agents that activate contextually, and comprehensive reference material for each domain.</w:t>
      </w:r>
    </w:p>
    <w:p>
      <w:pPr>
        <w:pStyle w:val="Heading1"/>
      </w:pPr>
      <w:r>
        <w:t xml:space="preserve">The Agent Team</w:t>
      </w:r>
    </w:p>
    <w:p>
      <w:pPr>
        <w:spacing w:after="200"/>
      </w:pPr>
      <w:r>
        <w:rPr>
          <w:rFonts w:ascii="Arial" w:cs="Arial" w:eastAsia="Arial" w:hAnsi="Arial"/>
          <w:sz w:val="22"/>
          <w:szCs w:val="22"/>
        </w:rPr>
        <w:t xml:space="preserve">Each agent has specialized knowledge, a defined role in the workflow, and specific handoff protocols to coordinate with other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200"/>
        <w:gridCol w:w="1400"/>
        <w:gridCol w:w="4460"/>
      </w:tblGrid>
      <w:tr>
        <w:tc>
          <w:tcPr>
            <w:tcW w:type="dxa" w:w="500"/>
            <w:tcBorders>
              <w:top w:val="single" w:color="DDDDDD" w:sz="1"/>
              <w:left w:val="single" w:color="DDDDDD" w:sz="1"/>
              <w:bottom w:val="single" w:color="DDDDDD" w:sz="1"/>
              <w:right w:val="single" w:color="DDDDDD" w:sz="1"/>
            </w:tcBorders>
            <w:shd w:fill="212070"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800"/>
            <w:tcBorders>
              <w:top w:val="single" w:color="DDDDDD" w:sz="1"/>
              <w:left w:val="single" w:color="DDDDDD" w:sz="1"/>
              <w:bottom w:val="single" w:color="DDDDDD" w:sz="1"/>
              <w:right w:val="single" w:color="DDDDDD" w:sz="1"/>
            </w:tcBorders>
            <w:shd w:fill="212070"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1200"/>
            <w:tcBorders>
              <w:top w:val="single" w:color="DDDDDD" w:sz="1"/>
              <w:left w:val="single" w:color="DDDDDD" w:sz="1"/>
              <w:bottom w:val="single" w:color="DDDDDD" w:sz="1"/>
              <w:right w:val="single" w:color="DDDDDD" w:sz="1"/>
            </w:tcBorders>
            <w:shd w:fill="212070"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1400"/>
            <w:tcBorders>
              <w:top w:val="single" w:color="DDDDDD" w:sz="1"/>
              <w:left w:val="single" w:color="DDDDDD" w:sz="1"/>
              <w:bottom w:val="single" w:color="DDDDDD" w:sz="1"/>
              <w:right w:val="single" w:color="DDDDDD" w:sz="1"/>
            </w:tcBorders>
            <w:shd w:fill="212070"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460"/>
            <w:tcBorders>
              <w:top w:val="single" w:color="DDDDDD" w:sz="1"/>
              <w:left w:val="single" w:color="DDDDDD" w:sz="1"/>
              <w:bottom w:val="single" w:color="DDDDDD" w:sz="1"/>
              <w:right w:val="single" w:color="DDDDDD" w:sz="1"/>
            </w:tcBorders>
            <w:shd w:fill="212070"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r>
      <w:tr>
        <w:tc>
          <w:tcPr>
            <w:tcW w:type="dxa" w:w="5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sz w:val="20"/>
                <w:szCs w:val="20"/>
              </w:rPr>
              <w:t xml:space="preserve">Team Lead</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Opus 4.6</w:t>
            </w:r>
          </w:p>
        </w:tc>
        <w:tc>
          <w:tcPr>
            <w:tcW w:type="dxa" w:w="1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All Phases</w:t>
            </w:r>
          </w:p>
        </w:tc>
        <w:tc>
          <w:tcPr>
            <w:tcW w:type="dxa" w:w="44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Orchestrates all agents, manages task lists, resolves conflicts, makes architectural decisions</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Product Manager</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Sonnet 4.5</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Discovery</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PRDs, user stories, acceptance criteria, success metrics, HIPAA implications</w:t>
            </w:r>
          </w:p>
        </w:tc>
      </w:tr>
      <w:tr>
        <w:tc>
          <w:tcPr>
            <w:tcW w:type="dxa" w:w="5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sz w:val="20"/>
                <w:szCs w:val="20"/>
              </w:rPr>
              <w:t xml:space="preserve">UX Designer</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Sonnet 4.5</w:t>
            </w:r>
          </w:p>
        </w:tc>
        <w:tc>
          <w:tcPr>
            <w:tcW w:type="dxa" w:w="1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Discovery</w:t>
            </w:r>
          </w:p>
        </w:tc>
        <w:tc>
          <w:tcPr>
            <w:tcW w:type="dxa" w:w="44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User flows, wireframes, interaction patterns, WCAG 2.2 AA accessibility</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Branding</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Haiku 4.5</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Discovery</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Mount Sinai brand compliance: colors, typography, voice, visual identity</w:t>
            </w:r>
          </w:p>
        </w:tc>
      </w:tr>
      <w:tr>
        <w:tc>
          <w:tcPr>
            <w:tcW w:type="dxa" w:w="5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sz w:val="20"/>
                <w:szCs w:val="20"/>
              </w:rPr>
              <w:t xml:space="preserve">Frontend Dev</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Sonnet 4.5</w:t>
            </w:r>
          </w:p>
        </w:tc>
        <w:tc>
          <w:tcPr>
            <w:tcW w:type="dxa" w:w="1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Build</w:t>
            </w:r>
          </w:p>
        </w:tc>
        <w:tc>
          <w:tcPr>
            <w:tcW w:type="dxa" w:w="44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React + Next.js components, Clerk auth integration, responsive UI, Mount Sinai styling</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Backend Dev</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Sonnet 4.5</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Build</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Node.js APIs, Prisma ORM, Neon DB, AES-256 encryption, audit logging</w:t>
            </w:r>
          </w:p>
        </w:tc>
      </w:tr>
      <w:tr>
        <w:tc>
          <w:tcPr>
            <w:tcW w:type="dxa" w:w="5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sz w:val="20"/>
                <w:szCs w:val="20"/>
              </w:rPr>
              <w:t xml:space="preserve">Security</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Sonnet 4.5</w:t>
            </w:r>
          </w:p>
        </w:tc>
        <w:tc>
          <w:tcPr>
            <w:tcW w:type="dxa" w:w="1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Quality</w:t>
            </w:r>
          </w:p>
        </w:tc>
        <w:tc>
          <w:tcPr>
            <w:tcW w:type="dxa" w:w="44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HIPAA compliance (45 CFR 164.312), code security, vulnerability scanning, 2026 readiness</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DevOps</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Haiku 4.5</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Deploy</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Vercel deployment, GitHub Actions CI/CD, Neon DB branching, environment management</w:t>
            </w:r>
          </w:p>
        </w:tc>
      </w:tr>
      <w:tr>
        <w:tc>
          <w:tcPr>
            <w:tcW w:type="dxa" w:w="5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sz w:val="20"/>
                <w:szCs w:val="20"/>
              </w:rPr>
              <w:t xml:space="preserve">QA Tester</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Sonnet 4.5</w:t>
            </w:r>
          </w:p>
        </w:tc>
        <w:tc>
          <w:tcPr>
            <w:tcW w:type="dxa" w:w="1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Quality</w:t>
            </w:r>
          </w:p>
        </w:tc>
        <w:tc>
          <w:tcPr>
            <w:tcW w:type="dxa" w:w="44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Jest + RTL tests, Chrome browser testing, accessibility validation, PHI leak detection</w:t>
            </w:r>
          </w:p>
        </w:tc>
      </w:tr>
      <w:tr>
        <w:tc>
          <w:tcPr>
            <w:tcW w:type="dxa" w:w="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Documentation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Haiku 4.5</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All Phases</w:t>
            </w:r>
          </w:p>
        </w:tc>
        <w:tc>
          <w:tcPr>
            <w:tcW w:type="dxa" w:w="44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Memory file updates, JSDoc comments, CHANGELOG.md, architectural decision records</w:t>
            </w:r>
          </w:p>
        </w:tc>
      </w:tr>
    </w:tbl>
    <w:p>
      <w:r>
        <w:br w:type="page"/>
      </w:r>
    </w:p>
    <w:p>
      <w:pPr>
        <w:pStyle w:val="Heading1"/>
      </w:pPr>
      <w:r>
        <w:t xml:space="preserve">Slash Commands</w:t>
      </w:r>
    </w:p>
    <w:p>
      <w:pPr>
        <w:spacing w:after="200"/>
      </w:pPr>
      <w:r>
        <w:rPr>
          <w:rFonts w:ascii="Arial" w:cs="Arial" w:eastAsia="Arial" w:hAnsi="Arial"/>
          <w:sz w:val="22"/>
          <w:szCs w:val="22"/>
        </w:rPr>
        <w:t xml:space="preserve">The plugin provides four slash commands for common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212070"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6860"/>
            <w:tcBorders>
              <w:top w:val="single" w:color="DDDDDD" w:sz="1"/>
              <w:left w:val="single" w:color="DDDDDD" w:sz="1"/>
              <w:bottom w:val="single" w:color="DDDDDD" w:sz="1"/>
              <w:right w:val="single" w:color="DDDDDD" w:sz="1"/>
            </w:tcBorders>
            <w:shd w:fill="21207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Courier New" w:cs="Courier New" w:eastAsia="Courier New" w:hAnsi="Courier New"/>
                <w:b/>
                <w:bCs/>
                <w:color w:val="06ABEB"/>
                <w:sz w:val="20"/>
                <w:szCs w:val="20"/>
              </w:rPr>
              <w:t xml:space="preserve">/build-feature</w:t>
            </w:r>
          </w:p>
        </w:tc>
        <w:tc>
          <w:tcPr>
            <w:tcW w:type="dxa" w:w="68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Orchestrate the full 10-agent team to build a feature from a PRD or natural language description. Runs discovery, design, build, test, secure, and deploy phases.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06ABEB"/>
                <w:sz w:val="20"/>
                <w:szCs w:val="20"/>
              </w:rPr>
              <w:t xml:space="preserve">/security-review</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Run a comprehensive HIPAA security audit with 6 parallel scanners analyzing code, infrastructure, dependencies, auth, compliance, and AI-code patterns.</w:t>
            </w:r>
          </w:p>
        </w:tc>
      </w:tr>
      <w:tr>
        <w:tc>
          <w:tcPr>
            <w:tcW w:type="dxa" w:w="25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Courier New" w:cs="Courier New" w:eastAsia="Courier New" w:hAnsi="Courier New"/>
                <w:b/>
                <w:bCs/>
                <w:color w:val="06ABEB"/>
                <w:sz w:val="20"/>
                <w:szCs w:val="20"/>
              </w:rPr>
              <w:t xml:space="preserve">/deploy</w:t>
            </w:r>
          </w:p>
        </w:tc>
        <w:tc>
          <w:tcPr>
            <w:tcW w:type="dxa" w:w="68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Pre-flight checks (lint, type-check, tests, npm audit, secret scan) followed by Vercel deployment. Blocks deployment if any check fails.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color w:val="06ABEB"/>
                <w:sz w:val="20"/>
                <w:szCs w:val="20"/>
              </w:rPr>
              <w:t xml:space="preserve">/update-memory</w:t>
            </w:r>
          </w:p>
        </w:tc>
        <w:tc>
          <w:tcPr>
            <w:tcW w:type="dxa" w:w="6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Update the project memory file with recent git changes, architectural decisions, known issues, and HIPAA compliance status.</w:t>
            </w:r>
          </w:p>
        </w:tc>
      </w:tr>
    </w:tbl>
    <w:p>
      <w:pPr>
        <w:pStyle w:val="Heading1"/>
      </w:pPr>
      <w:r>
        <w:t xml:space="preserve">Workflow Modes</w:t>
      </w:r>
    </w:p>
    <w:p>
      <w:pPr>
        <w:pStyle w:val="Heading2"/>
      </w:pPr>
      <w:r>
        <w:t xml:space="preserve">Mode A: PRD to Build</w:t>
      </w:r>
    </w:p>
    <w:p>
      <w:pPr>
        <w:spacing w:after="120"/>
      </w:pPr>
      <w:r>
        <w:rPr>
          <w:rFonts w:ascii="Arial" w:cs="Arial" w:eastAsia="Arial" w:hAnsi="Arial"/>
          <w:sz w:val="22"/>
          <w:szCs w:val="22"/>
        </w:rPr>
        <w:t xml:space="preserve">Start with a PRD or feature description. The team validates requirements, designs UX, enforces branding, builds frontend and backend in parallel, runs security and QA, documents everything, and deploys.</w:t>
      </w:r>
    </w:p>
    <w:p>
      <w:pPr>
        <w:pStyle w:val="Heading2"/>
      </w:pPr>
      <w:r>
        <w:t xml:space="preserve">Mode B: Discovery to Build</w:t>
      </w:r>
    </w:p>
    <w:p>
      <w:pPr>
        <w:spacing w:after="120"/>
      </w:pPr>
      <w:r>
        <w:rPr>
          <w:rFonts w:ascii="Arial" w:cs="Arial" w:eastAsia="Arial" w:hAnsi="Arial"/>
          <w:sz w:val="22"/>
          <w:szCs w:val="22"/>
        </w:rPr>
        <w:t xml:space="preserve">Start by describing a problem. The PM Agent interviews you to create a PRD, UX Agent researches patterns, Branding Agent establishes the visual system, then the build and quality phases proceed.</w:t>
      </w:r>
    </w:p>
    <w:p>
      <w:pPr>
        <w:pStyle w:val="Heading2"/>
      </w:pPr>
      <w:r>
        <w:t xml:space="preserve">Mode C: Fix and Improve</w:t>
      </w:r>
    </w:p>
    <w:p>
      <w:pPr>
        <w:spacing w:after="200"/>
      </w:pPr>
      <w:r>
        <w:rPr>
          <w:rFonts w:ascii="Arial" w:cs="Arial" w:eastAsia="Arial" w:hAnsi="Arial"/>
          <w:sz w:val="22"/>
          <w:szCs w:val="22"/>
        </w:rPr>
        <w:t xml:space="preserve">Point to an issue or improvement. Security Agent scans for related vulnerabilities, the appropriate dev agent implements the fix, QA verifies, Documentation updates the memory file, and DevOps deploys the hotfix.</w:t>
      </w:r>
    </w:p>
    <w:p>
      <w:pPr>
        <w:pStyle w:val="Heading1"/>
      </w:pPr>
      <w:r>
        <w:t xml:space="preserve">Pre-configured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DDDDD" w:sz="1"/>
              <w:left w:val="single" w:color="DDDDDD" w:sz="1"/>
              <w:bottom w:val="single" w:color="DDDDDD" w:sz="1"/>
              <w:right w:val="single" w:color="DDDDDD" w:sz="1"/>
            </w:tcBorders>
            <w:shd w:fill="21207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DDDDDD" w:sz="1"/>
              <w:left w:val="single" w:color="DDDDDD" w:sz="1"/>
              <w:bottom w:val="single" w:color="DDDDDD" w:sz="1"/>
              <w:right w:val="single" w:color="DDDDDD" w:sz="1"/>
            </w:tcBorders>
            <w:shd w:fill="21207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DDDDDD" w:sz="1"/>
              <w:left w:val="single" w:color="DDDDDD" w:sz="1"/>
              <w:bottom w:val="single" w:color="DDDDDD" w:sz="1"/>
              <w:right w:val="single" w:color="DDDDDD" w:sz="1"/>
            </w:tcBorders>
            <w:shd w:fill="21207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sz w:val="20"/>
                <w:szCs w:val="20"/>
              </w:rPr>
              <w:t xml:space="preserve">React + Next.js</w:t>
            </w:r>
          </w:p>
        </w:tc>
        <w:tc>
          <w:tcPr>
            <w:tcW w:type="dxa" w:w="4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App Router, deployed to Vercel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Clerk</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MFA enforced, RBAC via Organizations, BAA signed</w:t>
            </w:r>
          </w:p>
        </w:tc>
      </w:tr>
      <w:tr>
        <w:tc>
          <w:tcPr>
            <w:tcW w:type="dxa" w:w="2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sz w:val="20"/>
                <w:szCs w:val="20"/>
              </w:rPr>
              <w:t xml:space="preserve">Node.js / Express</w:t>
            </w:r>
          </w:p>
        </w:tc>
        <w:tc>
          <w:tcPr>
            <w:tcW w:type="dxa" w:w="4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API routes with Clerk middleware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Neon DB (PostgreSQL)</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HIPAA-compliant, BAA signed, Prisma ORM</w:t>
            </w:r>
          </w:p>
        </w:tc>
      </w:tr>
      <w:tr>
        <w:tc>
          <w:tcPr>
            <w:tcW w:type="dxa" w:w="2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sz w:val="20"/>
                <w:szCs w:val="20"/>
              </w:rPr>
              <w:t xml:space="preserve">Vercel</w:t>
            </w:r>
          </w:p>
        </w:tc>
        <w:tc>
          <w:tcPr>
            <w:tcW w:type="dxa" w:w="4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Frontend + serverless functions, BAA available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Source Control</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GitHub Private Repo</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Branch protection, CODEOWNERS, Dependabot</w:t>
            </w:r>
          </w:p>
        </w:tc>
      </w:tr>
      <w:tr>
        <w:tc>
          <w:tcPr>
            <w:tcW w:type="dxa" w:w="2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AI Providers</w:t>
            </w:r>
          </w:p>
        </w:tc>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sz w:val="20"/>
                <w:szCs w:val="20"/>
              </w:rPr>
              <w:t xml:space="preserve">OpenAI, Anthropic, Google</w:t>
            </w:r>
          </w:p>
        </w:tc>
        <w:tc>
          <w:tcPr>
            <w:tcW w:type="dxa" w:w="4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BAAs in place with all three providers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Branding</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Mount Sinai Health System</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Colors, typography, voice, accessibility standards</w:t>
            </w:r>
          </w:p>
        </w:tc>
      </w:tr>
    </w:tbl>
    <w:p>
      <w:r>
        <w:br w:type="page"/>
      </w:r>
    </w:p>
    <w:p>
      <w:pPr>
        <w:pStyle w:val="Heading1"/>
      </w:pPr>
      <w:r>
        <w:t xml:space="preserve">Mount Sinai Brand Standards</w:t>
      </w:r>
    </w:p>
    <w:p>
      <w:pPr>
        <w:spacing w:after="200"/>
      </w:pPr>
      <w:r>
        <w:rPr>
          <w:rFonts w:ascii="Arial" w:cs="Arial" w:eastAsia="Arial" w:hAnsi="Arial"/>
          <w:sz w:val="22"/>
          <w:szCs w:val="22"/>
        </w:rPr>
        <w:t xml:space="preserve">All outputs from the agent team conform to Mount Sinai Health System brand guidelines. The Branding Agent validates every design before it reaches the Frontend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DDDDDD" w:sz="1"/>
              <w:left w:val="single" w:color="DDDDDD" w:sz="1"/>
              <w:bottom w:val="single" w:color="DDDDDD" w:sz="1"/>
              <w:right w:val="single" w:color="DDDDDD" w:sz="1"/>
            </w:tcBorders>
            <w:shd w:fill="212070"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2000"/>
            <w:tcBorders>
              <w:top w:val="single" w:color="DDDDDD" w:sz="1"/>
              <w:left w:val="single" w:color="DDDDDD" w:sz="1"/>
              <w:bottom w:val="single" w:color="DDDDDD" w:sz="1"/>
              <w:right w:val="single" w:color="DDDDDD" w:sz="1"/>
            </w:tcBorders>
            <w:shd w:fill="212070"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860"/>
            <w:tcBorders>
              <w:top w:val="single" w:color="DDDDDD" w:sz="1"/>
              <w:left w:val="single" w:color="DDDDDD" w:sz="1"/>
              <w:bottom w:val="single" w:color="DDDDDD" w:sz="1"/>
              <w:right w:val="single" w:color="DDDDDD" w:sz="1"/>
            </w:tcBorders>
            <w:shd w:fill="212070"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5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sz w:val="20"/>
                <w:szCs w:val="20"/>
              </w:rPr>
              <w:t xml:space="preserve">Primary Blue</w:t>
            </w:r>
          </w:p>
        </w:tc>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212070"/>
                <w:sz w:val="20"/>
                <w:szCs w:val="20"/>
              </w:rPr>
              <w:t xml:space="preserve">#212070</w:t>
            </w:r>
          </w:p>
        </w:tc>
        <w:tc>
          <w:tcPr>
            <w:tcW w:type="dxa" w:w="48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Headers, navigation, primary buttons, trust elements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Vivid Cerulean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12070"/>
                <w:sz w:val="20"/>
                <w:szCs w:val="20"/>
              </w:rPr>
              <w:t xml:space="preserve">#06ABEB</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Links, accents, active states, interactive elements</w:t>
            </w:r>
          </w:p>
        </w:tc>
      </w:tr>
      <w:tr>
        <w:tc>
          <w:tcPr>
            <w:tcW w:type="dxa" w:w="25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sz w:val="20"/>
                <w:szCs w:val="20"/>
              </w:rPr>
              <w:t xml:space="preserve">Barbie Pink</w:t>
            </w:r>
          </w:p>
        </w:tc>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212070"/>
                <w:sz w:val="20"/>
                <w:szCs w:val="20"/>
              </w:rPr>
              <w:t xml:space="preserve">#DC298D</w:t>
            </w:r>
          </w:p>
        </w:tc>
        <w:tc>
          <w:tcPr>
            <w:tcW w:type="dxa" w:w="48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Calls to action, alerts, innovation highlights</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Cetacean Blue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12070"/>
                <w:sz w:val="20"/>
                <w:szCs w:val="20"/>
              </w:rPr>
              <w:t xml:space="preserve">#00002D</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Body text, dark backgrounds, contrast elements</w:t>
            </w:r>
          </w:p>
        </w:tc>
      </w:tr>
      <w:tr>
        <w:tc>
          <w:tcPr>
            <w:tcW w:type="dxa" w:w="25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sz w:val="20"/>
                <w:szCs w:val="20"/>
              </w:rPr>
              <w:t xml:space="preserve">Primary Font</w:t>
            </w:r>
          </w:p>
        </w:tc>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212070"/>
                <w:sz w:val="20"/>
                <w:szCs w:val="20"/>
              </w:rPr>
              <w:t xml:space="preserve">Neue Haas Grotesk</w:t>
            </w:r>
          </w:p>
        </w:tc>
        <w:tc>
          <w:tcPr>
            <w:tcW w:type="dxa" w:w="48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All UI text; fallbacks: Helvetica Neue, Arial</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Voice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12070"/>
                <w:sz w:val="20"/>
                <w:szCs w:val="20"/>
              </w:rPr>
              <w:t xml:space="preserve">Factual + Energetic</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First-person, expert, approachable, clear</w:t>
            </w:r>
          </w:p>
        </w:tc>
      </w:tr>
      <w:tr>
        <w:tc>
          <w:tcPr>
            <w:tcW w:type="dxa" w:w="25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sz w:val="20"/>
                <w:szCs w:val="20"/>
              </w:rPr>
              <w:t xml:space="preserve">Accessibility</w:t>
            </w:r>
          </w:p>
        </w:tc>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color w:val="212070"/>
                <w:sz w:val="20"/>
                <w:szCs w:val="20"/>
              </w:rPr>
              <w:t xml:space="preserve">WCAG 2.2 Level AA</w:t>
            </w:r>
          </w:p>
        </w:tc>
        <w:tc>
          <w:tcPr>
            <w:tcW w:type="dxa" w:w="48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4.5:1 contrast, keyboard nav, screen readers</w:t>
            </w:r>
          </w:p>
        </w:tc>
      </w:tr>
    </w:tbl>
    <w:p>
      <w:pPr>
        <w:pStyle w:val="Heading1"/>
      </w:pPr>
      <w:r>
        <w:t xml:space="preserve">HIPAA Compliance Coverage</w:t>
      </w:r>
    </w:p>
    <w:p>
      <w:pPr>
        <w:spacing w:after="200"/>
      </w:pPr>
      <w:r>
        <w:rPr>
          <w:rFonts w:ascii="Arial" w:cs="Arial" w:eastAsia="Arial" w:hAnsi="Arial"/>
          <w:sz w:val="22"/>
          <w:szCs w:val="22"/>
        </w:rPr>
        <w:t xml:space="preserve">The Security Agent audits against all five HIPAA Security Rule technical safeguards (45 CFR 164.312), including upcoming 2026 mandatory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DDDDDD" w:sz="1"/>
              <w:left w:val="single" w:color="DDDDDD" w:sz="1"/>
              <w:bottom w:val="single" w:color="DDDDDD" w:sz="1"/>
              <w:right w:val="single" w:color="DDDDDD" w:sz="1"/>
            </w:tcBorders>
            <w:shd w:fill="212070"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000"/>
            <w:tcBorders>
              <w:top w:val="single" w:color="DDDDDD" w:sz="1"/>
              <w:left w:val="single" w:color="DDDDDD" w:sz="1"/>
              <w:bottom w:val="single" w:color="DDDDDD" w:sz="1"/>
              <w:right w:val="single" w:color="DDDDDD" w:sz="1"/>
            </w:tcBorders>
            <w:shd w:fill="212070" w:val="clear"/>
            <w:tcMar>
              <w:top w:type="dxa" w:w="80"/>
              <w:left w:type="dxa" w:w="120"/>
              <w:bottom w:type="dxa" w:w="80"/>
              <w:right w:type="dxa" w:w="120"/>
            </w:tcMar>
            <w:vAlign w:val="center"/>
          </w:tcPr>
          <w:p>
            <w:r>
              <w:rPr>
                <w:rFonts w:ascii="Arial" w:cs="Arial" w:eastAsia="Arial" w:hAnsi="Arial"/>
                <w:b/>
                <w:bCs/>
                <w:color w:val="FFFFFF"/>
                <w:sz w:val="20"/>
                <w:szCs w:val="20"/>
              </w:rPr>
              <w:t xml:space="preserve">2026 Status</w:t>
            </w:r>
          </w:p>
        </w:tc>
        <w:tc>
          <w:tcPr>
            <w:tcW w:type="dxa" w:w="4160"/>
            <w:tcBorders>
              <w:top w:val="single" w:color="DDDDDD" w:sz="1"/>
              <w:left w:val="single" w:color="DDDDDD" w:sz="1"/>
              <w:bottom w:val="single" w:color="DDDDDD" w:sz="1"/>
              <w:right w:val="single" w:color="DDDDDD" w:sz="1"/>
            </w:tcBorders>
            <w:shd w:fill="212070"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We Check</w:t>
            </w:r>
          </w:p>
        </w:tc>
      </w:tr>
      <w:tr>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sz w:val="20"/>
                <w:szCs w:val="20"/>
              </w:rPr>
              <w:t xml:space="preserve">Access Controls (164.312(a))</w:t>
            </w:r>
          </w:p>
        </w:tc>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DC298D"/>
                <w:sz w:val="20"/>
                <w:szCs w:val="20"/>
              </w:rPr>
              <w:t xml:space="preserve">All Required</w:t>
            </w:r>
          </w:p>
        </w:tc>
        <w:tc>
          <w:tcPr>
            <w:tcW w:type="dxa" w:w="4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Unique user IDs, emergency access, auto-logoff, encryption</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Audit Controls (164.312(b))</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C298D"/>
                <w:sz w:val="20"/>
                <w:szCs w:val="20"/>
              </w:rPr>
              <w:t xml:space="preserve">Required</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PHI access logging, log retention (6+ years), log integrity</w:t>
            </w:r>
          </w:p>
        </w:tc>
      </w:tr>
      <w:tr>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sz w:val="20"/>
                <w:szCs w:val="20"/>
              </w:rPr>
              <w:t xml:space="preserve">Integrity Controls (164.312(c))</w:t>
            </w:r>
          </w:p>
        </w:tc>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DC298D"/>
                <w:sz w:val="20"/>
                <w:szCs w:val="20"/>
              </w:rPr>
              <w:t xml:space="preserve">Required</w:t>
            </w:r>
          </w:p>
        </w:tc>
        <w:tc>
          <w:tcPr>
            <w:tcW w:type="dxa" w:w="4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Data integrity mechanisms, ePHI source authentication</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Authentication (164.312(d))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DC298D"/>
                <w:sz w:val="20"/>
                <w:szCs w:val="20"/>
              </w:rPr>
              <w:t xml:space="preserve">MFA Required</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Multi-factor auth, password policy, session management</w:t>
            </w:r>
          </w:p>
        </w:tc>
      </w:tr>
      <w:tr>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sz w:val="20"/>
                <w:szCs w:val="20"/>
              </w:rPr>
              <w:t xml:space="preserve">Transmission Security (164.312(e))</w:t>
            </w:r>
          </w:p>
        </w:tc>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bCs/>
                <w:color w:val="DC298D"/>
                <w:sz w:val="20"/>
                <w:szCs w:val="20"/>
              </w:rPr>
              <w:t xml:space="preserve">Required</w:t>
            </w:r>
          </w:p>
        </w:tc>
        <w:tc>
          <w:tcPr>
            <w:tcW w:type="dxa" w:w="4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TLS 1.2+, encrypted database connections, no PHI in URLs</w:t>
            </w:r>
          </w:p>
        </w:tc>
      </w:tr>
    </w:tbl>
    <w:p>
      <w:pPr>
        <w:pStyle w:val="Heading1"/>
      </w:pPr>
      <w:r>
        <w:t xml:space="preserve">Installation</w:t>
      </w:r>
    </w:p>
    <w:p>
      <w:pPr>
        <w:pStyle w:val="Heading2"/>
      </w:pPr>
      <w:r>
        <w:t xml:space="preserve">Option 1: Plugin File (Recommended)</w:t>
      </w:r>
    </w:p>
    <w:p>
      <w:pPr>
        <w:spacing w:after="120"/>
      </w:pPr>
      <w:r>
        <w:rPr>
          <w:rFonts w:ascii="Arial" w:cs="Arial" w:eastAsia="Arial" w:hAnsi="Arial"/>
          <w:sz w:val="22"/>
          <w:szCs w:val="22"/>
        </w:rPr>
        <w:t xml:space="preserve">Download hipaa-dev-team.plugin from mswlab.ai/agents and open it. Claude will prompt you to install automatically.</w:t>
      </w:r>
    </w:p>
    <w:p>
      <w:pPr>
        <w:pStyle w:val="Heading2"/>
      </w:pPr>
      <w:r>
        <w:t xml:space="preserve">Option 2: One-Line Install</w:t>
      </w:r>
    </w:p>
    <w:p>
      <w:pPr>
        <w:spacing w:after="120"/>
      </w:pPr>
      <w:r>
        <w:rPr>
          <w:rFonts w:ascii="Courier New" w:cs="Courier New" w:eastAsia="Courier New" w:hAnsi="Courier New"/>
          <w:color w:val="06ABEB"/>
          <w:sz w:val="20"/>
          <w:szCs w:val="20"/>
        </w:rPr>
        <w:t xml:space="preserve">curl -sL https://mswlab.ai/install.sh | bash</w:t>
      </w:r>
    </w:p>
    <w:p>
      <w:pPr>
        <w:pStyle w:val="Heading2"/>
      </w:pPr>
      <w:r>
        <w:t xml:space="preserve">Option 3: Manual Copy</w:t>
      </w:r>
    </w:p>
    <w:p>
      <w:pPr>
        <w:spacing w:after="120"/>
      </w:pPr>
      <w:r>
        <w:rPr>
          <w:rFonts w:ascii="Courier New" w:cs="Courier New" w:eastAsia="Courier New" w:hAnsi="Courier New"/>
          <w:color w:val="06ABEB"/>
          <w:sz w:val="20"/>
          <w:szCs w:val="20"/>
        </w:rPr>
        <w:t xml:space="preserve">cp -r hipaa-dev-team ~/.claude/skills/</w:t>
      </w:r>
    </w:p>
    <w:p>
      <w:pPr>
        <w:spacing w:before="200" w:after="200"/>
      </w:pPr>
      <w:r>
        <w:rPr>
          <w:rFonts w:ascii="Arial" w:cs="Arial" w:eastAsia="Arial" w:hAnsi="Arial"/>
          <w:sz w:val="22"/>
          <w:szCs w:val="22"/>
        </w:rPr>
        <w:t xml:space="preserve">After installation, start a new Claude Code session. The plugin will be available immediately.</w:t>
      </w:r>
    </w:p>
    <w:p>
      <w:pPr>
        <w:pStyle w:val="Heading1"/>
      </w:pPr>
      <w:r>
        <w:t xml:space="preserve">Tmux Multi-Pane Workflow</w:t>
      </w:r>
    </w:p>
    <w:p>
      <w:pPr>
        <w:spacing w:after="200"/>
      </w:pPr>
      <w:r>
        <w:rPr>
          <w:rFonts w:ascii="Arial" w:cs="Arial" w:eastAsia="Arial" w:hAnsi="Arial"/>
          <w:sz w:val="22"/>
          <w:szCs w:val="22"/>
        </w:rPr>
        <w:t xml:space="preserve">For visual development, the plugin includes a tmux launcher that opens multiple Claude Code sessions in parallel panes. You can watch agents working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DDDDDD" w:sz="1"/>
              <w:left w:val="single" w:color="DDDDDD" w:sz="1"/>
              <w:bottom w:val="single" w:color="DDDDDD" w:sz="1"/>
              <w:right w:val="single" w:color="DDDDDD" w:sz="1"/>
            </w:tcBorders>
            <w:shd w:fill="212070"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2000"/>
            <w:tcBorders>
              <w:top w:val="single" w:color="DDDDDD" w:sz="1"/>
              <w:left w:val="single" w:color="DDDDDD" w:sz="1"/>
              <w:bottom w:val="single" w:color="DDDDDD" w:sz="1"/>
              <w:right w:val="single" w:color="DDDDDD" w:sz="1"/>
            </w:tcBorders>
            <w:shd w:fill="212070" w:val="clear"/>
            <w:tcMar>
              <w:top w:type="dxa" w:w="80"/>
              <w:left w:type="dxa" w:w="120"/>
              <w:bottom w:type="dxa" w:w="80"/>
              <w:right w:type="dxa" w:w="120"/>
            </w:tcMar>
            <w:vAlign w:val="center"/>
          </w:tcPr>
          <w:p>
            <w:r>
              <w:rPr>
                <w:rFonts w:ascii="Arial" w:cs="Arial" w:eastAsia="Arial" w:hAnsi="Arial"/>
                <w:b/>
                <w:bCs/>
                <w:color w:val="FFFFFF"/>
                <w:sz w:val="20"/>
                <w:szCs w:val="20"/>
              </w:rPr>
              <w:t xml:space="preserve">Panes</w:t>
            </w:r>
          </w:p>
        </w:tc>
        <w:tc>
          <w:tcPr>
            <w:tcW w:type="dxa" w:w="4860"/>
            <w:tcBorders>
              <w:top w:val="single" w:color="DDDDDD" w:sz="1"/>
              <w:left w:val="single" w:color="DDDDDD" w:sz="1"/>
              <w:bottom w:val="single" w:color="DDDDDD" w:sz="1"/>
              <w:right w:val="single" w:color="DDDDDD" w:sz="1"/>
            </w:tcBorders>
            <w:shd w:fill="212070"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Agents</w:t>
            </w:r>
          </w:p>
        </w:tc>
      </w:tr>
      <w:tr>
        <w:tc>
          <w:tcPr>
            <w:tcW w:type="dxa" w:w="25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Courier New" w:cs="Courier New" w:eastAsia="Courier New" w:hAnsi="Courier New"/>
                <w:b/>
                <w:bCs/>
                <w:sz w:val="20"/>
                <w:szCs w:val="20"/>
              </w:rPr>
              <w:t xml:space="preserve">full</w:t>
            </w:r>
          </w:p>
        </w:tc>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4 panes</w:t>
            </w:r>
          </w:p>
        </w:tc>
        <w:tc>
          <w:tcPr>
            <w:tcW w:type="dxa" w:w="48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Team Lead + Frontend + Backend + Security</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sz w:val="20"/>
                <w:szCs w:val="20"/>
              </w:rPr>
              <w:t xml:space="preserve">build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 panes</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Team Lead + Frontend + Backend</w:t>
            </w:r>
          </w:p>
        </w:tc>
      </w:tr>
      <w:tr>
        <w:tc>
          <w:tcPr>
            <w:tcW w:type="dxa" w:w="25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Courier New" w:cs="Courier New" w:eastAsia="Courier New" w:hAnsi="Courier New"/>
                <w:b/>
                <w:bCs/>
                <w:sz w:val="20"/>
                <w:szCs w:val="20"/>
              </w:rPr>
              <w:t xml:space="preserve">review</w:t>
            </w:r>
          </w:p>
        </w:tc>
        <w:tc>
          <w:tcPr>
            <w:tcW w:type="dxa" w:w="2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2 panes</w:t>
            </w:r>
          </w:p>
        </w:tc>
        <w:tc>
          <w:tcPr>
            <w:tcW w:type="dxa" w:w="48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sz w:val="20"/>
                <w:szCs w:val="20"/>
              </w:rPr>
              <w:t xml:space="preserve">Team Lead + Security</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b/>
                <w:bCs/>
                <w:sz w:val="20"/>
                <w:szCs w:val="20"/>
              </w:rPr>
              <w:t xml:space="preserve">solo</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1 pane</w:t>
            </w:r>
          </w:p>
        </w:tc>
        <w:tc>
          <w:tcPr>
            <w:tcW w:type="dxa" w:w="4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Team Lead (spawns subagents internally)</w:t>
            </w:r>
          </w:p>
        </w:tc>
      </w:tr>
    </w:tbl>
    <w:p>
      <w:pPr>
        <w:spacing w:before="600"/>
      </w:pPr>
    </w:p>
    <w:p>
      <w:pPr>
        <w:pBdr>
          <w:top w:val="single" w:color="06ABEB" w:sz="2" w:space="8"/>
        </w:pBdr>
        <w:spacing w:before="200" w:after="100"/>
        <w:jc w:val="center"/>
      </w:pPr>
      <w:r>
        <w:rPr>
          <w:rFonts w:ascii="Arial" w:cs="Arial" w:eastAsia="Arial" w:hAnsi="Arial"/>
          <w:b/>
          <w:bCs/>
          <w:color w:val="212070"/>
          <w:sz w:val="20"/>
          <w:szCs w:val="20"/>
        </w:rPr>
        <w:t xml:space="preserve">MSW AI Lab  •  Mount Sinai Health System</w:t>
      </w:r>
    </w:p>
    <w:p>
      <w:pPr>
        <w:jc w:val="center"/>
      </w:pPr>
      <w:hyperlink w:history="1" r:id="rIdzzmueg3srnmw0whbnkhz8">
        <w:r>
          <w:rPr>
            <w:rStyle w:val="Hyperlink"/>
            <w:rFonts w:ascii="Arial" w:cs="Arial" w:eastAsia="Arial" w:hAnsi="Arial"/>
            <w:sz w:val="20"/>
            <w:szCs w:val="20"/>
          </w:rPr>
          <w:t xml:space="preserve">mswlab.ai</w:t>
        </w:r>
      </w:hyperlink>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ABEB" w:sz="2" w:space="4"/>
      </w:pBdr>
      <w:tabs>
        <w:tab w:val="right" w:pos="9026"/>
      </w:tabs>
    </w:pPr>
    <w:r>
      <w:rPr>
        <w:rFonts w:ascii="Arial" w:cs="Arial" w:eastAsia="Arial" w:hAnsi="Arial"/>
        <w:b/>
        <w:bCs/>
        <w:color w:val="212070"/>
        <w:sz w:val="16"/>
        <w:szCs w:val="16"/>
      </w:rPr>
      <w:t xml:space="preserve">HIPAA Dev Team</w:t>
    </w:r>
    <w:r>
      <w:rPr>
        <w:rFonts w:ascii="Arial" w:cs="Arial" w:eastAsia="Arial" w:hAnsi="Arial"/>
        <w:color w:val="AAAAAA"/>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1207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0002D"/>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120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p8w7aeqtkd6p0in6fvee0" Type="http://schemas.openxmlformats.org/officeDocument/2006/relationships/hyperlink" Target="https://mswlab.ai/agents" TargetMode="External"/><Relationship Id="rIdzzmueg3srnmw0whbnkhz8" Type="http://schemas.openxmlformats.org/officeDocument/2006/relationships/hyperlink" Target="https://mswlab.ai"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2026-02-16T22:48:47.043Z</dcterms:created>
  <dcterms:modified xsi:type="dcterms:W3CDTF">2026-02-16T22:48:47.043Z</dcterms:modified>
</cp:coreProperties>
</file>

<file path=docProps/custom.xml><?xml version="1.0" encoding="utf-8"?>
<Properties xmlns="http://schemas.openxmlformats.org/officeDocument/2006/custom-properties" xmlns:vt="http://schemas.openxmlformats.org/officeDocument/2006/docPropsVTypes"/>
</file>