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sets</w:t>
      </w:r>
      <w:r>
        <w:t xml:space="preserve"> </w:t>
      </w:r>
      <w:r>
        <w:t xml:space="preserve">of</w:t>
      </w:r>
      <w:r>
        <w:t xml:space="preserve"> </w:t>
      </w:r>
      <w:r>
        <w:t xml:space="preserve">genomic</w:t>
      </w:r>
      <w:r>
        <w:t xml:space="preserve"> </w:t>
      </w:r>
      <w:r>
        <w:t xml:space="preserve">ranges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2016-01-24</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pPr>
        <w:pStyle w:val="Heading1"/>
      </w:pPr>
      <w:bookmarkStart w:id="26" w:name="example-1-annotation-of-any-set-of-genomic-ranges"/>
      <w:bookmarkEnd w:id="26"/>
      <w:r>
        <w:t xml:space="preserve">Example 1: Annotation of Any Set of Genomic Ranges</w:t>
      </w:r>
    </w:p>
    <w:p>
      <w:r>
        <w:t xml:space="preserve">This example will demonstrate how to save detailed gene model and feature annotations for any set of query ranges using Goldmine. Summarization and plotting of context proportions across the range set is also demonstrated. A list of variable-size genomic ranges representing regions with changes in DNA methylation is used as an example. This query range set can be interchanged for any set of interest.</w:t>
      </w:r>
    </w:p>
    <w:p>
      <w:pPr>
        <w:pStyle w:val="Heading2"/>
      </w:pPr>
      <w:bookmarkStart w:id="27" w:name="loading-genomic-ranges"/>
      <w:bookmarkEnd w:id="27"/>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8">
        <w:r>
          <w:rPr>
            <w:rStyle w:val="Link"/>
          </w:rPr>
          <w:t xml:space="preserve">Methylaction</w:t>
        </w:r>
      </w:hyperlink>
      <w:r>
        <w:t xml:space="preserve"> </w:t>
      </w:r>
      <w:r>
        <w:t xml:space="preserve">on MeDIP-seq data produced by the</w:t>
      </w:r>
      <w:r>
        <w:t xml:space="preserve"> </w:t>
      </w:r>
      <w:hyperlink r:id="rId29">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SourceCode"/>
      </w:pPr>
      <w:r>
        <w:rPr>
          <w:rStyle w:val="VerbatimChar"/>
        </w:rPr>
        <w:t xml:space="preserve">##    chr   start     end width  anodev.padj                   pattern</w:t>
      </w:r>
      <w:r>
        <w:br w:type="textWrapping"/>
      </w:r>
      <w:r>
        <w:rPr>
          <w:rStyle w:val="VerbatimChar"/>
        </w:rPr>
        <w:t xml:space="preserve">## 1 chr1 2455051 2455750   700 8.009212e-03 CD4+ Hypermethylation DMR</w:t>
      </w:r>
      <w:r>
        <w:br w:type="textWrapping"/>
      </w:r>
      <w:r>
        <w:rPr>
          <w:rStyle w:val="VerbatimChar"/>
        </w:rPr>
        <w:t xml:space="preserve">## 2 chr1 4375751 4376100   350 8.495559e-03 CD4+ Hypermethylation DMR</w:t>
      </w:r>
      <w:r>
        <w:br w:type="textWrapping"/>
      </w:r>
      <w:r>
        <w:rPr>
          <w:rStyle w:val="VerbatimChar"/>
        </w:rPr>
        <w:t xml:space="preserve">## 3 chr1 5449301 5449650   350 1.570646e-09 CD4+ Hypermethylation DMR</w:t>
      </w:r>
      <w:r>
        <w:br w:type="textWrapping"/>
      </w:r>
      <w:r>
        <w:rPr>
          <w:rStyle w:val="VerbatimChar"/>
        </w:rPr>
        <w:t xml:space="preserve">## 4 chr1 8973301 8973900   600 9.617668e-03 CD4+ Hypermethylation DMR</w:t>
      </w:r>
      <w:r>
        <w:br w:type="textWrapping"/>
      </w:r>
      <w:r>
        <w:rPr>
          <w:rStyle w:val="VerbatimChar"/>
        </w:rPr>
        <w:t xml:space="preserve">## 5 chr1 8982951 8985500  2550 2.493749e-10 CD4+ Hypermethylation DMR</w:t>
      </w:r>
      <w:r>
        <w:br w:type="textWrapping"/>
      </w:r>
      <w:r>
        <w:rPr>
          <w:rStyle w:val="VerbatimChar"/>
        </w:rPr>
        <w:t xml:space="preserve">## 6 chr1 8985851 8986850  1000 6.689607e-05 CD4+ Hypermethylation DMR</w:t>
      </w:r>
      <w:r>
        <w:br w:type="textWrapping"/>
      </w:r>
      <w:r>
        <w:rPr>
          <w:rStyle w:val="VerbatimChar"/>
        </w:rPr>
        <w:t xml:space="preserve">##   Cd8Naive_over_Cd4Naive.log2fc dmrid</w:t>
      </w:r>
      <w:r>
        <w:br w:type="textWrapping"/>
      </w:r>
      <w:r>
        <w:rPr>
          <w:rStyle w:val="VerbatimChar"/>
        </w:rPr>
        <w:t xml:space="preserve">## 1                    -1.1979293    41</w:t>
      </w:r>
      <w:r>
        <w:br w:type="textWrapping"/>
      </w:r>
      <w:r>
        <w:rPr>
          <w:rStyle w:val="VerbatimChar"/>
        </w:rPr>
        <w:t xml:space="preserve">## 2                    -1.2370330    65</w:t>
      </w:r>
      <w:r>
        <w:br w:type="textWrapping"/>
      </w:r>
      <w:r>
        <w:rPr>
          <w:rStyle w:val="VerbatimChar"/>
        </w:rPr>
        <w:t xml:space="preserve">## 3                    -2.2370278    95</w:t>
      </w:r>
      <w:r>
        <w:br w:type="textWrapping"/>
      </w:r>
      <w:r>
        <w:rPr>
          <w:rStyle w:val="VerbatimChar"/>
        </w:rPr>
        <w:t xml:space="preserve">## 4                    -0.6765281   166</w:t>
      </w:r>
      <w:r>
        <w:br w:type="textWrapping"/>
      </w:r>
      <w:r>
        <w:rPr>
          <w:rStyle w:val="VerbatimChar"/>
        </w:rPr>
        <w:t xml:space="preserve">## 5                    -1.2452204   169</w:t>
      </w:r>
      <w:r>
        <w:br w:type="textWrapping"/>
      </w:r>
      <w:r>
        <w:rPr>
          <w:rStyle w:val="VerbatimChar"/>
        </w:rPr>
        <w:t xml:space="preserve">## 6                    -1.9854875   170</w:t>
      </w:r>
    </w:p>
    <w:p>
      <w:pPr>
        <w:pStyle w:val="Heading2"/>
      </w:pPr>
      <w:bookmarkStart w:id="30" w:name="annotation-of-genomic-ranges"/>
      <w:bookmarkEnd w:id="30"/>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1">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pPr>
        <w:pStyle w:val="SourceCode"/>
      </w:pPr>
      <w:r>
        <w:rPr>
          <w:rStyle w:val="VerbatimChar"/>
        </w:rPr>
        <w:t xml:space="preserve">##          Length Class      Mode</w:t>
      </w:r>
      <w:r>
        <w:br w:type="textWrapping"/>
      </w:r>
      <w:r>
        <w:rPr>
          <w:rStyle w:val="VerbatimChar"/>
        </w:rPr>
        <w:t xml:space="preserve">## context  23     data.table list</w:t>
      </w:r>
      <w:r>
        <w:br w:type="textWrapping"/>
      </w:r>
      <w:r>
        <w:rPr>
          <w:rStyle w:val="VerbatimChar"/>
        </w:rPr>
        <w:t xml:space="preserve">## genes    20     data.table list</w:t>
      </w:r>
      <w:r>
        <w:br w:type="textWrapping"/>
      </w:r>
      <w:r>
        <w:rPr>
          <w:rStyle w:val="VerbatimChar"/>
        </w:rPr>
        <w:t xml:space="preserve">## features  0     -none-     list</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p>
    <w:p>
      <w:pPr>
        <w:pStyle w:val="SourceCode"/>
      </w:pPr>
      <w:r>
        <w:rPr>
          <w:rStyle w:val="VerbatimChar"/>
        </w:rPr>
        <w:t xml:space="preserve">## [1] 1915</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"url"</w:t>
      </w:r>
    </w:p>
    <w:p>
      <w:r>
        <w:t xml:space="preserve">However, gene annotations can be very complex due to overlapping/nested genes and the diversity of gene isoforms. To capture isoform-level detail, the "gene" table is generated. This is a "long" format table, which is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p>
    <w:p>
      <w:pPr>
        <w:pStyle w:val="SourceCode"/>
      </w:pPr>
      <w:r>
        <w:rPr>
          <w:rStyle w:val="VerbatimChar"/>
        </w:rPr>
        <w:t xml:space="preserve">## [1] 3655</w:t>
      </w:r>
    </w:p>
    <w:p>
      <w:pPr>
        <w:pStyle w:val="SourceCode"/>
      </w:pPr>
      <w:r>
        <w:rPr>
          <w:rStyle w:val="KeywordTok"/>
        </w:rPr>
        <w:t xml:space="preserve">colnames</w:t>
      </w:r>
      <w:r>
        <w:rPr>
          <w:rStyle w:val="NormalTok"/>
        </w:rPr>
        <w:t xml:space="preserve">(gm$genes)</w:t>
      </w:r>
    </w:p>
    <w:p>
      <w:pPr>
        <w:pStyle w:val="SourceCode"/>
      </w:pPr>
      <w:r>
        <w:rPr>
          <w:rStyle w:val="VerbatimChar"/>
        </w:rPr>
        <w:t xml:space="preserve">##  [1] "qrow"                "srow"                "query.chr"          </w:t>
      </w:r>
      <w:r>
        <w:br w:type="textWrapping"/>
      </w:r>
      <w:r>
        <w:rPr>
          <w:rStyle w:val="VerbatimChar"/>
        </w:rPr>
        <w:t xml:space="preserve">##  [4] "query.start"         "query.end"           "gene.symbol"        </w:t>
      </w:r>
      <w:r>
        <w:br w:type="textWrapping"/>
      </w:r>
      <w:r>
        <w:rPr>
          <w:rStyle w:val="VerbatimChar"/>
        </w:rPr>
        <w:t xml:space="preserve">##  [7] "gene.id"             "isoform.id"          "isoform.chr"        </w:t>
      </w:r>
      <w:r>
        <w:br w:type="textWrapping"/>
      </w:r>
      <w:r>
        <w:rPr>
          <w:rStyle w:val="VerbatimChar"/>
        </w:rPr>
        <w:t xml:space="preserve">## [10] "isoform.start"       "isoform.end"         "isoform.strand"     </w:t>
      </w:r>
      <w:r>
        <w:br w:type="textWrapping"/>
      </w:r>
      <w:r>
        <w:rPr>
          <w:rStyle w:val="VerbatimChar"/>
        </w:rPr>
        <w:t xml:space="preserve">## [13] "overlap.bp"          "query.overlap.per"   "isoform.overlap.per"</w:t>
      </w:r>
      <w:r>
        <w:br w:type="textWrapping"/>
      </w:r>
      <w:r>
        <w:rPr>
          <w:rStyle w:val="VerbatimChar"/>
        </w:rPr>
        <w:t xml:space="preserve">## [16] "noncoding"           "Promoter"            "ExonIntron"         </w:t>
      </w:r>
      <w:r>
        <w:br w:type="textWrapping"/>
      </w:r>
      <w:r>
        <w:rPr>
          <w:rStyle w:val="VerbatimChar"/>
        </w:rPr>
        <w:t xml:space="preserve">## [19] "3' End"              "url"</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The ENSEMBL and RefSeq genes can also be used.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2"/>
      </w:pPr>
      <w:bookmarkStart w:id="32" w:name="annotation-of-features"/>
      <w:bookmarkEnd w:id="32"/>
      <w:r>
        <w:t xml:space="preserve">Annotation of Features</w:t>
      </w:r>
    </w:p>
    <w:p>
      <w:r>
        <w:t xml:space="preserve">In addition to gene models, Goldmine can report annotation and overlap with any feature set available from UCSC. Please see the</w:t>
      </w:r>
      <w:r>
        <w:t xml:space="preserve"> </w:t>
      </w:r>
      <w:hyperlink r:id="rId33">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datasets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76.6% of 1867665 rows</w:t>
      </w:r>
      <w:r>
        <w:br w:type="textWrapping"/>
      </w:r>
      <w:r>
        <w:rPr>
          <w:rStyle w:val="VerbatimChar"/>
        </w:rPr>
        <w:t xml:space="preserve">Read 1867665 rows and 9 (of 9) columns from 0.212 GB file in 00:00:03</w:t>
      </w:r>
      <w:r>
        <w:br w:type="textWrapping"/>
      </w:r>
      <w:r>
        <w:rPr>
          <w:rStyle w:val="VerbatimChar"/>
        </w:rPr>
        <w:t xml:space="preserve">## </w:t>
      </w:r>
      <w:r>
        <w:br w:type="textWrapping"/>
      </w:r>
      <w:r>
        <w:rPr>
          <w:rStyle w:val="VerbatimChar"/>
        </w:rPr>
        <w:t xml:space="preserve">Read 0.0% of 4380444 rows</w:t>
      </w:r>
      <w:r>
        <w:br w:type="textWrapping"/>
      </w:r>
      <w:r>
        <w:rPr>
          <w:rStyle w:val="VerbatimChar"/>
        </w:rPr>
        <w:t xml:space="preserve">Read 34.0% of 4380444 rows</w:t>
      </w:r>
      <w:r>
        <w:br w:type="textWrapping"/>
      </w:r>
      <w:r>
        <w:rPr>
          <w:rStyle w:val="VerbatimChar"/>
        </w:rPr>
        <w:t xml:space="preserve">Read 67.6% of 4380444 rows</w:t>
      </w:r>
      <w:r>
        <w:br w:type="textWrapping"/>
      </w:r>
      <w:r>
        <w:rPr>
          <w:rStyle w:val="VerbatimChar"/>
        </w:rPr>
        <w:t xml:space="preserve">Read 99.5% of 4380444 rows</w:t>
      </w:r>
      <w:r>
        <w:br w:type="textWrapping"/>
      </w:r>
      <w:r>
        <w:rPr>
          <w:rStyle w:val="VerbatimChar"/>
        </w:rPr>
        <w:t xml:space="preserve">Read 4380444 rows and 9 (of 9) columns from 0.257 GB file in 00:00:07</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pPr>
        <w:pStyle w:val="SourceCode"/>
      </w:pPr>
      <w:r>
        <w:rPr>
          <w:rStyle w:val="VerbatimChar"/>
        </w:rPr>
        <w:t xml:space="preserve">##                             Length  Class   Mode</w:t>
      </w:r>
      <w:r>
        <w:br w:type="textWrapping"/>
      </w:r>
      <w:r>
        <w:rPr>
          <w:rStyle w:val="VerbatimChar"/>
        </w:rPr>
        <w:t xml:space="preserve">## wgEncodeRegDnaseClusteredV3 1867665 GRanges S4  </w:t>
      </w:r>
      <w:r>
        <w:br w:type="textWrapping"/>
      </w:r>
      <w:r>
        <w:rPr>
          <w:rStyle w:val="VerbatimChar"/>
        </w:rPr>
        <w:t xml:space="preserve">## wgEncodeRegTfbsClusteredV3  4380444 GRanges S4  </w:t>
      </w:r>
      <w:r>
        <w:br w:type="textWrapping"/>
      </w:r>
      <w:r>
        <w:rPr>
          <w:rStyle w:val="VerbatimChar"/>
        </w:rPr>
        <w:t xml:space="preserve">## cpgIsland                     28691 GRanges S4  </w:t>
      </w:r>
      <w:r>
        <w:br w:type="textWrapping"/>
      </w:r>
      <w:r>
        <w:rPr>
          <w:rStyle w:val="VerbatimChar"/>
        </w:rPr>
        <w:t xml:space="preserve">## cpgShore                      51914 GRanges S4  </w:t>
      </w:r>
      <w:r>
        <w:br w:type="textWrapping"/>
      </w:r>
      <w:r>
        <w:rPr>
          <w:rStyle w:val="VerbatimChar"/>
        </w:rPr>
        <w:t xml:space="preserve">## cpgShelf                      43752 GRanges S4</w:t>
      </w:r>
    </w:p>
    <w:p>
      <w:r>
        <w:t xml:space="preserve">When all feature sets of interest have been joined into an R list object, this object can be provided to the "features" option of goldmine() and annotation performed. In this example we also use the ENSEMBL genes.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KeywordTok"/>
        </w:rPr>
        <w:t xml:space="preserve">getGenes</w:t>
      </w:r>
      <w:r>
        <w:rPr>
          <w:rStyle w:val="NormalTok"/>
        </w:rPr>
        <w:t xml:space="preserve">(</w:t>
      </w:r>
      <w:r>
        <w:rPr>
          <w:rStyle w:val="StringTok"/>
        </w:rPr>
        <w:t xml:space="preserve">"ensembl"</w:t>
      </w:r>
      <w:r>
        <w:rPr>
          <w:rStyle w:val="NormalTok"/>
        </w:rPr>
        <w:t xml:space="preserve">,</w:t>
      </w:r>
      <w:r>
        <w:rPr>
          <w:rStyle w:val="DataTypeTok"/>
        </w:rPr>
        <w:t xml:space="preserve">genome=</w:t>
      </w:r>
      <w:r>
        <w:rPr>
          <w:rStyle w:val="NormalTok"/>
        </w:rPr>
        <w:t xml:space="preserve">genome,cachedir)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68.3% of 204940 rows</w:t>
      </w:r>
      <w:r>
        <w:br w:type="textWrapping"/>
      </w:r>
      <w:r>
        <w:rPr>
          <w:rStyle w:val="VerbatimChar"/>
        </w:rPr>
        <w:t xml:space="preserve">Read 204940 rows and 16 (of 16) columns from 0.043 GB file in 00:00:03</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  </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"wgEncodeRegDnaseClusteredV3_per" "wgEncodeRegTfbsClusteredV3_per" </w:t>
      </w:r>
      <w:r>
        <w:br w:type="textWrapping"/>
      </w:r>
      <w:r>
        <w:rPr>
          <w:rStyle w:val="VerbatimChar"/>
        </w:rPr>
        <w:t xml:space="preserve">## [25] "cpgIsland_per"                   "cpgShore_per"                   </w:t>
      </w:r>
      <w:r>
        <w:br w:type="textWrapping"/>
      </w:r>
      <w:r>
        <w:rPr>
          <w:rStyle w:val="VerbatimChar"/>
        </w:rPr>
        <w:t xml:space="preserve">## [27] "cpgShelf_per"                    "url"</w:t>
      </w:r>
    </w:p>
    <w:p>
      <w:pPr>
        <w:pStyle w:val="SourceCode"/>
      </w:pPr>
      <w:r>
        <w:rPr>
          <w:rStyle w:val="KeywordTok"/>
        </w:rPr>
        <w:t xml:space="preserve">summary</w:t>
      </w:r>
      <w:r>
        <w:rPr>
          <w:rStyle w:val="NormalTok"/>
        </w:rPr>
        <w:t xml:space="preserve">(gm$features)</w:t>
      </w:r>
    </w:p>
    <w:p>
      <w:pPr>
        <w:pStyle w:val="SourceCode"/>
      </w:pPr>
      <w:r>
        <w:rPr>
          <w:rStyle w:val="VerbatimChar"/>
        </w:rPr>
        <w:t xml:space="preserve">##                             Length Class      Mode</w:t>
      </w:r>
      <w:r>
        <w:br w:type="textWrapping"/>
      </w:r>
      <w:r>
        <w:rPr>
          <w:rStyle w:val="VerbatimChar"/>
        </w:rPr>
        <w:t xml:space="preserve">## wgEncodeRegDnaseClusteredV3 20     data.table list</w:t>
      </w:r>
      <w:r>
        <w:br w:type="textWrapping"/>
      </w:r>
      <w:r>
        <w:rPr>
          <w:rStyle w:val="VerbatimChar"/>
        </w:rPr>
        <w:t xml:space="preserve">## wgEncodeRegTfbsClusteredV3  20     data.table list</w:t>
      </w:r>
      <w:r>
        <w:br w:type="textWrapping"/>
      </w:r>
      <w:r>
        <w:rPr>
          <w:rStyle w:val="VerbatimChar"/>
        </w:rPr>
        <w:t xml:space="preserve">## cpgIsland                   22     data.table list</w:t>
      </w:r>
      <w:r>
        <w:br w:type="textWrapping"/>
      </w:r>
      <w:r>
        <w:rPr>
          <w:rStyle w:val="VerbatimChar"/>
        </w:rPr>
        <w:t xml:space="preserve">## cpgShore                    15     data.table list</w:t>
      </w:r>
      <w:r>
        <w:br w:type="textWrapping"/>
      </w:r>
      <w:r>
        <w:rPr>
          <w:rStyle w:val="VerbatimChar"/>
        </w:rPr>
        <w:t xml:space="preserve">## cpgShelf                    15     data.table list</w:t>
      </w:r>
    </w:p>
    <w:p>
      <w:pPr>
        <w:pStyle w:val="SourceCode"/>
      </w:pPr>
      <w:r>
        <w:rPr>
          <w:rStyle w:val="KeywordTok"/>
        </w:rPr>
        <w:t xml:space="preserve">colnames</w:t>
      </w:r>
      <w:r>
        <w:rPr>
          <w:rStyle w:val="NormalTok"/>
        </w:rPr>
        <w:t xml:space="preserve">(gm$features$wgEncodeRegTfbsClusteredV3)</w:t>
      </w:r>
    </w:p>
    <w:p>
      <w:pPr>
        <w:pStyle w:val="SourceCode"/>
      </w:pPr>
      <w:r>
        <w:rPr>
          <w:rStyle w:val="VerbatimChar"/>
        </w:rPr>
        <w:t xml:space="preserve">##  [1] "query.chr"                          </w:t>
      </w:r>
      <w:r>
        <w:br w:type="textWrapping"/>
      </w:r>
      <w:r>
        <w:rPr>
          <w:rStyle w:val="VerbatimChar"/>
        </w:rPr>
        <w:t xml:space="preserve">##  [2] "query.start"                        </w:t>
      </w:r>
      <w:r>
        <w:br w:type="textWrapping"/>
      </w:r>
      <w:r>
        <w:rPr>
          <w:rStyle w:val="VerbatimChar"/>
        </w:rPr>
        <w:t xml:space="preserve">##  [3] "query.end"                          </w:t>
      </w:r>
      <w:r>
        <w:br w:type="textWrapping"/>
      </w:r>
      <w:r>
        <w:rPr>
          <w:rStyle w:val="VerbatimChar"/>
        </w:rPr>
        <w:t xml:space="preserve">##  [4] "feature.chr"                        </w:t>
      </w:r>
      <w:r>
        <w:br w:type="textWrapping"/>
      </w:r>
      <w:r>
        <w:rPr>
          <w:rStyle w:val="VerbatimChar"/>
        </w:rPr>
        <w:t xml:space="preserve">##  [5] "feature.start"                      </w:t>
      </w:r>
      <w:r>
        <w:br w:type="textWrapping"/>
      </w:r>
      <w:r>
        <w:rPr>
          <w:rStyle w:val="VerbatimChar"/>
        </w:rPr>
        <w:t xml:space="preserve">##  [6] "feature.end"                        </w:t>
      </w:r>
      <w:r>
        <w:br w:type="textWrapping"/>
      </w:r>
      <w:r>
        <w:rPr>
          <w:rStyle w:val="VerbatimChar"/>
        </w:rPr>
        <w:t xml:space="preserve">##  [7] "overlap.query.per"                  </w:t>
      </w:r>
      <w:r>
        <w:br w:type="textWrapping"/>
      </w:r>
      <w:r>
        <w:rPr>
          <w:rStyle w:val="VerbatimChar"/>
        </w:rPr>
        <w:t xml:space="preserve">##  [8] "overlap.feature.per"                </w:t>
      </w:r>
      <w:r>
        <w:br w:type="textWrapping"/>
      </w:r>
      <w:r>
        <w:rPr>
          <w:rStyle w:val="VerbatimChar"/>
        </w:rPr>
        <w:t xml:space="preserve">##  [9] "overlap.bp"                         </w:t>
      </w:r>
      <w:r>
        <w:br w:type="textWrapping"/>
      </w:r>
      <w:r>
        <w:rPr>
          <w:rStyle w:val="VerbatimChar"/>
        </w:rPr>
        <w:t xml:space="preserve">## [10] "query_anodev.padj"                  </w:t>
      </w:r>
      <w:r>
        <w:br w:type="textWrapping"/>
      </w:r>
      <w:r>
        <w:rPr>
          <w:rStyle w:val="VerbatimChar"/>
        </w:rPr>
        <w:t xml:space="preserve">## [11] "query_pattern"                      </w:t>
      </w:r>
      <w:r>
        <w:br w:type="textWrapping"/>
      </w:r>
      <w:r>
        <w:rPr>
          <w:rStyle w:val="VerbatimChar"/>
        </w:rPr>
        <w:t xml:space="preserve">## [12] "query_Cd8Naive_over_Cd4Naive.log2fc"</w:t>
      </w:r>
      <w:r>
        <w:br w:type="textWrapping"/>
      </w:r>
      <w:r>
        <w:rPr>
          <w:rStyle w:val="VerbatimChar"/>
        </w:rPr>
        <w:t xml:space="preserve">## [13] "query_dmrid"                        </w:t>
      </w:r>
      <w:r>
        <w:br w:type="textWrapping"/>
      </w:r>
      <w:r>
        <w:rPr>
          <w:rStyle w:val="VerbatimChar"/>
        </w:rPr>
        <w:t xml:space="preserve">## [14] "query_qrow"                         </w:t>
      </w:r>
      <w:r>
        <w:br w:type="textWrapping"/>
      </w:r>
      <w:r>
        <w:rPr>
          <w:rStyle w:val="VerbatimChar"/>
        </w:rPr>
        <w:t xml:space="preserve">## [15] "feature_name"                       </w:t>
      </w:r>
      <w:r>
        <w:br w:type="textWrapping"/>
      </w:r>
      <w:r>
        <w:rPr>
          <w:rStyle w:val="VerbatimChar"/>
        </w:rPr>
        <w:t xml:space="preserve">## [16] "feature_score"                      </w:t>
      </w:r>
      <w:r>
        <w:br w:type="textWrapping"/>
      </w:r>
      <w:r>
        <w:rPr>
          <w:rStyle w:val="VerbatimChar"/>
        </w:rPr>
        <w:t xml:space="preserve">## [17] "feature_expCount"                   </w:t>
      </w:r>
      <w:r>
        <w:br w:type="textWrapping"/>
      </w:r>
      <w:r>
        <w:rPr>
          <w:rStyle w:val="VerbatimChar"/>
        </w:rPr>
        <w:t xml:space="preserve">## [18] "feature_expNums"                    </w:t>
      </w:r>
      <w:r>
        <w:br w:type="textWrapping"/>
      </w:r>
      <w:r>
        <w:rPr>
          <w:rStyle w:val="VerbatimChar"/>
        </w:rPr>
        <w:t xml:space="preserve">## [19] "feature_expScores"                  </w:t>
      </w:r>
      <w:r>
        <w:br w:type="textWrapping"/>
      </w:r>
      <w:r>
        <w:rPr>
          <w:rStyle w:val="VerbatimChar"/>
        </w:rPr>
        <w:t xml:space="preserve">## [20] "feature_srow"</w:t>
      </w:r>
    </w:p>
    <w:p>
      <w:r>
        <w:t xml:space="preserve">The gmWrite() function simplifies saving all tables in an output list from goldmine() as CSV files for viewing in a spreadsheet or processing outside of R.</w:t>
      </w:r>
    </w:p>
    <w:p>
      <w:pPr>
        <w:pStyle w:val="SourceCode"/>
      </w:pPr>
      <w:r>
        <w:rPr>
          <w:rStyle w:val="KeywordTok"/>
        </w:rPr>
        <w:t xml:space="preserve">gmWrite</w:t>
      </w:r>
      <w:r>
        <w:rPr>
          <w:rStyle w:val="NormalTok"/>
        </w:rPr>
        <w:t xml:space="preserve">(gm, </w:t>
      </w:r>
      <w:r>
        <w:rPr>
          <w:rStyle w:val="DataTypeTok"/>
        </w:rPr>
        <w:t xml:space="preserve">path=</w:t>
      </w:r>
      <w:r>
        <w:rPr>
          <w:rStyle w:val="StringTok"/>
        </w:rPr>
        <w:t xml:space="preserve">"gm_csv"</w:t>
      </w:r>
      <w:r>
        <w:rPr>
          <w:rStyle w:val="NormalTok"/>
        </w:rPr>
        <w:t xml:space="preserve">)</w:t>
      </w:r>
    </w:p>
    <w:p>
      <w:pPr>
        <w:pStyle w:val="Heading2"/>
      </w:pPr>
      <w:bookmarkStart w:id="34" w:name="summary-plots-of-gene-model-and-feature-context-proportions"/>
      <w:bookmarkEnd w:id="34"/>
      <w:r>
        <w:t xml:space="preserve">Summary Plots of Gene Model and Feature Context Proportions</w:t>
      </w:r>
    </w:p>
    <w:p>
      <w:r>
        <w:t xml:space="preserve">A simple way to summarize Goldmine’s annotation results is to plot the proportion of query genomic ranges assigned to each gene model context. This can be accomplished by aggregating Goldmine’s “context” output using data.table and plotting a bar graph using ggplot2.</w:t>
      </w:r>
    </w:p>
    <w:p>
      <w:r>
        <w:t xml:space="preserve">To aggregate the table into frequency and proportion of each context using the results object (gm) from the preceding section:</w:t>
      </w:r>
    </w:p>
    <w:p>
      <w:pPr>
        <w:pStyle w:val="SourceCode"/>
      </w:pPr>
      <w:r>
        <w:rPr>
          <w:rStyle w:val="NormalTok"/>
        </w:rPr>
        <w:t xml:space="preserve">gencon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count=</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"pattern"</w:t>
      </w:r>
      <w:r>
        <w:rPr>
          <w:rStyle w:val="NormalTok"/>
        </w:rPr>
        <w:t xml:space="preserve">,</w:t>
      </w:r>
      <w:r>
        <w:rPr>
          <w:rStyle w:val="StringTok"/>
        </w:rPr>
        <w:t xml:space="preserve">"call"</w:t>
      </w:r>
      <w:r>
        <w:rPr>
          <w:rStyle w:val="NormalTok"/>
        </w:rPr>
        <w:t xml:space="preserve">)]</w:t>
      </w:r>
      <w:r>
        <w:br w:type="textWrapping"/>
      </w:r>
      <w:r>
        <w:rPr>
          <w:rStyle w:val="NormalTok"/>
        </w:rPr>
        <w:t xml:space="preserve">gencon$call &lt;-</w:t>
      </w:r>
      <w:r>
        <w:rPr>
          <w:rStyle w:val="StringTok"/>
        </w:rPr>
        <w:t xml:space="preserve"> </w:t>
      </w:r>
      <w:r>
        <w:rPr>
          <w:rStyle w:val="KeywordTok"/>
        </w:rPr>
        <w:t xml:space="preserve">factor</w:t>
      </w:r>
      <w:r>
        <w:rPr>
          <w:rStyle w:val="NormalTok"/>
        </w:rPr>
        <w:t xml:space="preserve">(gencon$call,</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gencon &lt;-</w:t>
      </w:r>
      <w:r>
        <w:rPr>
          <w:rStyle w:val="StringTok"/>
        </w:rPr>
        <w:t xml:space="preserve"> </w:t>
      </w:r>
      <w:r>
        <w:rPr>
          <w:rStyle w:val="NormalTok"/>
        </w:rPr>
        <w:t xml:space="preserve">gencon[,</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count=</w:t>
      </w:r>
      <w:r>
        <w:rPr>
          <w:rStyle w:val="NormalTok"/>
        </w:rPr>
        <w:t xml:space="preserve">count,</w:t>
      </w:r>
      <w:r>
        <w:rPr>
          <w:rStyle w:val="DataTypeTok"/>
        </w:rPr>
        <w:t xml:space="preserve">total=</w:t>
      </w:r>
      <w:r>
        <w:rPr>
          <w:rStyle w:val="KeywordTok"/>
        </w:rPr>
        <w:t xml:space="preserve">sum</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fraction=</w:t>
      </w:r>
      <w:r>
        <w:rPr>
          <w:rStyle w:val="NormalTok"/>
        </w:rPr>
        <w:t xml:space="preserve">count/</w:t>
      </w:r>
      <w:r>
        <w:rPr>
          <w:rStyle w:val="KeywordTok"/>
        </w:rPr>
        <w:t xml:space="preserve">sum</w:t>
      </w:r>
      <w:r>
        <w:rPr>
          <w:rStyle w:val="NormalTok"/>
        </w:rPr>
        <w:t xml:space="preserve">(count)),by=</w:t>
      </w:r>
      <w:r>
        <w:rPr>
          <w:rStyle w:val="StringTok"/>
        </w:rPr>
        <w:t xml:space="preserve">"pattern"</w:t>
      </w:r>
      <w:r>
        <w:rPr>
          <w:rStyle w:val="NormalTok"/>
        </w:rPr>
        <w:t xml:space="preserve">]</w:t>
      </w:r>
      <w:r>
        <w:br w:type="textWrapping"/>
      </w:r>
      <w:r>
        <w:rPr>
          <w:rStyle w:val="NormalTok"/>
        </w:rPr>
        <w:t xml:space="preserve">gencon</w:t>
      </w:r>
    </w:p>
    <w:p>
      <w:pPr>
        <w:pStyle w:val="SourceCode"/>
      </w:pPr>
      <w:r>
        <w:rPr>
          <w:rStyle w:val="VerbatimChar"/>
        </w:rPr>
        <w:t xml:space="preserve">##                       pattern       call count total   fraction</w:t>
      </w:r>
      <w:r>
        <w:br w:type="textWrapping"/>
      </w:r>
      <w:r>
        <w:rPr>
          <w:rStyle w:val="VerbatimChar"/>
        </w:rPr>
        <w:t xml:space="preserve">##  1: CD4+ Hypermethylation DMR     intron   431   910 0.47362637</w:t>
      </w:r>
      <w:r>
        <w:br w:type="textWrapping"/>
      </w:r>
      <w:r>
        <w:rPr>
          <w:rStyle w:val="VerbatimChar"/>
        </w:rPr>
        <w:t xml:space="preserve">##  2: CD4+ Hypermethylation DMR intergenic   285   910 0.31318681</w:t>
      </w:r>
      <w:r>
        <w:br w:type="textWrapping"/>
      </w:r>
      <w:r>
        <w:rPr>
          <w:rStyle w:val="VerbatimChar"/>
        </w:rPr>
        <w:t xml:space="preserve">##  3: CD4+ Hypermethylation DMR     3' end    68   910 0.07472527</w:t>
      </w:r>
      <w:r>
        <w:br w:type="textWrapping"/>
      </w:r>
      <w:r>
        <w:rPr>
          <w:rStyle w:val="VerbatimChar"/>
        </w:rPr>
        <w:t xml:space="preserve">##  4: CD4+ Hypermethylation DMR   promoter    93   910 0.10219780</w:t>
      </w:r>
      <w:r>
        <w:br w:type="textWrapping"/>
      </w:r>
      <w:r>
        <w:rPr>
          <w:rStyle w:val="VerbatimChar"/>
        </w:rPr>
        <w:t xml:space="preserve">##  5: CD4+ Hypermethylation DMR       exon    33   910 0.03626374</w:t>
      </w:r>
      <w:r>
        <w:br w:type="textWrapping"/>
      </w:r>
      <w:r>
        <w:rPr>
          <w:rStyle w:val="VerbatimChar"/>
        </w:rPr>
        <w:t xml:space="preserve">##  6: CD8+ Hypermethylation DMR     intron   488  1005 0.48557214</w:t>
      </w:r>
      <w:r>
        <w:br w:type="textWrapping"/>
      </w:r>
      <w:r>
        <w:rPr>
          <w:rStyle w:val="VerbatimChar"/>
        </w:rPr>
        <w:t xml:space="preserve">##  7: CD8+ Hypermethylation DMR   promoter    92  1005 0.09154229</w:t>
      </w:r>
      <w:r>
        <w:br w:type="textWrapping"/>
      </w:r>
      <w:r>
        <w:rPr>
          <w:rStyle w:val="VerbatimChar"/>
        </w:rPr>
        <w:t xml:space="preserve">##  8: CD8+ Hypermethylation DMR intergenic   308  1005 0.30646766</w:t>
      </w:r>
      <w:r>
        <w:br w:type="textWrapping"/>
      </w:r>
      <w:r>
        <w:rPr>
          <w:rStyle w:val="VerbatimChar"/>
        </w:rPr>
        <w:t xml:space="preserve">##  9: CD8+ Hypermethylation DMR     3' end    79  1005 0.07860697</w:t>
      </w:r>
      <w:r>
        <w:br w:type="textWrapping"/>
      </w:r>
      <w:r>
        <w:rPr>
          <w:rStyle w:val="VerbatimChar"/>
        </w:rPr>
        <w:t xml:space="preserve">## 10: CD8+ Hypermethylation DMR       exon    38  1005 0.03781095</w:t>
      </w:r>
    </w:p>
    <w:p>
      <w:r>
        <w:t xml:space="preserve">To plot using ggplot2:</w:t>
      </w:r>
    </w:p>
    <w:p>
      <w:pPr>
        <w:pStyle w:val="SourceCode"/>
      </w:pPr>
      <w:r>
        <w:rPr>
          <w:rStyle w:val="KeywordTok"/>
        </w:rPr>
        <w:t xml:space="preserve">ggplot</w:t>
      </w:r>
      <w:r>
        <w:rPr>
          <w:rStyle w:val="NormalTok"/>
        </w:rPr>
        <w:t xml:space="preserve">(gencon,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fraction,</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"Genomic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19-1.png" id="0" name="Picture"/>
                    <pic:cNvPicPr>
                      <a:picLocks noChangeArrowheads="1" noChangeAspect="1"/>
                    </pic:cNvPicPr>
                  </pic:nvPicPr>
                  <pic:blipFill>
                    <a:blip r:embed="rId35"/>
                    <a:stretch>
                      <a:fillRect/>
                    </a:stretch>
                  </pic:blipFill>
                  <pic:spPr bwMode="auto">
                    <a:xfrm>
                      <a:off x="0" y="0"/>
                      <a:ext cx="5440680" cy="3627120"/>
                    </a:xfrm>
                    <a:prstGeom prst="rect">
                      <a:avLst/>
                    </a:prstGeom>
                    <a:noFill/>
                    <a:ln w="9525">
                      <a:noFill/>
                      <a:headEnd/>
                      <a:tailEnd/>
                    </a:ln>
                  </pic:spPr>
                </pic:pic>
              </a:graphicData>
            </a:graphic>
          </wp:inline>
        </w:drawing>
      </w:r>
    </w:p>
    <w:p>
      <w:r>
        <w:t xml:space="preserve">A similar approach can be used to plot feature proportions. In this case, we first convert the fractional overlaps to TRUE/FALSE overlap calls before aggregating and plotting.</w:t>
      </w:r>
    </w:p>
    <w:p>
      <w:pPr>
        <w:pStyle w:val="SourceCode"/>
      </w:pPr>
      <w:r>
        <w:rPr>
          <w:rStyle w:val="NormalTok"/>
        </w:rPr>
        <w:t xml:space="preserve">featcon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CPGisland=</w:t>
      </w:r>
      <w:r>
        <w:rPr>
          <w:rStyle w:val="KeywordTok"/>
        </w:rPr>
        <w:t xml:space="preserve">sum</w:t>
      </w:r>
      <w:r>
        <w:rPr>
          <w:rStyle w:val="NormalTok"/>
        </w:rPr>
        <w:t xml:space="preserve">(cpgIsland_per&gt;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CPGshore=</w:t>
      </w:r>
      <w:r>
        <w:rPr>
          <w:rStyle w:val="KeywordTok"/>
        </w:rPr>
        <w:t xml:space="preserve">sum</w:t>
      </w:r>
      <w:r>
        <w:rPr>
          <w:rStyle w:val="NormalTok"/>
        </w:rPr>
        <w:t xml:space="preserve">(cpgShore_per&gt;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CPGshelf=</w:t>
      </w:r>
      <w:r>
        <w:rPr>
          <w:rStyle w:val="KeywordTok"/>
        </w:rPr>
        <w:t xml:space="preserve">sum</w:t>
      </w:r>
      <w:r>
        <w:rPr>
          <w:rStyle w:val="NormalTok"/>
        </w:rPr>
        <w:t xml:space="preserve">(cpgShelf_per&gt;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TFBS=</w:t>
      </w:r>
      <w:r>
        <w:rPr>
          <w:rStyle w:val="KeywordTok"/>
        </w:rPr>
        <w:t xml:space="preserve">sum</w:t>
      </w:r>
      <w:r>
        <w:rPr>
          <w:rStyle w:val="NormalTok"/>
        </w:rPr>
        <w:t xml:space="preserve">(wgEncodeRegTfbsClusteredV3_per&gt;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DNaseI=</w:t>
      </w:r>
      <w:r>
        <w:rPr>
          <w:rStyle w:val="KeywordTok"/>
        </w:rPr>
        <w:t xml:space="preserve">sum</w:t>
      </w:r>
      <w:r>
        <w:rPr>
          <w:rStyle w:val="NormalTok"/>
        </w:rPr>
        <w:t xml:space="preserve">(wgEncodeRegDnaseClusteredV3_per&gt;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NormalTok"/>
        </w:rPr>
        <w:t xml:space="preserve">featcon &lt;-</w:t>
      </w:r>
      <w:r>
        <w:rPr>
          <w:rStyle w:val="StringTok"/>
        </w:rPr>
        <w:t xml:space="preserve"> </w:t>
      </w:r>
      <w:r>
        <w:rPr>
          <w:rStyle w:val="KeywordTok"/>
        </w:rPr>
        <w:t xml:space="preserve">melt</w:t>
      </w:r>
      <w:r>
        <w:rPr>
          <w:rStyle w:val="NormalTok"/>
        </w:rPr>
        <w:t xml:space="preserve">(featcon,</w:t>
      </w:r>
      <w:r>
        <w:rPr>
          <w:rStyle w:val="DataTypeTok"/>
        </w:rPr>
        <w:t xml:space="preserve">id.vars=</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KeywordTok"/>
        </w:rPr>
        <w:t xml:space="preserve">setnames</w:t>
      </w:r>
      <w:r>
        <w:rPr>
          <w:rStyle w:val="NormalTok"/>
        </w:rPr>
        <w:t xml:space="preserve">(featcon,</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"value"</w:t>
      </w:r>
      <w:r>
        <w:rPr>
          <w:rStyle w:val="NormalTok"/>
        </w:rPr>
        <w:t xml:space="preserve">),</w:t>
      </w:r>
      <w:r>
        <w:rPr>
          <w:rStyle w:val="KeywordTok"/>
        </w:rPr>
        <w:t xml:space="preserve">c</w:t>
      </w:r>
      <w:r>
        <w:rPr>
          <w:rStyle w:val="NormalTok"/>
        </w:rPr>
        <w:t xml:space="preserve">(</w:t>
      </w:r>
      <w:r>
        <w:rPr>
          <w:rStyle w:val="StringTok"/>
        </w:rPr>
        <w:t xml:space="preserve">"call"</w:t>
      </w:r>
      <w:r>
        <w:rPr>
          <w:rStyle w:val="NormalTok"/>
        </w:rPr>
        <w:t xml:space="preserve">,</w:t>
      </w:r>
      <w:r>
        <w:rPr>
          <w:rStyle w:val="StringTok"/>
        </w:rPr>
        <w:t xml:space="preserve">"percent"</w:t>
      </w:r>
      <w:r>
        <w:rPr>
          <w:rStyle w:val="NormalTok"/>
        </w:rPr>
        <w:t xml:space="preserve">))</w:t>
      </w:r>
      <w:r>
        <w:br w:type="textWrapping"/>
      </w:r>
      <w:r>
        <w:rPr>
          <w:rStyle w:val="NormalTok"/>
        </w:rPr>
        <w:t xml:space="preserve">featcon</w:t>
      </w:r>
      <w:r>
        <w:br w:type="textWrapping"/>
      </w:r>
      <w:r>
        <w:rPr>
          <w:rStyle w:val="KeywordTok"/>
        </w:rPr>
        <w:t xml:space="preserve">ggplot</w:t>
      </w:r>
      <w:r>
        <w:rPr>
          <w:rStyle w:val="NormalTok"/>
        </w:rPr>
        <w:t xml:space="preserve">(featcon,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percent,</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"Feature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20-1.png" id="0" name="Picture"/>
                    <pic:cNvPicPr>
                      <a:picLocks noChangeArrowheads="1" noChangeAspect="1"/>
                    </pic:cNvPicPr>
                  </pic:nvPicPr>
                  <pic:blipFill>
                    <a:blip r:embed="rId36"/>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1"/>
      </w:pPr>
      <w:bookmarkStart w:id="37" w:name="example-2-meta-analysis-of-many-range-sets"/>
      <w:bookmarkEnd w:id="37"/>
      <w:r>
        <w:t xml:space="preserve">Example 2: Meta-Analysis of Many Range Sets</w:t>
      </w:r>
    </w:p>
    <w:p>
      <w:r>
        <w:t xml:space="preserve">The goldmine() function can also be used to annotate large sets of genomic ranges, and compare the context proportions of different subsets. To demonstrate Goldmine on a larger scale, we show how to use the package to annotate the genomic contexts for each factor in the ENCODE ChIP-seq supertrack and compare contexts among all 161 factors.</w:t>
      </w:r>
    </w:p>
    <w:p>
      <w:r>
        <w:t xml:space="preserve">First, we will obtain the ENCODE supertrack containing all binding sites for all factors in one table.</w:t>
      </w:r>
    </w:p>
    <w:p>
      <w:pPr>
        <w:pStyle w:val="SourceCode"/>
      </w:pPr>
      <w:r>
        <w:rPr>
          <w:rStyle w:val="NormalTok"/>
        </w:rPr>
        <w:t xml:space="preserve">etf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ecValTok"/>
        </w:rPr>
        <w:t xml:space="preserve">1</w:t>
      </w:r>
      <w:r>
        <w:rPr>
          <w:rStyle w:val="NormalTok"/>
        </w:rPr>
        <w:t xml:space="preserve">]]</w:t>
      </w:r>
      <w:r>
        <w:br w:type="textWrapping"/>
      </w:r>
      <w:r>
        <w:rPr>
          <w:rStyle w:val="KeywordTok"/>
        </w:rPr>
        <w:t xml:space="preserve">length</w:t>
      </w:r>
      <w:r>
        <w:rPr>
          <w:rStyle w:val="NormalTok"/>
        </w:rPr>
        <w:t xml:space="preserve">(etf)</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(etf$name))</w:t>
      </w:r>
    </w:p>
    <w:p>
      <w:r>
        <w:t xml:space="preserve">Next, we run Goldmine on the entire table. This run may take a few minutes to complete, depending on your hardware. We specify the contextonly option here to increase efficiency, as we are only interested in the context output for this analysis.</w:t>
      </w:r>
    </w:p>
    <w:p>
      <w:pPr>
        <w:pStyle w:val="SourceCode"/>
      </w:pPr>
      <w:r>
        <w:rPr>
          <w:rStyle w:val="NormalTok"/>
        </w:rPr>
        <w:t xml:space="preserve">con &lt;-</w:t>
      </w:r>
      <w:r>
        <w:rPr>
          <w:rStyle w:val="StringTok"/>
        </w:rPr>
        <w:t xml:space="preserve"> </w:t>
      </w:r>
      <w:r>
        <w:rPr>
          <w:rStyle w:val="KeywordTok"/>
        </w:rPr>
        <w:t xml:space="preserve">goldmine</w:t>
      </w:r>
      <w:r>
        <w:rPr>
          <w:rStyle w:val="NormalTok"/>
        </w:rPr>
        <w:t xml:space="preserve">(etf,</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ataTypeTok"/>
        </w:rPr>
        <w:t xml:space="preserve">contextonly=</w:t>
      </w:r>
      <w:r>
        <w:rPr>
          <w:rStyle w:val="OtherTok"/>
        </w:rPr>
        <w:t xml:space="preserve">TRUE</w:t>
      </w:r>
      <w:r>
        <w:rPr>
          <w:rStyle w:val="NormalTok"/>
        </w:rPr>
        <w:t xml:space="preserve">)</w:t>
      </w:r>
    </w:p>
    <w:p>
      <w:r>
        <w:t xml:space="preserve">Then, we aggregate the proportions of each context within each factor using data.table.</w:t>
      </w:r>
    </w:p>
    <w:p>
      <w:pPr>
        <w:pStyle w:val="SourceCode"/>
      </w:pPr>
      <w:r>
        <w:rPr>
          <w:rStyle w:val="NormalTok"/>
        </w:rPr>
        <w:t xml:space="preserve">agg &lt;-</w:t>
      </w:r>
      <w:r>
        <w:rPr>
          <w:rStyle w:val="StringTok"/>
        </w:rPr>
        <w:t xml:space="preserve"> </w:t>
      </w:r>
      <w:r>
        <w:rPr>
          <w:rStyle w:val="NormalTok"/>
        </w:rPr>
        <w:t xml:space="preserve">con[,</w:t>
      </w:r>
      <w:r>
        <w:rPr>
          <w:rStyle w:val="KeywordTok"/>
        </w:rPr>
        <w:t xml:space="preserve">list</w:t>
      </w:r>
      <w:r>
        <w:rPr>
          <w:rStyle w:val="NormalTok"/>
        </w:rPr>
        <w:t xml:space="preserve">(</w:t>
      </w:r>
      <w:r>
        <w:rPr>
          <w:rStyle w:val="DataTypeTok"/>
        </w:rPr>
        <w:t xml:space="preserve">n=</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"call"</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n=</w:t>
      </w:r>
      <w:r>
        <w:rPr>
          <w:rStyle w:val="NormalTok"/>
        </w:rPr>
        <w:t xml:space="preserve">n,</w:t>
      </w:r>
      <w:r>
        <w:rPr>
          <w:rStyle w:val="DataTypeTok"/>
        </w:rPr>
        <w:t xml:space="preserve">frac=</w:t>
      </w:r>
      <w:r>
        <w:rPr>
          <w:rStyle w:val="NormalTok"/>
        </w:rPr>
        <w:t xml:space="preserve">n/</w:t>
      </w:r>
      <w:r>
        <w:rPr>
          <w:rStyle w:val="KeywordTok"/>
        </w:rPr>
        <w:t xml:space="preserve">sum</w:t>
      </w:r>
      <w:r>
        <w:rPr>
          <w:rStyle w:val="NormalTok"/>
        </w:rPr>
        <w:t xml:space="preserve">(n)),by=</w:t>
      </w:r>
      <w:r>
        <w:rPr>
          <w:rStyle w:val="StringTok"/>
        </w:rPr>
        <w:t xml:space="preserve">"name"</w:t>
      </w:r>
      <w:r>
        <w:rPr>
          <w:rStyle w:val="NormalTok"/>
        </w:rPr>
        <w:t xml:space="preserve">]</w:t>
      </w:r>
      <w:r>
        <w:br w:type="textWrapping"/>
      </w:r>
      <w:r>
        <w:rPr>
          <w:rStyle w:val="KeywordTok"/>
        </w:rPr>
        <w:t xml:space="preserve">head</w:t>
      </w:r>
      <w:r>
        <w:rPr>
          <w:rStyle w:val="NormalTok"/>
        </w:rPr>
        <w:t xml:space="preserve">(agg)</w:t>
      </w:r>
    </w:p>
    <w:p>
      <w:pPr>
        <w:pStyle w:val="SourceCode"/>
      </w:pPr>
      <w:r>
        <w:rPr>
          <w:rStyle w:val="VerbatimChar"/>
        </w:rPr>
        <w:t xml:space="preserve">##      name       call     n       frac</w:t>
      </w:r>
      <w:r>
        <w:br w:type="textWrapping"/>
      </w:r>
      <w:r>
        <w:rPr>
          <w:rStyle w:val="VerbatimChar"/>
        </w:rPr>
        <w:t xml:space="preserve">## 1: ZBTB33 intergenic  3754 0.29399326</w:t>
      </w:r>
      <w:r>
        <w:br w:type="textWrapping"/>
      </w:r>
      <w:r>
        <w:rPr>
          <w:rStyle w:val="VerbatimChar"/>
        </w:rPr>
        <w:t xml:space="preserve">## 2: ZBTB33   promoter  4623 0.36204871</w:t>
      </w:r>
      <w:r>
        <w:br w:type="textWrapping"/>
      </w:r>
      <w:r>
        <w:rPr>
          <w:rStyle w:val="VerbatimChar"/>
        </w:rPr>
        <w:t xml:space="preserve">## 3: ZBTB33     intron  3410 0.26705302</w:t>
      </w:r>
      <w:r>
        <w:br w:type="textWrapping"/>
      </w:r>
      <w:r>
        <w:rPr>
          <w:rStyle w:val="VerbatimChar"/>
        </w:rPr>
        <w:t xml:space="preserve">## 4: ZBTB33       exon   441 0.03453677</w:t>
      </w:r>
      <w:r>
        <w:br w:type="textWrapping"/>
      </w:r>
      <w:r>
        <w:rPr>
          <w:rStyle w:val="VerbatimChar"/>
        </w:rPr>
        <w:t xml:space="preserve">## 5: ZBTB33     3' end   541 0.04236824</w:t>
      </w:r>
      <w:r>
        <w:br w:type="textWrapping"/>
      </w:r>
      <w:r>
        <w:rPr>
          <w:rStyle w:val="VerbatimChar"/>
        </w:rPr>
        <w:t xml:space="preserve">## 6:  CEBPB intergenic 62270 0.42397173</w:t>
      </w:r>
    </w:p>
    <w:p>
      <w:r>
        <w:t xml:space="preserve">This table can be used to plot a stack of proportions using ggplot2. We first sort by the promoter fraction.</w:t>
      </w:r>
    </w:p>
    <w:p>
      <w:pPr>
        <w:pStyle w:val="SourceCode"/>
      </w:pPr>
      <w:r>
        <w:rPr>
          <w:rStyle w:val="NormalTok"/>
        </w:rPr>
        <w:t xml:space="preserve">levs &lt;-</w:t>
      </w:r>
      <w:r>
        <w:rPr>
          <w:rStyle w:val="StringTok"/>
        </w:rPr>
        <w:t xml:space="preserve"> </w:t>
      </w:r>
      <w:r>
        <w:rPr>
          <w:rStyle w:val="NormalTok"/>
        </w:rPr>
        <w:t xml:space="preserve">agg[call==</w:t>
      </w:r>
      <w:r>
        <w:rPr>
          <w:rStyle w:val="StringTok"/>
        </w:rPr>
        <w:t xml:space="preserve">"promoter"</w:t>
      </w:r>
      <w:r>
        <w:rPr>
          <w:rStyle w:val="NormalTok"/>
        </w:rPr>
        <w:t xml:space="preserve">,][</w:t>
      </w:r>
      <w:r>
        <w:rPr>
          <w:rStyle w:val="KeywordTok"/>
        </w:rPr>
        <w:t xml:space="preserve">order</w:t>
      </w:r>
      <w:r>
        <w:rPr>
          <w:rStyle w:val="NormalTok"/>
        </w:rPr>
        <w:t xml:space="preserve">(frac,</w:t>
      </w:r>
      <w:r>
        <w:rPr>
          <w:rStyle w:val="DataTypeTok"/>
        </w:rPr>
        <w:t xml:space="preserve">decreasing=</w:t>
      </w:r>
      <w:r>
        <w:rPr>
          <w:rStyle w:val="NormalTok"/>
        </w:rPr>
        <w:t xml:space="preserve">T),]$name</w:t>
      </w:r>
      <w:r>
        <w:br w:type="textWrapping"/>
      </w:r>
      <w:r>
        <w:rPr>
          <w:rStyle w:val="NormalTok"/>
        </w:rPr>
        <w:t xml:space="preserve">agg$name &lt;-</w:t>
      </w:r>
      <w:r>
        <w:rPr>
          <w:rStyle w:val="StringTok"/>
        </w:rPr>
        <w:t xml:space="preserve"> </w:t>
      </w:r>
      <w:r>
        <w:rPr>
          <w:rStyle w:val="KeywordTok"/>
        </w:rPr>
        <w:t xml:space="preserve">factor</w:t>
      </w:r>
      <w:r>
        <w:rPr>
          <w:rStyle w:val="NormalTok"/>
        </w:rPr>
        <w:t xml:space="preserve">(agg$name,</w:t>
      </w:r>
      <w:r>
        <w:rPr>
          <w:rStyle w:val="DataTypeTok"/>
        </w:rPr>
        <w:t xml:space="preserve">levels=</w:t>
      </w:r>
      <w:r>
        <w:rPr>
          <w:rStyle w:val="NormalTok"/>
        </w:rPr>
        <w:t xml:space="preserve">levs)</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(agg$name),]</w:t>
      </w:r>
      <w:r>
        <w:br w:type="textWrapping"/>
      </w:r>
      <w:r>
        <w:rPr>
          <w:rStyle w:val="NormalTok"/>
        </w:rPr>
        <w:t xml:space="preserve">agg$call &lt;-</w:t>
      </w:r>
      <w:r>
        <w:rPr>
          <w:rStyle w:val="StringTok"/>
        </w:rPr>
        <w:t xml:space="preserve"> </w:t>
      </w:r>
      <w:r>
        <w:rPr>
          <w:rStyle w:val="KeywordTok"/>
        </w:rPr>
        <w:t xml:space="preserve">factor</w:t>
      </w:r>
      <w:r>
        <w:rPr>
          <w:rStyle w:val="NormalTok"/>
        </w:rPr>
        <w:t xml:space="preserve">(agg$call,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(agg$call),]</w:t>
      </w:r>
      <w:r>
        <w:br w:type="textWrapping"/>
      </w:r>
      <w:r>
        <w:rPr>
          <w:rStyle w:val="KeywordTok"/>
        </w:rPr>
        <w:t xml:space="preserve">ggplot</w:t>
      </w:r>
      <w:r>
        <w:rPr>
          <w:rStyle w:val="NormalTok"/>
        </w:rPr>
        <w:t xml:space="preserve">(agg,</w:t>
      </w:r>
      <w:r>
        <w:rPr>
          <w:rStyle w:val="KeywordTok"/>
        </w:rPr>
        <w:t xml:space="preserve">aes</w:t>
      </w:r>
      <w:r>
        <w:rPr>
          <w:rStyle w:val="NormalTok"/>
        </w:rPr>
        <w:t xml:space="preserve">(</w:t>
      </w:r>
      <w:r>
        <w:rPr>
          <w:rStyle w:val="DataTypeTok"/>
        </w:rPr>
        <w:t xml:space="preserve">x=</w:t>
      </w:r>
      <w:r>
        <w:rPr>
          <w:rStyle w:val="NormalTok"/>
        </w:rPr>
        <w:t xml:space="preserve">name,</w:t>
      </w:r>
      <w:r>
        <w:rPr>
          <w:rStyle w:val="DataTypeTok"/>
        </w:rPr>
        <w:t xml:space="preserve">y=</w:t>
      </w:r>
      <w:r>
        <w:rPr>
          <w:rStyle w:val="NormalTok"/>
        </w:rPr>
        <w:t xml:space="preserve">frac,</w:t>
      </w:r>
      <w:r>
        <w:rPr>
          <w:rStyle w:val="DataTypeTok"/>
        </w:rPr>
        <w:t xml:space="preserve">fill=</w:t>
      </w:r>
      <w:r>
        <w:rPr>
          <w:rStyle w:val="NormalTok"/>
        </w:rPr>
        <w:t xml:space="preserve">call))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FloatTok"/>
        </w:rPr>
        <w:t xml:space="preserve">1.3</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axis.ticks.y=</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 +</w:t>
      </w:r>
      <w:r>
        <w:rPr>
          <w:rStyle w:val="StringTok"/>
        </w:rPr>
        <w:t xml:space="preserve"> </w:t>
      </w:r>
      <w:r>
        <w:rPr>
          <w:rStyle w:val="KeywordTok"/>
        </w:rPr>
        <w:t xml:space="preserve">scale_fill_manual</w:t>
      </w:r>
      <w:r>
        <w:rPr>
          <w:rStyle w:val="NormalTok"/>
        </w:rPr>
        <w:t xml:space="preserve">(</w:t>
      </w:r>
      <w:r>
        <w:rPr>
          <w:rStyle w:val="DataType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"#e41a1c"</w:t>
      </w:r>
      <w:r>
        <w:rPr>
          <w:rStyle w:val="NormalTok"/>
        </w:rPr>
        <w:t xml:space="preserve">,</w:t>
      </w:r>
      <w:r>
        <w:rPr>
          <w:rStyle w:val="StringTok"/>
        </w:rPr>
        <w:t xml:space="preserve">"exon"</w:t>
      </w:r>
      <w:r>
        <w:rPr>
          <w:rStyle w:val="NormalTok"/>
        </w:rPr>
        <w:t xml:space="preserve">=</w:t>
      </w:r>
      <w:r>
        <w:rPr>
          <w:rStyle w:val="StringTok"/>
        </w:rPr>
        <w:t xml:space="preserve">"#4daf4a"</w:t>
      </w:r>
      <w:r>
        <w:rPr>
          <w:rStyle w:val="NormalTok"/>
        </w:rPr>
        <w:t xml:space="preserve">,</w:t>
      </w:r>
      <w:r>
        <w:rPr>
          <w:rStyle w:val="StringTok"/>
        </w:rPr>
        <w:t xml:space="preserve">"intron"</w:t>
      </w:r>
      <w:r>
        <w:rPr>
          <w:rStyle w:val="NormalTok"/>
        </w:rPr>
        <w:t xml:space="preserve">=</w:t>
      </w:r>
      <w:r>
        <w:rPr>
          <w:rStyle w:val="StringTok"/>
        </w:rPr>
        <w:t xml:space="preserve">"#377eb8"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end"</w:t>
      </w:r>
      <w:r>
        <w:rPr>
          <w:rStyle w:val="NormalTok"/>
        </w:rPr>
        <w:t xml:space="preserve">=</w:t>
      </w:r>
      <w:r>
        <w:rPr>
          <w:rStyle w:val="StringTok"/>
        </w:rPr>
        <w:t xml:space="preserve">"#ff7f00"</w:t>
      </w:r>
      <w:r>
        <w:rPr>
          <w:rStyle w:val="NormalTok"/>
        </w:rPr>
        <w:t xml:space="preserve">,</w:t>
      </w:r>
      <w:r>
        <w:rPr>
          <w:rStyle w:val="StringTok"/>
        </w:rPr>
        <w:t xml:space="preserve">"intergenic"</w:t>
      </w:r>
      <w:r>
        <w:rPr>
          <w:rStyle w:val="NormalTok"/>
        </w:rPr>
        <w:t xml:space="preserve">=</w:t>
      </w:r>
      <w:r>
        <w:rPr>
          <w:rStyle w:val="StringTok"/>
        </w:rPr>
        <w:t xml:space="preserve">"#984ea3"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goldmine_files/figure-docx/unnamed-chunk-24-1.png" id="0" name="Picture"/>
                    <pic:cNvPicPr>
                      <a:picLocks noChangeArrowheads="1" noChangeAspect="1"/>
                    </pic:cNvPicPr>
                  </pic:nvPicPr>
                  <pic:blipFill>
                    <a:blip r:embed="rId38"/>
                    <a:stretch>
                      <a:fillRect/>
                    </a:stretch>
                  </pic:blipFill>
                  <pic:spPr bwMode="auto">
                    <a:xfrm>
                      <a:off x="0" y="0"/>
                      <a:ext cx="5440680" cy="6528816"/>
                    </a:xfrm>
                    <a:prstGeom prst="rect">
                      <a:avLst/>
                    </a:prstGeom>
                    <a:noFill/>
                    <a:ln w="9525">
                      <a:noFill/>
                      <a:headEnd/>
                      <a:tailEnd/>
                    </a:ln>
                  </pic:spPr>
                </pic:pic>
              </a:graphicData>
            </a:graphic>
          </wp:inline>
        </w:drawing>
      </w:r>
    </w:p>
    <w:p>
      <w:r>
        <w:t xml:space="preserve">On this plot, each row represents a factor from the ENCODE ChIP-seq supertrack. Each row is a bar graph, filled proportionally to the fraction of binding sites for each factor that fall in each genomic context. Row labels have been omitted given the size of the dataset. A spectrum of context biases is visible ranging from nearly entirely promoter-bound to those that are nearly all non-promoter binding.</w:t>
      </w:r>
    </w:p>
    <w:p>
      <w:pPr>
        <w:pStyle w:val="Heading1"/>
      </w:pPr>
      <w:bookmarkStart w:id="39" w:name="appendix"/>
      <w:bookmarkEnd w:id="39"/>
      <w:r>
        <w:t xml:space="preserve">Appendix</w:t>
      </w:r>
    </w:p>
    <w:p>
      <w:pPr>
        <w:pStyle w:val="Heading2"/>
      </w:pPr>
      <w:bookmarkStart w:id="40" w:name="direct-import-of-ucsc-genome-browser-tables"/>
      <w:bookmarkEnd w:id="40"/>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3">
        <w:r>
          <w:rPr>
            <w:rStyle w:val="Link"/>
          </w:rPr>
          <w:t xml:space="preserve">UCSC Table Browser</w:t>
        </w:r>
      </w:hyperlink>
      <w:r>
        <w:t xml:space="preserve"> </w:t>
      </w:r>
      <w:r>
        <w:t xml:space="preserve">to obtain table names and schema.</w:t>
      </w:r>
    </w:p>
    <w:p>
      <w:pPr>
        <w:pStyle w:val="Heading2"/>
      </w:pPr>
      <w:bookmarkStart w:id="41" w:name="reproducible-annotation"/>
      <w:bookmarkEnd w:id="41"/>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776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c07f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3" Target="http://cran.r-project.org/" TargetMode="External" /><Relationship Type="http://schemas.openxmlformats.org/officeDocument/2006/relationships/hyperlink" Id="rId33"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3"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sets of genomic ranges into biological contexts</dc:title>
  <dc:creator>Jeff Bhasin</dc:creator>
  <dcterms:created xsi:type="dcterms:W3CDTF">2016-01-24</dcterms:created>
  <dcterms:modified xsi:type="dcterms:W3CDTF">2016-01-24</dcterms:modified>
</cp:coreProperties>
</file>