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epigenome-wide</w:t>
      </w:r>
      <w:r>
        <w:t xml:space="preserve"> </w:t>
      </w:r>
      <w:r>
        <w:t xml:space="preserve">results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2015-05-08</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r>
        <w:t xml:space="preserve">For the enrichment example, the BSgenome of hg19 is also required, but this is not required for Goldmine as a whole: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StringTok"/>
        </w:rPr>
        <w:t xml:space="preserve">"BSgenome.Hsapiens.UCSC.hg19"</w:t>
      </w:r>
      <w:r>
        <w:rPr>
          <w:rStyle w:val="NormalTok"/>
        </w:rPr>
        <w:t xml:space="preserve">)</w:t>
      </w:r>
    </w:p>
    <w:p>
      <w:pPr>
        <w:pStyle w:val="Heading1"/>
      </w:pPr>
      <w:bookmarkStart w:id="26" w:name="loading-genomic-ranges"/>
      <w:bookmarkEnd w:id="26"/>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7">
        <w:r>
          <w:rPr>
            <w:rStyle w:val="Link"/>
          </w:rPr>
          <w:t xml:space="preserve">Methylaction</w:t>
        </w:r>
      </w:hyperlink>
      <w:r>
        <w:t xml:space="preserve"> </w:t>
      </w:r>
      <w:r>
        <w:t xml:space="preserve">on MeDIP-seq data produced by the</w:t>
      </w:r>
      <w:r>
        <w:t xml:space="preserve"> </w:t>
      </w:r>
      <w:hyperlink r:id="rId28">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Heading1"/>
      </w:pPr>
      <w:bookmarkStart w:id="29" w:name="annotation-of-genomic-ranges"/>
      <w:bookmarkEnd w:id="29"/>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0">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For speed of the example, you can subset to the first 100 DMRs only. Feel free to skip this if you are on a powerful computer. We recommend using the full set of DMRs if possible for the section on enrichment analysis in order to produce meaningful genome-wide results.</w:t>
      </w:r>
    </w:p>
    <w:p>
      <w:pPr>
        <w:pStyle w:val="SourceCode"/>
      </w:pPr>
      <w:r>
        <w:rPr>
          <w:rStyle w:val="KeywordTok"/>
        </w:rPr>
        <w:t xml:space="preserve">nrow</w:t>
      </w:r>
      <w:r>
        <w:rPr>
          <w:rStyle w:val="NormalTok"/>
        </w:rPr>
        <w:t xml:space="preserve">(query)</w:t>
      </w:r>
      <w:r>
        <w:br w:type="textWrapping"/>
      </w:r>
      <w:r>
        <w:rPr>
          <w:rStyle w:val="NormalTok"/>
        </w:rPr>
        <w:t xml:space="preserve">query &lt;-</w:t>
      </w:r>
      <w:r>
        <w:rPr>
          <w:rStyle w:val="StringTok"/>
        </w:rPr>
        <w:t xml:space="preserve"> </w:t>
      </w:r>
      <w:r>
        <w:rPr>
          <w:rStyle w:val="NormalTok"/>
        </w:rPr>
        <w:t xml:space="preserve">query[</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KeywordTok"/>
        </w:rPr>
        <w:t xml:space="preserve">nrow</w:t>
      </w:r>
      <w:r>
        <w:rPr>
          <w:rStyle w:val="NormalTok"/>
        </w:rPr>
        <w:t xml:space="preserve">(query)</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r>
        <w:br w:type="textWrapping"/>
      </w:r>
      <w:r>
        <w:rPr>
          <w:rStyle w:val="KeywordTok"/>
        </w:rPr>
        <w:t xml:space="preserve">colnames</w:t>
      </w:r>
      <w:r>
        <w:rPr>
          <w:rStyle w:val="NormalTok"/>
        </w:rPr>
        <w:t xml:space="preserve">(gm$context)</w:t>
      </w:r>
    </w:p>
    <w:p>
      <w:r>
        <w:t xml:space="preserve">However, gene annotations can be very complex due to overlapping/nested genes and the diversity of gene isoforms. To capture isoform-level detail, the "gene" table is generated. This is a "long" format table, which is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r>
        <w:br w:type="textWrapping"/>
      </w:r>
      <w:r>
        <w:rPr>
          <w:rStyle w:val="KeywordTok"/>
        </w:rPr>
        <w:t xml:space="preserve">colnames</w:t>
      </w:r>
      <w:r>
        <w:rPr>
          <w:rStyle w:val="NormalTok"/>
        </w:rPr>
        <w:t xml:space="preserve">(gm$genes)</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In practice, we have found this gene set to be a good compromise between the manually-curated RefSeq and the more prediction-inclusive Ensembl genes.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1"/>
      </w:pPr>
      <w:bookmarkStart w:id="31" w:name="annotation-of-features"/>
      <w:bookmarkEnd w:id="31"/>
      <w:r>
        <w:t xml:space="preserve">Annotation of Features</w:t>
      </w:r>
    </w:p>
    <w:p>
      <w:r>
        <w:t xml:space="preserve">In addition to gene models, Goldmine can report annotation and overlap with any feature set available from UCSC. Please see the</w:t>
      </w:r>
      <w:r>
        <w:t xml:space="preserve"> </w:t>
      </w:r>
      <w:hyperlink r:id="rId32">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datasets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r>
        <w:br w:type="textWrapping"/>
      </w: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r>
        <w:t xml:space="preserve">When all feature sets of interest have been joined into an R list object, this object can be provided to the "features" option of goldmine() and annotation performed.</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r>
        <w:br w:type="textWrapping"/>
      </w:r>
      <w:r>
        <w:rPr>
          <w:rStyle w:val="KeywordTok"/>
        </w:rPr>
        <w:t xml:space="preserve">summary</w:t>
      </w:r>
      <w:r>
        <w:rPr>
          <w:rStyle w:val="NormalTok"/>
        </w:rPr>
        <w:t xml:space="preserve">(gm$features)</w:t>
      </w:r>
      <w:r>
        <w:br w:type="textWrapping"/>
      </w:r>
      <w:r>
        <w:rPr>
          <w:rStyle w:val="KeywordTok"/>
        </w:rPr>
        <w:t xml:space="preserve">colnames</w:t>
      </w:r>
      <w:r>
        <w:rPr>
          <w:rStyle w:val="NormalTok"/>
        </w:rPr>
        <w:t xml:space="preserve">(gm$features$wgEncodeRegTfbsClusteredV3)</w:t>
      </w:r>
    </w:p>
    <w:p>
      <w:r>
        <w:t xml:space="preserve">The gmWrite() function simplifies saving all tables in an output list from goldmine() as CSV files for viewing in a spreadsheet or processing outside of R.</w:t>
      </w:r>
    </w:p>
    <w:p>
      <w:pPr>
        <w:pStyle w:val="SourceCode"/>
      </w:pPr>
      <w:r>
        <w:rPr>
          <w:rStyle w:val="KeywordTok"/>
        </w:rPr>
        <w:t xml:space="preserve">gmWrite</w:t>
      </w:r>
      <w:r>
        <w:rPr>
          <w:rStyle w:val="NormalTok"/>
        </w:rPr>
        <w:t xml:space="preserve">(gm, </w:t>
      </w:r>
      <w:r>
        <w:rPr>
          <w:rStyle w:val="DataTypeTok"/>
        </w:rPr>
        <w:t xml:space="preserve">path=</w:t>
      </w:r>
      <w:r>
        <w:rPr>
          <w:rStyle w:val="StringTok"/>
        </w:rPr>
        <w:t xml:space="preserve">"gm_csv"</w:t>
      </w:r>
      <w:r>
        <w:rPr>
          <w:rStyle w:val="NormalTok"/>
        </w:rPr>
        <w:t xml:space="preserve">)</w:t>
      </w:r>
    </w:p>
    <w:p>
      <w:pPr>
        <w:pStyle w:val="Heading1"/>
      </w:pPr>
      <w:bookmarkStart w:id="33" w:name="enrichment-of-features"/>
      <w:bookmarkEnd w:id="33"/>
      <w:r>
        <w:t xml:space="preserve">Enrichment of Features</w:t>
      </w:r>
    </w:p>
    <w:p>
      <w:r>
        <w:t xml:space="preserve">Some sets of features, such as the ENCODE ChIP-seq supertrack, contain many different types of features. In the case of the ChIP-seq data, there are experimentally-derived binding sites for many different transcription factors represented. A logical question is, are any of these specific factors enriched in the query ranges when compared to a null expectation?</w:t>
      </w:r>
    </w:p>
    <w:p>
      <w:r>
        <w:t xml:space="preserve">Goldmine provides a mechanism to generate appropriate null sequence sets and test for enrichment of features using a binomial test. In particular, Goldmine can match the null set for multiple sequence covariates, including length, CpG density, GC%, and repeat content.</w:t>
      </w:r>
    </w:p>
    <w:p>
      <w:r>
        <w:t xml:space="preserve">An enrichment analysis consists of three steps:</w:t>
      </w:r>
    </w:p>
    <w:p>
      <w:pPr>
        <w:pStyle w:val="Compact"/>
        <w:numPr>
          <w:numId w:val="1002"/>
          <w:ilvl w:val="0"/>
        </w:numPr>
      </w:pPr>
      <w:r>
        <w:t xml:space="preserve">Obtain a background pool of sequences from which to select the null set</w:t>
      </w:r>
    </w:p>
    <w:p>
      <w:pPr>
        <w:pStyle w:val="Compact"/>
        <w:numPr>
          <w:numId w:val="1002"/>
          <w:ilvl w:val="0"/>
        </w:numPr>
      </w:pPr>
      <w:r>
        <w:t xml:space="preserve">Match for length, and optionally, other variables to select a null set from the pool</w:t>
      </w:r>
    </w:p>
    <w:p>
      <w:pPr>
        <w:pStyle w:val="Compact"/>
        <w:numPr>
          <w:numId w:val="1002"/>
          <w:ilvl w:val="0"/>
        </w:numPr>
      </w:pPr>
      <w:r>
        <w:t xml:space="preserve">Count the occurrence of each feature in the query set and the null set and compute enrichment</w:t>
      </w:r>
    </w:p>
    <w:p>
      <w:pPr>
        <w:pStyle w:val="Heading2"/>
      </w:pPr>
      <w:bookmarkStart w:id="34" w:name="background-pool-of-sequences"/>
      <w:bookmarkEnd w:id="34"/>
      <w:r>
        <w:t xml:space="preserve">Background Pool of Sequences</w:t>
      </w:r>
    </w:p>
    <w:p>
      <w:r>
        <w:t xml:space="preserve">The background pool of sequences can either be selected for a particular analysis, for example, non-differential regions from a targeted assay, or can be drawn from the genome at large. Goldmine provides a function, drawGenomePool() to draw a length-matched pool of sequences from the genome. This function requires that pool sequences do not overlap with the query or each other, do not run off chromosome ends, and do not occur in assembly gap regions as defined by the "gap" track. The pool should be made a number of times larger than the query using the "n" option. In practice, selection of "n" will need to be calibrated for the query range set. If there is a very large set with a large spread of lengths, then it may not be possible to draw very large pools for certain cases. We recommend using as large of an "n" as possible, so that the matching function has the largest pool of sequences to match from. We recommending setting and saving the seed for the random number generator so that the draw can be reproduced.</w:t>
      </w:r>
    </w:p>
    <w:p>
      <w:pPr>
        <w:pStyle w:val="SourceCode"/>
      </w:pPr>
      <w:r>
        <w:rPr>
          <w:rStyle w:val="KeywordTok"/>
        </w:rPr>
        <w:t xml:space="preserve">set.seed</w:t>
      </w:r>
      <w:r>
        <w:rPr>
          <w:rStyle w:val="NormalTok"/>
        </w:rPr>
        <w:t xml:space="preserve">(</w:t>
      </w:r>
      <w:r>
        <w:rPr>
          <w:rStyle w:val="DecValTok"/>
        </w:rPr>
        <w:t xml:space="preserve">999</w:t>
      </w:r>
      <w:r>
        <w:rPr>
          <w:rStyle w:val="NormalTok"/>
        </w:rPr>
        <w:t xml:space="preserve">)</w:t>
      </w:r>
      <w:r>
        <w:br w:type="textWrapping"/>
      </w:r>
      <w:r>
        <w:rPr>
          <w:rStyle w:val="NormalTok"/>
        </w:rPr>
        <w:t xml:space="preserve">pool.gr &lt;-</w:t>
      </w:r>
      <w:r>
        <w:rPr>
          <w:rStyle w:val="StringTok"/>
        </w:rPr>
        <w:t xml:space="preserve"> </w:t>
      </w:r>
      <w:r>
        <w:rPr>
          <w:rStyle w:val="KeywordTok"/>
        </w:rPr>
        <w:t xml:space="preserve">drawGenomePool</w:t>
      </w:r>
      <w:r>
        <w:rPr>
          <w:rStyle w:val="NormalTok"/>
        </w:rPr>
        <w:t xml:space="preserve">(</w:t>
      </w:r>
      <w:r>
        <w:rPr>
          <w:rStyle w:val="DataTypeTok"/>
        </w:rPr>
        <w:t xml:space="preserve">query=</w:t>
      </w:r>
      <w:r>
        <w:rPr>
          <w:rStyle w:val="NormalTok"/>
        </w:rPr>
        <w:t xml:space="preserve">query,</w:t>
      </w:r>
      <w:r>
        <w:rPr>
          <w:rStyle w:val="DataTypeTok"/>
        </w:rPr>
        <w:t xml:space="preserve">n=</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chrs=</w:t>
      </w:r>
      <w:r>
        <w:rPr>
          <w:rStyle w:val="KeywordTok"/>
        </w:rPr>
        <w:t xml:space="preserve">paste0</w:t>
      </w:r>
      <w:r>
        <w:rPr>
          <w:rStyle w:val="NormalTok"/>
        </w:rPr>
        <w:t xml:space="preserve">(</w:t>
      </w:r>
      <w:r>
        <w:rPr>
          <w:rStyle w:val="StringTok"/>
        </w:rPr>
        <w:t xml:space="preserve">"chr"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length</w:t>
      </w:r>
      <w:r>
        <w:rPr>
          <w:rStyle w:val="NormalTok"/>
        </w:rPr>
        <w:t xml:space="preserve">(pool.gr)</w:t>
      </w:r>
    </w:p>
    <w:p>
      <w:r>
        <w:t xml:space="preserve">Note that the "chrs" option is highly recommended. If not set, the function will restrict to only the chromosomes names present in query. We recommending setting "chrs" to the names of all the canonical chromosomes (autosomes and sex chromosomes) in your genome. For the human genome, this would be chr1 through chr22, chrX, and chrY (as set in the example above).</w:t>
      </w:r>
    </w:p>
    <w:p>
      <w:pPr>
        <w:pStyle w:val="Heading2"/>
      </w:pPr>
      <w:bookmarkStart w:id="35" w:name="matched-null-set"/>
      <w:bookmarkEnd w:id="35"/>
      <w:r>
        <w:t xml:space="preserve">Matched Null Set</w:t>
      </w:r>
    </w:p>
    <w:p>
      <w:r>
        <w:t xml:space="preserve">Goldmine uses propensity score matching to extract a sub-set from the background pool that is matched for multiple sequence covariates. For this example, we will match based on length and CpG density. In order to calculate these sequence covariates, Goldmine needs access to the sequence of the genome in question. These sequences can be accessed via the BSgenome packages in Bioconductor. In this case, we will need to load the hg19 human genome. The performance of the matching is plotted in a series of histograms, QQ plots, and variable plots which will be saved at the given output directory path. FASTA format files of both the query set and null set are also saved in this directory, and be used for motif analysis in programs that depend on appropriate null sets such as</w:t>
      </w:r>
      <w:r>
        <w:t xml:space="preserve"> </w:t>
      </w:r>
      <w:hyperlink r:id="rId36">
        <w:r>
          <w:rPr>
            <w:rStyle w:val="Link"/>
          </w:rPr>
          <w:t xml:space="preserve">RSAT</w:t>
        </w:r>
      </w:hyperlink>
      <w:r>
        <w:t xml:space="preserve"> </w:t>
      </w:r>
      <w:r>
        <w:t xml:space="preserve">and</w:t>
      </w:r>
      <w:r>
        <w:t xml:space="preserve"> </w:t>
      </w:r>
      <w:hyperlink r:id="rId37">
        <w:r>
          <w:rPr>
            <w:rStyle w:val="Link"/>
          </w:rPr>
          <w:t xml:space="preserve">DREME</w:t>
        </w:r>
      </w:hyperlink>
      <w:r>
        <w:t xml:space="preserve">.</w:t>
      </w:r>
    </w:p>
    <w:p>
      <w:pPr>
        <w:pStyle w:val="SourceCode"/>
      </w:pPr>
      <w:r>
        <w:rPr>
          <w:rStyle w:val="KeywordTok"/>
        </w:rPr>
        <w:t xml:space="preserve">library</w:t>
      </w:r>
      <w:r>
        <w:rPr>
          <w:rStyle w:val="NormalTok"/>
        </w:rPr>
        <w:t xml:space="preserve">(BSgenome.Hsapiens.UCSC.hg19)</w:t>
      </w:r>
      <w:r>
        <w:br w:type="textWrapping"/>
      </w:r>
      <w:r>
        <w:rPr>
          <w:rStyle w:val="NormalTok"/>
        </w:rPr>
        <w:t xml:space="preserve">bsg &lt;-</w:t>
      </w:r>
      <w:r>
        <w:rPr>
          <w:rStyle w:val="StringTok"/>
        </w:rPr>
        <w:t xml:space="preserve"> </w:t>
      </w:r>
      <w:r>
        <w:rPr>
          <w:rStyle w:val="NormalTok"/>
        </w:rPr>
        <w:t xml:space="preserve">BSgenome.Hsapiens.UCSC.hg19</w:t>
      </w:r>
      <w:r>
        <w:br w:type="textWrapping"/>
      </w:r>
      <w:r>
        <w:rPr>
          <w:rStyle w:val="NormalTok"/>
        </w:rPr>
        <w:t xml:space="preserve">formula &lt;-</w:t>
      </w:r>
      <w:r>
        <w:rPr>
          <w:rStyle w:val="StringTok"/>
        </w:rPr>
        <w:t xml:space="preserve"> "treat~sizeLog+freqCpG"</w:t>
      </w:r>
      <w:r>
        <w:br w:type="textWrapping"/>
      </w:r>
      <w:r>
        <w:rPr>
          <w:rStyle w:val="NormalTok"/>
        </w:rPr>
        <w:t xml:space="preserve">psm &lt;-</w:t>
      </w:r>
      <w:r>
        <w:rPr>
          <w:rStyle w:val="StringTok"/>
        </w:rPr>
        <w:t xml:space="preserve"> </w:t>
      </w:r>
      <w:r>
        <w:rPr>
          <w:rStyle w:val="KeywordTok"/>
        </w:rPr>
        <w:t xml:space="preserve">doPropMatch</w:t>
      </w:r>
      <w:r>
        <w:rPr>
          <w:rStyle w:val="NormalTok"/>
        </w:rPr>
        <w:t xml:space="preserve">(</w:t>
      </w:r>
      <w:r>
        <w:rPr>
          <w:rStyle w:val="DataTypeTok"/>
        </w:rPr>
        <w:t xml:space="preserve">query=</w:t>
      </w:r>
      <w:r>
        <w:rPr>
          <w:rStyle w:val="NormalTok"/>
        </w:rPr>
        <w:t xml:space="preserve">query, </w:t>
      </w:r>
      <w:r>
        <w:rPr>
          <w:rStyle w:val="DataTypeTok"/>
        </w:rPr>
        <w:t xml:space="preserve">pool=</w:t>
      </w:r>
      <w:r>
        <w:rPr>
          <w:rStyle w:val="NormalTok"/>
        </w:rPr>
        <w:t xml:space="preserve">pool.gr, </w:t>
      </w:r>
      <w:r>
        <w:rPr>
          <w:rStyle w:val="DataTypeTok"/>
        </w:rPr>
        <w:t xml:space="preserve">n=</w:t>
      </w:r>
      <w:r>
        <w:rPr>
          <w:rStyle w:val="DecValTok"/>
        </w:rPr>
        <w:t xml:space="preserve">1</w:t>
      </w:r>
      <w:r>
        <w:rPr>
          <w:rStyle w:val="NormalTok"/>
        </w:rPr>
        <w:t xml:space="preserve">, </w:t>
      </w:r>
      <w:r>
        <w:rPr>
          <w:rStyle w:val="DataTypeTok"/>
        </w:rPr>
        <w:t xml:space="preserve">formula=</w:t>
      </w:r>
      <w:r>
        <w:rPr>
          <w:rStyle w:val="NormalTok"/>
        </w:rPr>
        <w:t xml:space="preserve">formula,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outdir=</w:t>
      </w:r>
      <w:r>
        <w:rPr>
          <w:rStyle w:val="StringTok"/>
        </w:rPr>
        <w:t xml:space="preserve">"gm_match"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bsg=</w:t>
      </w:r>
      <w:r>
        <w:rPr>
          <w:rStyle w:val="NormalTok"/>
        </w:rPr>
        <w:t xml:space="preserve">bsg,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Heading2"/>
      </w:pPr>
      <w:bookmarkStart w:id="38" w:name="test-for-enrichment"/>
      <w:bookmarkEnd w:id="38"/>
      <w:r>
        <w:t xml:space="preserve">Test for Enrichment</w:t>
      </w:r>
    </w:p>
    <w:p>
      <w:r>
        <w:t xml:space="preserve">With a null set generated, the null ranges can be used as a background set for a test of enrichment.</w:t>
      </w:r>
    </w:p>
    <w:p>
      <w:r>
        <w:t xml:space="preserve">First, we must select a set of features to test enrichment for. In this example, we will test for the ENCODE ChIP-seq peaks and TRANSFAC predicted motifs. Feature sets must be given as a data.frame, and have a column called "name" which specifies each category of feature within the feature set. In this case, "name" will be the name of the ChIP-seq protein or the ID of the predicted motif from TRANSFAC. In the case of these two examples, this column already exists in the tables output by getFeatures().</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,genome,cachedir)[[</w:t>
      </w:r>
      <w:r>
        <w:rPr>
          <w:rStyle w:val="DecValTok"/>
        </w:rPr>
        <w:t xml:space="preserve">1</w:t>
      </w:r>
      <w:r>
        <w:rPr>
          <w:rStyle w:val="NormalTok"/>
        </w:rPr>
        <w:t xml:space="preserve">]]</w:t>
      </w:r>
    </w:p>
    <w:p>
      <w:pPr>
        <w:pStyle w:val="SourceCode"/>
      </w:pPr>
      <w:r>
        <w:rPr>
          <w:rStyle w:val="NormalTok"/>
        </w:rPr>
        <w:t xml:space="preserve">te_enc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null=</w:t>
      </w:r>
      <w:r>
        <w:rPr>
          <w:rStyle w:val="NormalTok"/>
        </w:rPr>
        <w:t xml:space="preserve">psm$ranges.null, </w:t>
      </w:r>
      <w:r>
        <w:rPr>
          <w:rStyle w:val="DataTypeTok"/>
        </w:rPr>
        <w:t xml:space="preserve">features=</w:t>
      </w:r>
      <w:r>
        <w:rPr>
          <w:rStyle w:val="NormalTok"/>
        </w:rPr>
        <w:t xml:space="preserve">features)</w:t>
      </w:r>
    </w:p>
    <w:p>
      <w:r>
        <w:t xml:space="preserve">The output then contains statistics for the enrichment.</w:t>
      </w:r>
    </w:p>
    <w:p>
      <w:pPr>
        <w:pStyle w:val="SourceCode"/>
      </w:pPr>
      <w:r>
        <w:rPr>
          <w:rStyle w:val="KeywordTok"/>
        </w:rPr>
        <w:t xml:space="preserve">colnames</w:t>
      </w:r>
      <w:r>
        <w:rPr>
          <w:rStyle w:val="NormalTok"/>
        </w:rPr>
        <w:t xml:space="preserve">(te_enc)</w:t>
      </w:r>
    </w:p>
    <w:p>
      <w:r>
        <w:t xml:space="preserve">The test can also be performed for predicted binding sites from TRANSFAC.</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"tfbsConsSites"</w:t>
      </w:r>
      <w:r>
        <w:rPr>
          <w:rStyle w:val="NormalTok"/>
        </w:rPr>
        <w:t xml:space="preserve">,genome,cachedir)[[</w:t>
      </w:r>
      <w:r>
        <w:rPr>
          <w:rStyle w:val="DecValTok"/>
        </w:rPr>
        <w:t xml:space="preserve">1</w:t>
      </w:r>
      <w:r>
        <w:rPr>
          <w:rStyle w:val="NormalTok"/>
        </w:rPr>
        <w:t xml:space="preserve">]]</w:t>
      </w:r>
      <w:r>
        <w:br w:type="textWrapping"/>
      </w:r>
      <w:r>
        <w:rPr>
          <w:rStyle w:val="NormalTok"/>
        </w:rPr>
        <w:t xml:space="preserve">te_trans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null=</w:t>
      </w:r>
      <w:r>
        <w:rPr>
          <w:rStyle w:val="NormalTok"/>
        </w:rPr>
        <w:t xml:space="preserve">psm$ranges.null, </w:t>
      </w:r>
      <w:r>
        <w:rPr>
          <w:rStyle w:val="DataTypeTok"/>
        </w:rPr>
        <w:t xml:space="preserve">features=</w:t>
      </w:r>
      <w:r>
        <w:rPr>
          <w:rStyle w:val="NormalTok"/>
        </w:rPr>
        <w:t xml:space="preserve">features)</w:t>
      </w:r>
    </w:p>
    <w:p>
      <w:r>
        <w:t xml:space="preserve">The output from a call to testEnrichment() can be saved using R's built in write.csv() function for viewing in a spreadsheet program or processing outside of R.</w:t>
      </w:r>
    </w:p>
    <w:p>
      <w:pPr>
        <w:pStyle w:val="SourceCode"/>
      </w:pPr>
      <w:r>
        <w:rPr>
          <w:rStyle w:val="KeywordTok"/>
        </w:rPr>
        <w:t xml:space="preserve">write.csv</w:t>
      </w:r>
      <w:r>
        <w:rPr>
          <w:rStyle w:val="NormalTok"/>
        </w:rPr>
        <w:t xml:space="preserve">(te_enc,</w:t>
      </w:r>
      <w:r>
        <w:rPr>
          <w:rStyle w:val="DataTypeTok"/>
        </w:rPr>
        <w:t xml:space="preserve">row.names=</w:t>
      </w:r>
      <w:r>
        <w:rPr>
          <w:rStyle w:val="NormalTok"/>
        </w:rPr>
        <w:t xml:space="preserve">F,</w:t>
      </w:r>
      <w:r>
        <w:rPr>
          <w:rStyle w:val="DataTypeTok"/>
        </w:rPr>
        <w:t xml:space="preserve">file=</w:t>
      </w:r>
      <w:r>
        <w:rPr>
          <w:rStyle w:val="StringTok"/>
        </w:rPr>
        <w:t xml:space="preserve">"te_enc.csv"</w:t>
      </w:r>
      <w:r>
        <w:rPr>
          <w:rStyle w:val="NormalTok"/>
        </w:rPr>
        <w:t xml:space="preserve">)</w:t>
      </w:r>
      <w:r>
        <w:br w:type="textWrapping"/>
      </w:r>
      <w:r>
        <w:rPr>
          <w:rStyle w:val="KeywordTok"/>
        </w:rPr>
        <w:t xml:space="preserve">write.csv</w:t>
      </w:r>
      <w:r>
        <w:rPr>
          <w:rStyle w:val="NormalTok"/>
        </w:rPr>
        <w:t xml:space="preserve">(te_trans,</w:t>
      </w:r>
      <w:r>
        <w:rPr>
          <w:rStyle w:val="DataTypeTok"/>
        </w:rPr>
        <w:t xml:space="preserve">row.names=</w:t>
      </w:r>
      <w:r>
        <w:rPr>
          <w:rStyle w:val="NormalTok"/>
        </w:rPr>
        <w:t xml:space="preserve">F,</w:t>
      </w:r>
      <w:r>
        <w:rPr>
          <w:rStyle w:val="DataTypeTok"/>
        </w:rPr>
        <w:t xml:space="preserve">file=</w:t>
      </w:r>
      <w:r>
        <w:rPr>
          <w:rStyle w:val="StringTok"/>
        </w:rPr>
        <w:t xml:space="preserve">"te_trans.csv"</w:t>
      </w:r>
      <w:r>
        <w:rPr>
          <w:rStyle w:val="NormalTok"/>
        </w:rPr>
        <w:t xml:space="preserve">)</w:t>
      </w:r>
    </w:p>
    <w:p>
      <w:pPr>
        <w:pStyle w:val="Heading1"/>
      </w:pPr>
      <w:bookmarkStart w:id="39" w:name="appendix"/>
      <w:bookmarkEnd w:id="39"/>
      <w:r>
        <w:t xml:space="preserve">Appendix</w:t>
      </w:r>
    </w:p>
    <w:p>
      <w:pPr>
        <w:pStyle w:val="Heading2"/>
      </w:pPr>
      <w:bookmarkStart w:id="40" w:name="direct-import-of-ucsc-genome-browser-tables"/>
      <w:bookmarkEnd w:id="40"/>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2">
        <w:r>
          <w:rPr>
            <w:rStyle w:val="Link"/>
          </w:rPr>
          <w:t xml:space="preserve">UCSC Table Browser</w:t>
        </w:r>
      </w:hyperlink>
      <w:r>
        <w:t xml:space="preserve"> </w:t>
      </w:r>
      <w:r>
        <w:t xml:space="preserve">to obtain table names and schema.</w:t>
      </w:r>
    </w:p>
    <w:p>
      <w:pPr>
        <w:pStyle w:val="Heading2"/>
      </w:pPr>
      <w:bookmarkStart w:id="41" w:name="reproducible-annotation"/>
      <w:bookmarkEnd w:id="41"/>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4636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2aaa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59d6c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37" Target="http://meme-suite.org/tools/dreme"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 Type="http://schemas.openxmlformats.org/officeDocument/2006/relationships/hyperlink" Id="rId36" Target="http://www.rsat.eu/"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37" Target="http://meme-suite.org/tools/dreme"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 Type="http://schemas.openxmlformats.org/officeDocument/2006/relationships/hyperlink" Id="rId36" Target="http://www.rsat.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epigenome-wide results into biological contexts</dc:title>
  <dc:creator>Jeff Bhasin</dc:creator>
  <dcterms:created xsi:type="dcterms:W3CDTF">2015-05-08</dcterms:created>
  <dcterms:modified xsi:type="dcterms:W3CDTF">2015-05-08</dcterms:modified>
</cp:coreProperties>
</file>