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MethylAction:</w:t>
      </w:r>
      <w:r>
        <w:t xml:space="preserve"> </w:t>
      </w:r>
      <w:r>
        <w:t xml:space="preserve">Detecting</w:t>
      </w:r>
      <w:r>
        <w:t xml:space="preserve"> </w:t>
      </w:r>
      <w:r>
        <w:t xml:space="preserve">differentially</w:t>
      </w:r>
      <w:r>
        <w:t xml:space="preserve"> </w:t>
      </w:r>
      <w:r>
        <w:t xml:space="preserve">methylated</w:t>
      </w:r>
      <w:r>
        <w:t xml:space="preserve"> </w:t>
      </w:r>
      <w:r>
        <w:t xml:space="preserve">regions</w:t>
      </w:r>
      <w:r>
        <w:t xml:space="preserve"> </w:t>
      </w:r>
      <w:r>
        <w:t xml:space="preserve">(DMRs)</w:t>
      </w:r>
      <w:r>
        <w:t xml:space="preserve"> </w:t>
      </w:r>
      <w:r>
        <w:t xml:space="preserve">that</w:t>
      </w:r>
      <w:r>
        <w:t xml:space="preserve"> </w:t>
      </w:r>
      <w:r>
        <w:t xml:space="preserve">distinguish</w:t>
      </w:r>
      <w:r>
        <w:t xml:space="preserve"> </w:t>
      </w:r>
      <w:r>
        <w:t xml:space="preserve">disease</w:t>
      </w:r>
      <w:r>
        <w:t xml:space="preserve"> </w:t>
      </w:r>
      <w:r>
        <w:t xml:space="preserve">subtypes</w:t>
      </w:r>
    </w:p>
    <w:p>
      <w:pPr>
        <w:pStyle w:val="Author"/>
      </w:pPr>
      <w:r>
        <w:t xml:space="preserve">Jeff</w:t>
      </w:r>
      <w:r>
        <w:t xml:space="preserve"> </w:t>
      </w:r>
      <w:r>
        <w:t xml:space="preserve">Bhasin</w:t>
      </w:r>
    </w:p>
    <w:p>
      <w:pPr>
        <w:pStyle w:val="Date"/>
      </w:pPr>
      <w:r>
        <w:t xml:space="preserve">2015-05-25</w:t>
      </w:r>
    </w:p>
    <w:p>
      <w:pPr>
        <w:pStyle w:val="Heading1"/>
      </w:pPr>
      <w:bookmarkStart w:id="21" w:name="purpose"/>
      <w:bookmarkEnd w:id="21"/>
      <w:r>
        <w:t xml:space="preserve">Purpose</w:t>
      </w:r>
    </w:p>
    <w:p>
      <w:r>
        <w:t xml:space="preserve">This how-to will demonstrate the use of MethylAction to detect differentially methylated regions (DMRs) among three groups using data from MBD-isolated Genome Sequencing (MiGS). While MethylAction is designed for genome-wide analysis, this example data is only for a subset of the genome and a subset of samples so the example can be worked through quickly. Please refer to the function documentation for advanced options.</w:t>
      </w:r>
    </w:p>
    <w:p>
      <w:pPr>
        <w:pStyle w:val="Heading1"/>
      </w:pPr>
      <w:bookmarkStart w:id="22" w:name="prerequisites"/>
      <w:bookmarkEnd w:id="22"/>
      <w:r>
        <w:t xml:space="preserve">Prerequisites</w:t>
      </w:r>
    </w:p>
    <w:p>
      <w:pPr>
        <w:pStyle w:val="Compact"/>
        <w:numPr>
          <w:numId w:val="1001"/>
          <w:ilvl w:val="0"/>
        </w:numPr>
      </w:pPr>
      <w:r>
        <w:t xml:space="preserve">R Installed (download from</w:t>
      </w:r>
      <w:r>
        <w:t xml:space="preserve"> </w:t>
      </w:r>
      <w:hyperlink r:id="rId23">
        <w:r>
          <w:rPr>
            <w:rStyle w:val="Link"/>
          </w:rPr>
          <w:t xml:space="preserve">http://cran.r-project.org/</w:t>
        </w:r>
      </w:hyperlink>
      <w:r>
        <w:t xml:space="preserve">)</w:t>
      </w:r>
    </w:p>
    <w:p>
      <w:pPr>
        <w:pStyle w:val="Compact"/>
        <w:numPr>
          <w:numId w:val="1001"/>
          <w:ilvl w:val="0"/>
        </w:numPr>
      </w:pPr>
      <w:r>
        <w:t xml:space="preserve">A linux/unix-based server or workstation (includes Mac OS X)</w:t>
      </w:r>
    </w:p>
    <w:p>
      <w:r>
        <w:t xml:space="preserve">RAM and CPU requirements will depend on the depth of the sequencing and the number of samples and groups. We recommend very high performance machines. As a reference, we used a linux server with 20 cores of 2.80GHz CPUs and 64GB of RAM for a genome-wide analysis of 22 samples across 3 groups. A high performance computing cluster (HPC) was used to obtain 1,000s of permutations.</w:t>
      </w:r>
    </w:p>
    <w:p>
      <w:r>
        <w:t xml:space="preserve">For the purposes of the example, less CPU and RAM are required. This how-to has been tested on a MacBook Pro with a 2.4 GHz CPU and 8 GB of RAM.</w:t>
      </w:r>
    </w:p>
    <w:p>
      <w:pPr>
        <w:pStyle w:val="Heading1"/>
      </w:pPr>
      <w:bookmarkStart w:id="24" w:name="installation"/>
      <w:bookmarkEnd w:id="24"/>
      <w:r>
        <w:t xml:space="preserve">Installation</w:t>
      </w:r>
    </w:p>
    <w:p>
      <w:r>
        <w:t xml:space="preserve">First, start R (by typing the "R" command at the linux command line) and install pre-requisite packages from</w:t>
      </w:r>
      <w:r>
        <w:t xml:space="preserve"> </w:t>
      </w:r>
      <w:hyperlink r:id="rId25">
        <w:r>
          <w:rPr>
            <w:rStyle w:val="Link"/>
          </w:rPr>
          <w:t xml:space="preserve">Bioconductor</w:t>
        </w:r>
      </w:hyperlink>
      <w:r>
        <w:t xml:space="preserve">:</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KeywordTok"/>
        </w:rPr>
        <w:t xml:space="preserve">biocLite</w:t>
      </w:r>
      <w:r>
        <w:rPr>
          <w:rStyle w:val="NormalTok"/>
        </w:rPr>
        <w:t xml:space="preserve">(</w:t>
      </w:r>
      <w:r>
        <w:rPr>
          <w:rStyle w:val="KeywordTok"/>
        </w:rPr>
        <w:t xml:space="preserve">c</w:t>
      </w:r>
      <w:r>
        <w:rPr>
          <w:rStyle w:val="NormalTok"/>
        </w:rPr>
        <w:t xml:space="preserve">(</w:t>
      </w:r>
      <w:r>
        <w:rPr>
          <w:rStyle w:val="StringTok"/>
        </w:rPr>
        <w:t xml:space="preserve">"GenomicRanges"</w:t>
      </w:r>
      <w:r>
        <w:rPr>
          <w:rStyle w:val="NormalTok"/>
        </w:rPr>
        <w:t xml:space="preserve">,</w:t>
      </w:r>
      <w:r>
        <w:rPr>
          <w:rStyle w:val="StringTok"/>
        </w:rPr>
        <w:t xml:space="preserve">"IRanges"</w:t>
      </w:r>
      <w:r>
        <w:rPr>
          <w:rStyle w:val="NormalTok"/>
        </w:rPr>
        <w:t xml:space="preserve">,</w:t>
      </w:r>
      <w:r>
        <w:rPr>
          <w:rStyle w:val="StringTok"/>
        </w:rPr>
        <w:t xml:space="preserve">"devtools"</w:t>
      </w:r>
      <w:r>
        <w:rPr>
          <w:rStyle w:val="NormalTok"/>
        </w:rPr>
        <w:t xml:space="preserve">,</w:t>
      </w:r>
      <w:r>
        <w:rPr>
          <w:rStyle w:val="StringTok"/>
        </w:rPr>
        <w:t xml:space="preserve">"DESeq"</w:t>
      </w:r>
      <w:r>
        <w:rPr>
          <w:rStyle w:val="NormalTok"/>
        </w:rPr>
        <w:t xml:space="preserve">,</w:t>
      </w:r>
      <w:r>
        <w:rPr>
          <w:rStyle w:val="StringTok"/>
        </w:rPr>
        <w:t xml:space="preserve">"GenomicAlignments"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"Repitools"</w:t>
      </w:r>
      <w:r>
        <w:rPr>
          <w:rStyle w:val="NormalTok"/>
        </w:rPr>
        <w:t xml:space="preserve">,</w:t>
      </w:r>
      <w:r>
        <w:rPr>
          <w:rStyle w:val="StringTok"/>
        </w:rPr>
        <w:t xml:space="preserve">"Rsubread"</w:t>
      </w:r>
      <w:r>
        <w:rPr>
          <w:rStyle w:val="NormalTok"/>
        </w:rPr>
        <w:t xml:space="preserve">,</w:t>
      </w:r>
      <w:r>
        <w:rPr>
          <w:rStyle w:val="StringTok"/>
        </w:rPr>
        <w:t xml:space="preserve">"ggbio"</w:t>
      </w:r>
      <w:r>
        <w:rPr>
          <w:rStyle w:val="NormalTok"/>
        </w:rPr>
        <w:t xml:space="preserve">))</w:t>
      </w:r>
    </w:p>
    <w:p>
      <w:r>
        <w:t xml:space="preserve">Then, install both Goldmine and MethylAction from GitHub. Be sure to accept installation of any additional pre-requisite packages from CRAN.</w:t>
      </w:r>
    </w:p>
    <w:p>
      <w:pPr>
        <w:pStyle w:val="SourceCode"/>
      </w:pPr>
      <w:r>
        <w:rPr>
          <w:rStyle w:val="KeywordTok"/>
        </w:rPr>
        <w:t xml:space="preserve">library</w:t>
      </w:r>
      <w:r>
        <w:rPr>
          <w:rStyle w:val="NormalTok"/>
        </w:rPr>
        <w:t xml:space="preserve">(devtools)</w:t>
      </w:r>
      <w:r>
        <w:br w:type="textWrapping"/>
      </w:r>
      <w:r>
        <w:rPr>
          <w:rStyle w:val="KeywordTok"/>
        </w:rPr>
        <w:t xml:space="preserve">install_github</w:t>
      </w:r>
      <w:r>
        <w:rPr>
          <w:rStyle w:val="NormalTok"/>
        </w:rPr>
        <w:t xml:space="preserve">(</w:t>
      </w:r>
      <w:r>
        <w:rPr>
          <w:rStyle w:val="StringTok"/>
        </w:rPr>
        <w:t xml:space="preserve">"jeffbhasin/goldmine"</w:t>
      </w:r>
      <w:r>
        <w:rPr>
          <w:rStyle w:val="NormalTok"/>
        </w:rPr>
        <w:t xml:space="preserve">)</w:t>
      </w:r>
      <w:r>
        <w:br w:type="textWrapping"/>
      </w:r>
      <w:r>
        <w:rPr>
          <w:rStyle w:val="KeywordTok"/>
        </w:rPr>
        <w:t xml:space="preserve">install_github</w:t>
      </w:r>
      <w:r>
        <w:rPr>
          <w:rStyle w:val="NormalTok"/>
        </w:rPr>
        <w:t xml:space="preserve">(</w:t>
      </w:r>
      <w:r>
        <w:rPr>
          <w:rStyle w:val="StringTok"/>
        </w:rPr>
        <w:t xml:space="preserve">"jeffbhasin/methylaction"</w:t>
      </w:r>
      <w:r>
        <w:rPr>
          <w:rStyle w:val="NormalTok"/>
        </w:rPr>
        <w:t xml:space="preserve">)</w:t>
      </w:r>
    </w:p>
    <w:p>
      <w:pPr>
        <w:pStyle w:val="Heading1"/>
      </w:pPr>
      <w:bookmarkStart w:id="26" w:name="obtaining-the-example-data"/>
      <w:bookmarkEnd w:id="26"/>
      <w:r>
        <w:t xml:space="preserve">Obtaining the Example Data</w:t>
      </w:r>
    </w:p>
    <w:p>
      <w:r>
        <w:t xml:space="preserve">Please obtain the "methylaction_demo.tar.gz" file and extract it. This contains all the example input data needed to complete this how-to.</w:t>
      </w:r>
    </w:p>
    <w:p>
      <w:r>
        <w:t xml:space="preserve">From the linux command line, use the command "tar -zxvf methylaction_demo.tar.gz" for extraction.</w:t>
      </w:r>
    </w:p>
    <w:p>
      <w:r>
        <w:t xml:space="preserve">Note that your session of R must have the working directory set to the location of the "methylaction_demo" folder extracted from the tar.gz file so paths to files in this how-to will be valid. Use the "setwd()" function to set this directory.</w:t>
      </w:r>
    </w:p>
    <w:p>
      <w:r>
        <w:t xml:space="preserve">For example (change to your location):</w:t>
      </w:r>
    </w:p>
    <w:p>
      <w:pPr>
        <w:pStyle w:val="SourceCode"/>
      </w:pPr>
      <w:r>
        <w:rPr>
          <w:rStyle w:val="KeywordTok"/>
        </w:rPr>
        <w:t xml:space="preserve">setwd</w:t>
      </w:r>
      <w:r>
        <w:rPr>
          <w:rStyle w:val="NormalTok"/>
        </w:rPr>
        <w:t xml:space="preserve">(</w:t>
      </w:r>
      <w:r>
        <w:rPr>
          <w:rStyle w:val="StringTok"/>
        </w:rPr>
        <w:t xml:space="preserve">"/Users/bhasinj/Documents/methylaction_demo"</w:t>
      </w:r>
      <w:r>
        <w:rPr>
          <w:rStyle w:val="NormalTok"/>
        </w:rPr>
        <w:t xml:space="preserve">)</w:t>
      </w:r>
    </w:p>
    <w:p>
      <w:pPr>
        <w:pStyle w:val="Heading1"/>
      </w:pPr>
      <w:bookmarkStart w:id="27" w:name="preprocessing"/>
      <w:bookmarkEnd w:id="27"/>
      <w:r>
        <w:t xml:space="preserve">Preprocessing</w:t>
      </w:r>
    </w:p>
    <w:p>
      <w:r>
        <w:t xml:space="preserve">First, start R, and load the "methylaction" R package into the session.</w:t>
      </w:r>
    </w:p>
    <w:p>
      <w:pPr>
        <w:pStyle w:val="SourceCode"/>
      </w:pPr>
      <w:r>
        <w:rPr>
          <w:rStyle w:val="KeywordTok"/>
        </w:rPr>
        <w:t xml:space="preserve">library</w:t>
      </w:r>
      <w:r>
        <w:rPr>
          <w:rStyle w:val="NormalTok"/>
        </w:rPr>
        <w:t xml:space="preserve">(methylaction)</w:t>
      </w:r>
    </w:p>
    <w:p>
      <w:pPr>
        <w:pStyle w:val="Heading2"/>
      </w:pPr>
      <w:bookmarkStart w:id="28" w:name="describing-the-experimental-design"/>
      <w:bookmarkEnd w:id="28"/>
      <w:r>
        <w:t xml:space="preserve">Describing the Experimental Design</w:t>
      </w:r>
    </w:p>
    <w:p>
      <w:r>
        <w:t xml:space="preserve">Unique sample identifiers, paths to BAM files, group assignments, and any sample covariates are defined in a CSV file. Please see "input/samples.csv" for an example of the format. Note that comparison groups must be ordered as you want the groups to appear in the output results. This is important, because in the output, patterns between the groups will be coded using sequences of binary digits, where each digit represents a group, and this is the same as the order the groups are encountered in the sample CSV file. Optionally, a column called "color" can be provided that defines colors for each groups. These will be used in certain plotting and reporting functions. If this column is omitted, colors are automatically assigned using RColorBrewer.</w:t>
      </w:r>
    </w:p>
    <w:p>
      <w:r>
        <w:t xml:space="preserve">The sample CSV file can be read into R using the readSampleInfo() command:</w:t>
      </w:r>
    </w:p>
    <w:p>
      <w:pPr>
        <w:pStyle w:val="SourceCode"/>
      </w:pPr>
      <w:r>
        <w:rPr>
          <w:rStyle w:val="NormalTok"/>
        </w:rPr>
        <w:t xml:space="preserve">samp &lt;-</w:t>
      </w:r>
      <w:r>
        <w:rPr>
          <w:rStyle w:val="StringTok"/>
        </w:rPr>
        <w:t xml:space="preserve"> </w:t>
      </w:r>
      <w:r>
        <w:rPr>
          <w:rStyle w:val="KeywordTok"/>
        </w:rPr>
        <w:t xml:space="preserve">readSampleInfo</w:t>
      </w:r>
      <w:r>
        <w:rPr>
          <w:rStyle w:val="NormalTok"/>
        </w:rPr>
        <w:t xml:space="preserve">(</w:t>
      </w:r>
      <w:r>
        <w:rPr>
          <w:rStyle w:val="StringTok"/>
        </w:rPr>
        <w:t xml:space="preserve">"input/samples.csv"</w:t>
      </w:r>
      <w:r>
        <w:rPr>
          <w:rStyle w:val="NormalTok"/>
        </w:rPr>
        <w:t xml:space="preserve">)</w:t>
      </w:r>
    </w:p>
    <w:p>
      <w:pPr>
        <w:pStyle w:val="SourceCode"/>
      </w:pPr>
      <w:r>
        <w:rPr>
          <w:rStyle w:val="VerbatimChar"/>
        </w:rPr>
        <w:t xml:space="preserve">## Found 9 samples in 3 groups</w:t>
      </w:r>
      <w:r>
        <w:br w:type="textWrapping"/>
      </w:r>
      <w:r>
        <w:rPr>
          <w:rStyle w:val="VerbatimChar"/>
        </w:rPr>
        <w:t xml:space="preserve">## Group order for pattern and contrast digits will be: benign, low, high</w:t>
      </w:r>
      <w:r>
        <w:br w:type="textWrapping"/>
      </w:r>
      <w:r>
        <w:rPr>
          <w:rStyle w:val="VerbatimChar"/>
        </w:rPr>
        <w:t xml:space="preserve">## Number of samples in each group:</w:t>
      </w:r>
    </w:p>
    <w:p>
      <w:pPr>
        <w:pStyle w:val="SourceCode"/>
      </w:pPr>
      <w:r>
        <w:rPr>
          <w:rStyle w:val="VerbatimChar"/>
        </w:rPr>
        <w:t xml:space="preserve">## benign    low   high </w:t>
      </w:r>
      <w:r>
        <w:br w:type="textWrapping"/>
      </w:r>
      <w:r>
        <w:rPr>
          <w:rStyle w:val="VerbatimChar"/>
        </w:rPr>
        <w:t xml:space="preserve">##      3      3      3</w:t>
      </w:r>
    </w:p>
    <w:p>
      <w:pPr>
        <w:pStyle w:val="SourceCode"/>
      </w:pPr>
      <w:r>
        <w:rPr>
          <w:rStyle w:val="KeywordTok"/>
        </w:rPr>
        <w:t xml:space="preserve">print</w:t>
      </w:r>
      <w:r>
        <w:rPr>
          <w:rStyle w:val="NormalTok"/>
        </w:rPr>
        <w:t xml:space="preserve">(samp)</w:t>
      </w:r>
    </w:p>
    <w:p>
      <w:pPr>
        <w:pStyle w:val="SourceCode"/>
      </w:pPr>
      <w:r>
        <w:rPr>
          <w:rStyle w:val="VerbatimChar"/>
        </w:rPr>
        <w:t xml:space="preserve">##   sample  group                 bam ancestry   color</w:t>
      </w:r>
      <w:r>
        <w:br w:type="textWrapping"/>
      </w:r>
      <w:r>
        <w:rPr>
          <w:rStyle w:val="VerbatimChar"/>
        </w:rPr>
        <w:t xml:space="preserve">## 1    BE1 benign input/BE1.chr22.bam european #4daf4a</w:t>
      </w:r>
      <w:r>
        <w:br w:type="textWrapping"/>
      </w:r>
      <w:r>
        <w:rPr>
          <w:rStyle w:val="VerbatimChar"/>
        </w:rPr>
        <w:t xml:space="preserve">## 2    BE2 benign input/BE2.chr22.bam european #4daf4a</w:t>
      </w:r>
      <w:r>
        <w:br w:type="textWrapping"/>
      </w:r>
      <w:r>
        <w:rPr>
          <w:rStyle w:val="VerbatimChar"/>
        </w:rPr>
        <w:t xml:space="preserve">## 3    BE3 benign input/BE3.chr22.bam european #4daf4a</w:t>
      </w:r>
      <w:r>
        <w:br w:type="textWrapping"/>
      </w:r>
      <w:r>
        <w:rPr>
          <w:rStyle w:val="VerbatimChar"/>
        </w:rPr>
        <w:t xml:space="preserve">## 4    LE1    low input/LE1.chr22.bam european #377eb8</w:t>
      </w:r>
      <w:r>
        <w:br w:type="textWrapping"/>
      </w:r>
      <w:r>
        <w:rPr>
          <w:rStyle w:val="VerbatimChar"/>
        </w:rPr>
        <w:t xml:space="preserve">## 5    LE2    low input/LE2.chr22.bam european #377eb8</w:t>
      </w:r>
      <w:r>
        <w:br w:type="textWrapping"/>
      </w:r>
      <w:r>
        <w:rPr>
          <w:rStyle w:val="VerbatimChar"/>
        </w:rPr>
        <w:t xml:space="preserve">## 6    LE3    low input/LE3.chr22.bam european #377eb8</w:t>
      </w:r>
      <w:r>
        <w:br w:type="textWrapping"/>
      </w:r>
      <w:r>
        <w:rPr>
          <w:rStyle w:val="VerbatimChar"/>
        </w:rPr>
        <w:t xml:space="preserve">## 7    HE1   high input/HE1.chr22.bam european #e41a1c</w:t>
      </w:r>
      <w:r>
        <w:br w:type="textWrapping"/>
      </w:r>
      <w:r>
        <w:rPr>
          <w:rStyle w:val="VerbatimChar"/>
        </w:rPr>
        <w:t xml:space="preserve">## 8    HE2   high input/HE2.chr22.bam european #e41a1c</w:t>
      </w:r>
      <w:r>
        <w:br w:type="textWrapping"/>
      </w:r>
      <w:r>
        <w:rPr>
          <w:rStyle w:val="VerbatimChar"/>
        </w:rPr>
        <w:t xml:space="preserve">## 9    HE3   high input/HE3.chr22.bam european #e41a1c</w:t>
      </w:r>
    </w:p>
    <w:p>
      <w:r>
        <w:t xml:space="preserve">The command will output confirmation of group sample sizes and group order.</w:t>
      </w:r>
    </w:p>
    <w:p>
      <w:pPr>
        <w:pStyle w:val="Heading2"/>
      </w:pPr>
      <w:bookmarkStart w:id="29" w:name="loading-reads-and-generating-count-tables"/>
      <w:bookmarkEnd w:id="29"/>
      <w:r>
        <w:t xml:space="preserve">Loading Reads and Generating Count Tables</w:t>
      </w:r>
    </w:p>
    <w:p>
      <w:r>
        <w:t xml:space="preserve">All read alignments are read and processed from the BAM files into an RData workspace that is saved to disk, and this prevents the user from having to re-process data again for each run of MethylAction. The getReads() function obtains the coordinates of the read alignments from the BAM file. The initial stage of the program works with fragment counts in 50bp windows, which are also computed once and saved by the function getCounts().</w:t>
      </w:r>
    </w:p>
    <w:p>
      <w:r>
        <w:t xml:space="preserve">There are two other variables specific to the experiment that are needed in the next step. These are the window size (we recommend 50bp) and the fragment size used for generating the sequencing library. This fragment size is not the read length – it is the average size of a fragment in the sequencing library that was prepared. Often this number is available from BioAnayzer results, and should be known to whomever did the sequencing library preparation for your study. In the case of paired end data, the fragsize variable can be set to "paired" and valid mate pairs will be used.</w:t>
      </w:r>
    </w:p>
    <w:p>
      <w:r>
        <w:t xml:space="preserve">First, define the variables that will be needed for the preprocessing functions:</w:t>
      </w:r>
    </w:p>
    <w:p>
      <w:pPr>
        <w:pStyle w:val="SourceCode"/>
      </w:pPr>
      <w:r>
        <w:rPr>
          <w:rStyle w:val="NormalTok"/>
        </w:rPr>
        <w:t xml:space="preserve">chrs &lt;-</w:t>
      </w:r>
      <w:r>
        <w:rPr>
          <w:rStyle w:val="StringTok"/>
        </w:rPr>
        <w:t xml:space="preserve"> "chr22"</w:t>
      </w:r>
      <w:r>
        <w:br w:type="textWrapping"/>
      </w:r>
      <w:r>
        <w:rPr>
          <w:rStyle w:val="NormalTok"/>
        </w:rPr>
        <w:t xml:space="preserve">fragsize &lt;-</w:t>
      </w:r>
      <w:r>
        <w:rPr>
          <w:rStyle w:val="StringTok"/>
        </w:rPr>
        <w:t xml:space="preserve"> </w:t>
      </w:r>
      <w:r>
        <w:rPr>
          <w:rStyle w:val="DecValTok"/>
        </w:rPr>
        <w:t xml:space="preserve">120</w:t>
      </w:r>
      <w:r>
        <w:br w:type="textWrapping"/>
      </w:r>
      <w:r>
        <w:rPr>
          <w:rStyle w:val="NormalTok"/>
        </w:rPr>
        <w:t xml:space="preserve">winsize &lt;-</w:t>
      </w:r>
      <w:r>
        <w:rPr>
          <w:rStyle w:val="StringTok"/>
        </w:rPr>
        <w:t xml:space="preserve"> </w:t>
      </w:r>
      <w:r>
        <w:rPr>
          <w:rStyle w:val="DecValTok"/>
        </w:rPr>
        <w:t xml:space="preserve">50</w:t>
      </w:r>
      <w:r>
        <w:br w:type="textWrapping"/>
      </w:r>
      <w:r>
        <w:rPr>
          <w:rStyle w:val="NormalTok"/>
        </w:rPr>
        <w:t xml:space="preserve">ncore &lt;-</w:t>
      </w:r>
      <w:r>
        <w:rPr>
          <w:rStyle w:val="StringTok"/>
        </w:rPr>
        <w:t xml:space="preserve"> </w:t>
      </w:r>
      <w:r>
        <w:rPr>
          <w:rStyle w:val="DecValTok"/>
        </w:rPr>
        <w:t xml:space="preserve">1</w:t>
      </w:r>
    </w:p>
    <w:p>
      <w:r>
        <w:t xml:space="preserve">Then, read in alignments and generate binned count tables (these steps may be memory, disk, and CPU intensive):</w:t>
      </w:r>
    </w:p>
    <w:p>
      <w:pPr>
        <w:pStyle w:val="SourceCode"/>
      </w:pPr>
      <w:r>
        <w:rPr>
          <w:rStyle w:val="NormalTok"/>
        </w:rPr>
        <w:t xml:space="preserve">reads &lt;-</w:t>
      </w:r>
      <w:r>
        <w:rPr>
          <w:rStyle w:val="StringTok"/>
        </w:rPr>
        <w:t xml:space="preserve"> </w:t>
      </w:r>
      <w:r>
        <w:rPr>
          <w:rStyle w:val="KeywordTok"/>
        </w:rPr>
        <w:t xml:space="preserve">getReads</w:t>
      </w:r>
      <w:r>
        <w:rPr>
          <w:rStyle w:val="NormalTok"/>
        </w:rPr>
        <w:t xml:space="preserve">(</w:t>
      </w:r>
      <w:r>
        <w:rPr>
          <w:rStyle w:val="DataTypeTok"/>
        </w:rPr>
        <w:t xml:space="preserve">samp=</w:t>
      </w:r>
      <w:r>
        <w:rPr>
          <w:rStyle w:val="NormalTok"/>
        </w:rPr>
        <w:t xml:space="preserve">samp, </w:t>
      </w:r>
      <w:r>
        <w:rPr>
          <w:rStyle w:val="DataTypeTok"/>
        </w:rPr>
        <w:t xml:space="preserve">chrs=</w:t>
      </w:r>
      <w:r>
        <w:rPr>
          <w:rStyle w:val="NormalTok"/>
        </w:rPr>
        <w:t xml:space="preserve">chrs, </w:t>
      </w:r>
      <w:r>
        <w:rPr>
          <w:rStyle w:val="DataTypeTok"/>
        </w:rPr>
        <w:t xml:space="preserve">fragsize=</w:t>
      </w:r>
      <w:r>
        <w:rPr>
          <w:rStyle w:val="NormalTok"/>
        </w:rPr>
        <w:t xml:space="preserve">fragsize, </w:t>
      </w:r>
      <w:r>
        <w:rPr>
          <w:rStyle w:val="DataTypeTok"/>
        </w:rPr>
        <w:t xml:space="preserve">ncore=</w:t>
      </w:r>
      <w:r>
        <w:rPr>
          <w:rStyle w:val="NormalTok"/>
        </w:rPr>
        <w:t xml:space="preserve">ncore)</w:t>
      </w:r>
      <w:r>
        <w:br w:type="textWrapping"/>
      </w:r>
      <w:r>
        <w:rPr>
          <w:rStyle w:val="NormalTok"/>
        </w:rPr>
        <w:t xml:space="preserve">counts &lt;-</w:t>
      </w:r>
      <w:r>
        <w:rPr>
          <w:rStyle w:val="StringTok"/>
        </w:rPr>
        <w:t xml:space="preserve"> </w:t>
      </w:r>
      <w:r>
        <w:rPr>
          <w:rStyle w:val="KeywordTok"/>
        </w:rPr>
        <w:t xml:space="preserve">getCounts</w:t>
      </w:r>
      <w:r>
        <w:rPr>
          <w:rStyle w:val="NormalTok"/>
        </w:rPr>
        <w:t xml:space="preserve">(</w:t>
      </w:r>
      <w:r>
        <w:rPr>
          <w:rStyle w:val="DataTypeTok"/>
        </w:rPr>
        <w:t xml:space="preserve">samp=</w:t>
      </w:r>
      <w:r>
        <w:rPr>
          <w:rStyle w:val="NormalTok"/>
        </w:rPr>
        <w:t xml:space="preserve">samp, </w:t>
      </w:r>
      <w:r>
        <w:rPr>
          <w:rStyle w:val="DataTypeTok"/>
        </w:rPr>
        <w:t xml:space="preserve">reads=</w:t>
      </w:r>
      <w:r>
        <w:rPr>
          <w:rStyle w:val="NormalTok"/>
        </w:rPr>
        <w:t xml:space="preserve">reads, </w:t>
      </w:r>
      <w:r>
        <w:rPr>
          <w:rStyle w:val="DataTypeTok"/>
        </w:rPr>
        <w:t xml:space="preserve">chrs=</w:t>
      </w:r>
      <w:r>
        <w:rPr>
          <w:rStyle w:val="NormalTok"/>
        </w:rPr>
        <w:t xml:space="preserve">chrs, </w:t>
      </w:r>
      <w:r>
        <w:rPr>
          <w:rStyle w:val="DataTypeTok"/>
        </w:rPr>
        <w:t xml:space="preserve">winsize=</w:t>
      </w:r>
      <w:r>
        <w:rPr>
          <w:rStyle w:val="NormalTok"/>
        </w:rPr>
        <w:t xml:space="preserve">winsize, </w:t>
      </w:r>
      <w:r>
        <w:rPr>
          <w:rStyle w:val="DataTypeTok"/>
        </w:rPr>
        <w:t xml:space="preserve">ncore=</w:t>
      </w:r>
      <w:r>
        <w:rPr>
          <w:rStyle w:val="NormalTok"/>
        </w:rPr>
        <w:t xml:space="preserve">ncore)</w:t>
      </w:r>
    </w:p>
    <w:p>
      <w:r>
        <w:t xml:space="preserve">We recommend saving all of the above into a single preprocessing RData, which can be loaded prior to running the DMR detection step described next.</w:t>
      </w:r>
    </w:p>
    <w:p>
      <w:pPr>
        <w:pStyle w:val="SourceCode"/>
      </w:pPr>
      <w:r>
        <w:rPr>
          <w:rStyle w:val="KeywordTok"/>
        </w:rPr>
        <w:t xml:space="preserve">save</w:t>
      </w:r>
      <w:r>
        <w:rPr>
          <w:rStyle w:val="NormalTok"/>
        </w:rPr>
        <w:t xml:space="preserve">(samp, reads, counts, winsize, fragsize, chrs, </w:t>
      </w:r>
      <w:r>
        <w:rPr>
          <w:rStyle w:val="DataTypeTok"/>
        </w:rPr>
        <w:t xml:space="preserve">file=</w:t>
      </w:r>
      <w:r>
        <w:rPr>
          <w:rStyle w:val="StringTok"/>
        </w:rPr>
        <w:t xml:space="preserve">"output/prepro.rd"</w:t>
      </w:r>
      <w:r>
        <w:rPr>
          <w:rStyle w:val="NormalTok"/>
        </w:rPr>
        <w:t xml:space="preserve">,</w:t>
      </w:r>
      <w:r>
        <w:rPr>
          <w:rStyle w:val="DataTypeTok"/>
        </w:rPr>
        <w:t xml:space="preserve">compress=</w:t>
      </w:r>
      <w:r>
        <w:rPr>
          <w:rStyle w:val="NormalTok"/>
        </w:rPr>
        <w:t xml:space="preserve">T)</w:t>
      </w:r>
    </w:p>
    <w:p>
      <w:r>
        <w:t xml:space="preserve">For future runs of DMR detection, the saved RData can be loaded rather than spending time re-preprocessing the data.</w:t>
      </w:r>
    </w:p>
    <w:p>
      <w:pPr>
        <w:pStyle w:val="Heading1"/>
      </w:pPr>
      <w:bookmarkStart w:id="30" w:name="differentially-methylated-region-dmr-detection"/>
      <w:bookmarkEnd w:id="30"/>
      <w:r>
        <w:t xml:space="preserve">Differentially Methylated Region (DMR) Detection</w:t>
      </w:r>
    </w:p>
    <w:p>
      <w:r>
        <w:t xml:space="preserve">With all the preprocessing completed, differentially methylated regions (DMRs) can be detected using a call to the methylaction() function. There are many options to this function that will affect the DMR detection. Here we have used recommended defaults. See the function documentation for more details. This function performs multiple steps, which are all CPU, RAM, and disk intensive when run on larger data sets.</w:t>
      </w:r>
    </w:p>
    <w:p>
      <w:r>
        <w:t xml:space="preserve">First, set the number of cores to use based on your hardware (we recommend reducing this number if there are memory issues):</w:t>
      </w:r>
    </w:p>
    <w:p>
      <w:pPr>
        <w:pStyle w:val="SourceCode"/>
      </w:pPr>
      <w:r>
        <w:rPr>
          <w:rStyle w:val="NormalTok"/>
        </w:rPr>
        <w:t xml:space="preserve">ncore &lt;-</w:t>
      </w:r>
      <w:r>
        <w:rPr>
          <w:rStyle w:val="StringTok"/>
        </w:rPr>
        <w:t xml:space="preserve"> </w:t>
      </w:r>
      <w:r>
        <w:rPr>
          <w:rStyle w:val="DecValTok"/>
        </w:rPr>
        <w:t xml:space="preserve">1</w:t>
      </w:r>
    </w:p>
    <w:p>
      <w:r>
        <w:t xml:space="preserve">Then, run methylaction() to call DMRs:</w:t>
      </w:r>
    </w:p>
    <w:p>
      <w:pPr>
        <w:pStyle w:val="SourceCode"/>
      </w:pPr>
      <w:r>
        <w:rPr>
          <w:rStyle w:val="NormalTok"/>
        </w:rPr>
        <w:t xml:space="preserve">ma &lt;-</w:t>
      </w:r>
      <w:r>
        <w:rPr>
          <w:rStyle w:val="StringTok"/>
        </w:rPr>
        <w:t xml:space="preserve"> </w:t>
      </w:r>
      <w:r>
        <w:rPr>
          <w:rStyle w:val="KeywordTok"/>
        </w:rPr>
        <w:t xml:space="preserve">methylaction</w:t>
      </w:r>
      <w:r>
        <w:rPr>
          <w:rStyle w:val="NormalTok"/>
        </w:rPr>
        <w:t xml:space="preserve">(</w:t>
      </w:r>
      <w:r>
        <w:rPr>
          <w:rStyle w:val="DataTypeTok"/>
        </w:rPr>
        <w:t xml:space="preserve">samp=</w:t>
      </w:r>
      <w:r>
        <w:rPr>
          <w:rStyle w:val="NormalTok"/>
        </w:rPr>
        <w:t xml:space="preserve">samp, </w:t>
      </w:r>
      <w:r>
        <w:rPr>
          <w:rStyle w:val="DataTypeTok"/>
        </w:rPr>
        <w:t xml:space="preserve">counts=</w:t>
      </w:r>
      <w:r>
        <w:rPr>
          <w:rStyle w:val="NormalTok"/>
        </w:rPr>
        <w:t xml:space="preserve">counts, </w:t>
      </w:r>
      <w:r>
        <w:rPr>
          <w:rStyle w:val="DataTypeTok"/>
        </w:rPr>
        <w:t xml:space="preserve">reads=</w:t>
      </w:r>
      <w:r>
        <w:rPr>
          <w:rStyle w:val="NormalTok"/>
        </w:rPr>
        <w:t xml:space="preserve">reads, </w:t>
      </w:r>
      <w:r>
        <w:rPr>
          <w:rStyle w:val="DataTypeTok"/>
        </w:rPr>
        <w:t xml:space="preserve">ncore=</w:t>
      </w:r>
      <w:r>
        <w:rPr>
          <w:rStyle w:val="NormalTok"/>
        </w:rPr>
        <w:t xml:space="preserve">ncore)</w:t>
      </w:r>
    </w:p>
    <w:p>
      <w:r>
        <w:t xml:space="preserve">Finally, save the results object to disk:</w:t>
      </w:r>
    </w:p>
    <w:p>
      <w:pPr>
        <w:pStyle w:val="SourceCode"/>
      </w:pPr>
      <w:r>
        <w:rPr>
          <w:rStyle w:val="KeywordTok"/>
        </w:rPr>
        <w:t xml:space="preserve">save</w:t>
      </w:r>
      <w:r>
        <w:rPr>
          <w:rStyle w:val="NormalTok"/>
        </w:rPr>
        <w:t xml:space="preserve">(ma,</w:t>
      </w:r>
      <w:r>
        <w:rPr>
          <w:rStyle w:val="DataTypeTok"/>
        </w:rPr>
        <w:t xml:space="preserve">file=</w:t>
      </w:r>
      <w:r>
        <w:rPr>
          <w:rStyle w:val="StringTok"/>
        </w:rPr>
        <w:t xml:space="preserve">"output/ma.rd"</w:t>
      </w:r>
      <w:r>
        <w:rPr>
          <w:rStyle w:val="NormalTok"/>
        </w:rPr>
        <w:t xml:space="preserve">, </w:t>
      </w:r>
      <w:r>
        <w:rPr>
          <w:rStyle w:val="DataTypeTok"/>
        </w:rPr>
        <w:t xml:space="preserve">compress=</w:t>
      </w:r>
      <w:r>
        <w:rPr>
          <w:rStyle w:val="NormalTok"/>
        </w:rPr>
        <w:t xml:space="preserve">T)</w:t>
      </w:r>
    </w:p>
    <w:p>
      <w:r>
        <w:t xml:space="preserve">It is also useful to save a DMR list as a CSV file for viewing in a spreadsheet application.</w:t>
      </w:r>
    </w:p>
    <w:p>
      <w:pPr>
        <w:pStyle w:val="SourceCode"/>
      </w:pPr>
      <w:r>
        <w:rPr>
          <w:rStyle w:val="KeywordTok"/>
        </w:rPr>
        <w:t xml:space="preserve">write.csv</w:t>
      </w:r>
      <w:r>
        <w:rPr>
          <w:rStyle w:val="NormalTok"/>
        </w:rPr>
        <w:t xml:space="preserve">(</w:t>
      </w:r>
      <w:r>
        <w:rPr>
          <w:rStyle w:val="KeywordTok"/>
        </w:rPr>
        <w:t xml:space="preserve">makeDT</w:t>
      </w:r>
      <w:r>
        <w:rPr>
          <w:rStyle w:val="NormalTok"/>
        </w:rPr>
        <w:t xml:space="preserve">(ma$dmr), </w:t>
      </w:r>
      <w:r>
        <w:rPr>
          <w:rStyle w:val="DataTypeTok"/>
        </w:rPr>
        <w:t xml:space="preserve">row.names=</w:t>
      </w:r>
      <w:r>
        <w:rPr>
          <w:rStyle w:val="OtherTok"/>
        </w:rPr>
        <w:t xml:space="preserve">FALSE</w:t>
      </w:r>
      <w:r>
        <w:rPr>
          <w:rStyle w:val="NormalTok"/>
        </w:rPr>
        <w:t xml:space="preserve">, </w:t>
      </w:r>
      <w:r>
        <w:rPr>
          <w:rStyle w:val="DataTypeTok"/>
        </w:rPr>
        <w:t xml:space="preserve">file=</w:t>
      </w:r>
      <w:r>
        <w:rPr>
          <w:rStyle w:val="StringTok"/>
        </w:rPr>
        <w:t xml:space="preserve">"dmrs.csv"</w:t>
      </w:r>
      <w:r>
        <w:rPr>
          <w:rStyle w:val="NormalTok"/>
        </w:rPr>
        <w:t xml:space="preserve">)</w:t>
      </w:r>
    </w:p>
    <w:p>
      <w:pPr>
        <w:pStyle w:val="Heading2"/>
      </w:pPr>
      <w:bookmarkStart w:id="31" w:name="interpreting-the-results"/>
      <w:bookmarkEnd w:id="31"/>
      <w:r>
        <w:t xml:space="preserve">Interpreting the results</w:t>
      </w:r>
    </w:p>
    <w:p>
      <w:r>
        <w:t xml:space="preserve">The function methylaction() is designed to output a great deal of information about the internals of the DMR calling in order to facilitate comparisons between different settings and to prevent needing to re-run the command on large datasets to view intermediate states. The output object is a list. For a list of all detected DMRs, look at ma$dmr. Each DMR is assigned a pattern code, where each digit represents a group. The pattern indicates the differential methylation status between the groups. All groups with the digit is 1 are hypermethylated with respect to all groups with the digit 0. See the ma$args object for the arguments provided to the call of methylaction() that generated the output. If you want to access data from any internal steps of the function, see the objects nested under ma$data.</w:t>
      </w:r>
    </w:p>
    <w:p>
      <w:r>
        <w:t xml:space="preserve">The maSummary() function provides details about the intermediate stages of the method.</w:t>
      </w:r>
    </w:p>
    <w:p>
      <w:pPr>
        <w:pStyle w:val="SourceCode"/>
      </w:pPr>
      <w:r>
        <w:rPr>
          <w:rStyle w:val="KeywordTok"/>
        </w:rPr>
        <w:t xml:space="preserve">maSummary</w:t>
      </w:r>
      <w:r>
        <w:rPr>
          <w:rStyle w:val="NormalTok"/>
        </w:rPr>
        <w:t xml:space="preserve">(ma)</w:t>
      </w:r>
    </w:p>
    <w:p>
      <w:pPr>
        <w:pStyle w:val="SourceCode"/>
      </w:pPr>
      <w:r>
        <w:rPr>
          <w:rStyle w:val="VerbatimChar"/>
        </w:rPr>
        <w:t xml:space="preserve">##                                           stat   count percent</w:t>
      </w:r>
      <w:r>
        <w:br w:type="textWrapping"/>
      </w:r>
      <w:r>
        <w:rPr>
          <w:rStyle w:val="VerbatimChar"/>
        </w:rPr>
        <w:t xml:space="preserve">## 1                                  Window Size      50        </w:t>
      </w:r>
      <w:r>
        <w:br w:type="textWrapping"/>
      </w:r>
      <w:r>
        <w:rPr>
          <w:rStyle w:val="VerbatimChar"/>
        </w:rPr>
        <w:t xml:space="preserve">## 2                                Total Windows 1026091        </w:t>
      </w:r>
      <w:r>
        <w:br w:type="textWrapping"/>
      </w:r>
      <w:r>
        <w:rPr>
          <w:rStyle w:val="VerbatimChar"/>
        </w:rPr>
        <w:t xml:space="preserve">## 3                  All Zero Windows (filtered)  440064   42.89</w:t>
      </w:r>
      <w:r>
        <w:br w:type="textWrapping"/>
      </w:r>
      <w:r>
        <w:rPr>
          <w:rStyle w:val="VerbatimChar"/>
        </w:rPr>
        <w:t xml:space="preserve">## 4             All Below FDR Windows (filtered)  409356   39.89</w:t>
      </w:r>
      <w:r>
        <w:br w:type="textWrapping"/>
      </w:r>
      <w:r>
        <w:rPr>
          <w:rStyle w:val="VerbatimChar"/>
        </w:rPr>
        <w:t xml:space="preserve">## 5        Signal Windows (move on to stage one)  176671   17.22</w:t>
      </w:r>
      <w:r>
        <w:br w:type="textWrapping"/>
      </w:r>
      <w:r>
        <w:rPr>
          <w:rStyle w:val="VerbatimChar"/>
        </w:rPr>
        <w:t xml:space="preserve">## 6                  Windows Tested in Stage One  176671        </w:t>
      </w:r>
      <w:r>
        <w:br w:type="textWrapping"/>
      </w:r>
      <w:r>
        <w:rPr>
          <w:rStyle w:val="VerbatimChar"/>
        </w:rPr>
        <w:t xml:space="preserve">## 7                     Sig Pattern in Stage One  158274   89.59</w:t>
      </w:r>
      <w:r>
        <w:br w:type="textWrapping"/>
      </w:r>
      <w:r>
        <w:rPr>
          <w:rStyle w:val="VerbatimChar"/>
        </w:rPr>
        <w:t xml:space="preserve">## 8                 Non-Sig Pattern in Stage One       0       0</w:t>
      </w:r>
      <w:r>
        <w:br w:type="textWrapping"/>
      </w:r>
      <w:r>
        <w:rPr>
          <w:rStyle w:val="VerbatimChar"/>
        </w:rPr>
        <w:t xml:space="preserve">## 9                   Ambig Pattern in Stage One   18397   10.41</w:t>
      </w:r>
      <w:r>
        <w:br w:type="textWrapping"/>
      </w:r>
      <w:r>
        <w:rPr>
          <w:rStyle w:val="VerbatimChar"/>
        </w:rPr>
        <w:t xml:space="preserve">## 10 Regions Formed By Joining Adjacent Patterns    1351        </w:t>
      </w:r>
      <w:r>
        <w:br w:type="textWrapping"/>
      </w:r>
      <w:r>
        <w:rPr>
          <w:rStyle w:val="VerbatimChar"/>
        </w:rPr>
        <w:t xml:space="preserve">## 11                 Regions Tested in Stage Two    1351        </w:t>
      </w:r>
      <w:r>
        <w:br w:type="textWrapping"/>
      </w:r>
      <w:r>
        <w:rPr>
          <w:rStyle w:val="VerbatimChar"/>
        </w:rPr>
        <w:t xml:space="preserve">## 12                    Regions That Pass ANODEV    1330   98.45</w:t>
      </w:r>
      <w:r>
        <w:br w:type="textWrapping"/>
      </w:r>
      <w:r>
        <w:rPr>
          <w:rStyle w:val="VerbatimChar"/>
        </w:rPr>
        <w:t xml:space="preserve">## 13                 ANODEV Sig with Sig Pattern    1263   94.96</w:t>
      </w:r>
      <w:r>
        <w:br w:type="textWrapping"/>
      </w:r>
      <w:r>
        <w:rPr>
          <w:rStyle w:val="VerbatimChar"/>
        </w:rPr>
        <w:t xml:space="preserve">## 14             ANODEV Sig with Non-sig Pattern       0       0</w:t>
      </w:r>
      <w:r>
        <w:br w:type="textWrapping"/>
      </w:r>
      <w:r>
        <w:rPr>
          <w:rStyle w:val="VerbatimChar"/>
        </w:rPr>
        <w:t xml:space="preserve">## 15               ANODEV Sig with Ambig Pattern      67    5.04</w:t>
      </w:r>
      <w:r>
        <w:br w:type="textWrapping"/>
      </w:r>
      <w:r>
        <w:rPr>
          <w:rStyle w:val="VerbatimChar"/>
        </w:rPr>
        <w:t xml:space="preserve">## 16                                  Total DMRs    1263</w:t>
      </w:r>
    </w:p>
    <w:p>
      <w:r>
        <w:t xml:space="preserve">The built-in function table() can be used to obtain counts of DMRs by pattern and "frequent" classification.</w:t>
      </w:r>
    </w:p>
    <w:p>
      <w:pPr>
        <w:pStyle w:val="SourceCode"/>
      </w:pPr>
      <w:r>
        <w:rPr>
          <w:rStyle w:val="KeywordTok"/>
        </w:rPr>
        <w:t xml:space="preserve">table</w:t>
      </w:r>
      <w:r>
        <w:rPr>
          <w:rStyle w:val="NormalTok"/>
        </w:rPr>
        <w:t xml:space="preserve">(ma$dmr$pattern,ma$dmr$frequent)</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FALSE</w:t>
            </w:r>
          </w:p>
        </w:tc>
        <w:tc>
          <w:tcPr>
            <w:tcBorders>
              <w:bottom w:val="single"/>
            </w:tcBorders>
            <w:vAlign w:val="bottom"/>
          </w:tcPr>
          <w:p>
            <w:pPr>
              <w:pStyle w:val="Compact"/>
              <w:jc w:val="right"/>
            </w:pPr>
            <w:r>
              <w:t xml:space="preserve">TRUE</w:t>
            </w:r>
          </w:p>
        </w:tc>
      </w:tr>
      <w:tr>
        <w:tc>
          <w:p>
            <w:pPr>
              <w:pStyle w:val="Compact"/>
              <w:jc w:val="left"/>
            </w:pPr>
            <w:r>
              <w:t xml:space="preserve">001</w:t>
            </w:r>
          </w:p>
        </w:tc>
        <w:tc>
          <w:p>
            <w:pPr>
              <w:pStyle w:val="Compact"/>
              <w:jc w:val="right"/>
            </w:pPr>
            <w:r>
              <w:t xml:space="preserve">41</w:t>
            </w:r>
          </w:p>
        </w:tc>
        <w:tc>
          <w:p>
            <w:pPr>
              <w:pStyle w:val="Compact"/>
              <w:jc w:val="right"/>
            </w:pPr>
            <w:r>
              <w:t xml:space="preserve">53</w:t>
            </w:r>
          </w:p>
        </w:tc>
      </w:tr>
      <w:tr>
        <w:tc>
          <w:p>
            <w:pPr>
              <w:pStyle w:val="Compact"/>
              <w:jc w:val="left"/>
            </w:pPr>
            <w:r>
              <w:t xml:space="preserve">010</w:t>
            </w:r>
          </w:p>
        </w:tc>
        <w:tc>
          <w:p>
            <w:pPr>
              <w:pStyle w:val="Compact"/>
              <w:jc w:val="right"/>
            </w:pPr>
            <w:r>
              <w:t xml:space="preserve">465</w:t>
            </w:r>
          </w:p>
        </w:tc>
        <w:tc>
          <w:p>
            <w:pPr>
              <w:pStyle w:val="Compact"/>
              <w:jc w:val="right"/>
            </w:pPr>
            <w:r>
              <w:t xml:space="preserve">21</w:t>
            </w:r>
          </w:p>
        </w:tc>
      </w:tr>
      <w:tr>
        <w:tc>
          <w:p>
            <w:pPr>
              <w:pStyle w:val="Compact"/>
              <w:jc w:val="left"/>
            </w:pPr>
            <w:r>
              <w:t xml:space="preserve">011</w:t>
            </w:r>
          </w:p>
        </w:tc>
        <w:tc>
          <w:p>
            <w:pPr>
              <w:pStyle w:val="Compact"/>
              <w:jc w:val="right"/>
            </w:pPr>
            <w:r>
              <w:t xml:space="preserve">98</w:t>
            </w:r>
          </w:p>
        </w:tc>
        <w:tc>
          <w:p>
            <w:pPr>
              <w:pStyle w:val="Compact"/>
              <w:jc w:val="right"/>
            </w:pPr>
            <w:r>
              <w:t xml:space="preserve">86</w:t>
            </w:r>
          </w:p>
        </w:tc>
      </w:tr>
      <w:tr>
        <w:tc>
          <w:p>
            <w:pPr>
              <w:pStyle w:val="Compact"/>
              <w:jc w:val="left"/>
            </w:pPr>
            <w:r>
              <w:t xml:space="preserve">100</w:t>
            </w:r>
          </w:p>
        </w:tc>
        <w:tc>
          <w:p>
            <w:pPr>
              <w:pStyle w:val="Compact"/>
              <w:jc w:val="right"/>
            </w:pPr>
            <w:r>
              <w:t xml:space="preserve">80</w:t>
            </w:r>
          </w:p>
        </w:tc>
        <w:tc>
          <w:p>
            <w:pPr>
              <w:pStyle w:val="Compact"/>
              <w:jc w:val="right"/>
            </w:pPr>
            <w:r>
              <w:t xml:space="preserve">12</w:t>
            </w:r>
          </w:p>
        </w:tc>
      </w:tr>
      <w:tr>
        <w:tc>
          <w:p>
            <w:pPr>
              <w:pStyle w:val="Compact"/>
              <w:jc w:val="left"/>
            </w:pPr>
            <w:r>
              <w:t xml:space="preserve">101</w:t>
            </w:r>
          </w:p>
        </w:tc>
        <w:tc>
          <w:p>
            <w:pPr>
              <w:pStyle w:val="Compact"/>
              <w:jc w:val="right"/>
            </w:pPr>
            <w:r>
              <w:t xml:space="preserve">241</w:t>
            </w:r>
          </w:p>
        </w:tc>
        <w:tc>
          <w:p>
            <w:pPr>
              <w:pStyle w:val="Compact"/>
              <w:jc w:val="right"/>
            </w:pPr>
            <w:r>
              <w:t xml:space="preserve">72</w:t>
            </w:r>
          </w:p>
        </w:tc>
      </w:tr>
      <w:tr>
        <w:tc>
          <w:p>
            <w:pPr>
              <w:pStyle w:val="Compact"/>
              <w:jc w:val="left"/>
            </w:pPr>
            <w:r>
              <w:t xml:space="preserve">110</w:t>
            </w:r>
          </w:p>
        </w:tc>
        <w:tc>
          <w:p>
            <w:pPr>
              <w:pStyle w:val="Compact"/>
              <w:jc w:val="right"/>
            </w:pPr>
            <w:r>
              <w:t xml:space="preserve">87</w:t>
            </w:r>
          </w:p>
        </w:tc>
        <w:tc>
          <w:p>
            <w:pPr>
              <w:pStyle w:val="Compact"/>
              <w:jc w:val="right"/>
            </w:pPr>
            <w:r>
              <w:t xml:space="preserve">7</w:t>
            </w:r>
          </w:p>
        </w:tc>
      </w:tr>
      <w:tr>
        <w:tc>
          <w:p>
            <w:pPr>
              <w:pStyle w:val="Compact"/>
              <w:jc w:val="left"/>
            </w:pPr>
            <w:r>
              <w:t xml:space="preserve">ambig</w:t>
            </w:r>
          </w:p>
        </w:tc>
        <w:tc>
          <w:p>
            <w:pPr>
              <w:pStyle w:val="Compact"/>
              <w:jc w:val="right"/>
            </w:pPr>
            <w:r>
              <w:t xml:space="preserve">0</w:t>
            </w:r>
          </w:p>
        </w:tc>
        <w:tc>
          <w:p>
            <w:pPr>
              <w:pStyle w:val="Compact"/>
              <w:jc w:val="right"/>
            </w:pPr>
            <w:r>
              <w:t xml:space="preserve">0</w:t>
            </w:r>
          </w:p>
        </w:tc>
      </w:tr>
    </w:tbl>
    <w:p>
      <w:pPr>
        <w:pStyle w:val="Heading1"/>
      </w:pPr>
      <w:bookmarkStart w:id="32" w:name="vizualization-of-dmrs"/>
      <w:bookmarkEnd w:id="32"/>
      <w:r>
        <w:t xml:space="preserve">Vizualization of DMRs</w:t>
      </w:r>
    </w:p>
    <w:p>
      <w:r>
        <w:t xml:space="preserve">DMRs can be visualized genome-wide via a heatmap or karyogram.</w:t>
      </w:r>
    </w:p>
    <w:p>
      <w:pPr>
        <w:pStyle w:val="SourceCode"/>
      </w:pPr>
      <w:r>
        <w:rPr>
          <w:rStyle w:val="KeywordTok"/>
        </w:rPr>
        <w:t xml:space="preserve">maHeatmap</w:t>
      </w:r>
      <w:r>
        <w:rPr>
          <w:rStyle w:val="NormalTok"/>
        </w:rPr>
        <w:t xml:space="preserve">(ma)</w:t>
      </w:r>
    </w:p>
    <w:p/>
    <w:p>
      <w:pPr>
        <w:pStyle w:val="SourceCode"/>
      </w:pPr>
      <w:r>
        <w:rPr>
          <w:rStyle w:val="KeywordTok"/>
        </w:rPr>
        <w:t xml:space="preserve">maKaryogram</w:t>
      </w:r>
      <w:r>
        <w:rPr>
          <w:rStyle w:val="NormalTok"/>
        </w:rPr>
        <w:t xml:space="preserve">(</w:t>
      </w:r>
      <w:r>
        <w:rPr>
          <w:rStyle w:val="DataTypeTok"/>
        </w:rPr>
        <w:t xml:space="preserve">ma=</w:t>
      </w:r>
      <w:r>
        <w:rPr>
          <w:rStyle w:val="NormalTok"/>
        </w:rPr>
        <w:t xml:space="preserve">ma, </w:t>
      </w:r>
      <w:r>
        <w:rPr>
          <w:rStyle w:val="DataTypeTok"/>
        </w:rPr>
        <w:t xml:space="preserve">reads=</w:t>
      </w:r>
      <w:r>
        <w:rPr>
          <w:rStyle w:val="NormalTok"/>
        </w:rPr>
        <w:t xml:space="preserve">reads)</w:t>
      </w:r>
    </w:p>
    <w:p/>
    <w:p>
      <w:r>
        <w:t xml:space="preserve">In this case, the Karyogram only spans chr22 due to the subset of data for this example.</w:t>
      </w:r>
    </w:p>
    <w:p>
      <w:r>
        <w:t xml:space="preserve">It is also useful to view DMRs and the windowed sequencing read counts in a genome browser, such as the UCSC genome browser. The maBed() and maTracks() functions can create BED files suitable for uploading as custom tracks to</w:t>
      </w:r>
      <w:r>
        <w:t xml:space="preserve"> </w:t>
      </w:r>
      <w:hyperlink r:id="rId33">
        <w:r>
          <w:rPr>
            <w:rStyle w:val="Link"/>
          </w:rPr>
          <w:t xml:space="preserve">http://genome.ucsc.edu/</w:t>
        </w:r>
      </w:hyperlink>
      <w:r>
        <w:t xml:space="preserve">.</w:t>
      </w:r>
    </w:p>
    <w:p>
      <w:pPr>
        <w:pStyle w:val="SourceCode"/>
      </w:pPr>
      <w:r>
        <w:rPr>
          <w:rStyle w:val="KeywordTok"/>
        </w:rPr>
        <w:t xml:space="preserve">maBed</w:t>
      </w:r>
      <w:r>
        <w:rPr>
          <w:rStyle w:val="NormalTok"/>
        </w:rPr>
        <w:t xml:space="preserve">(ma,</w:t>
      </w:r>
      <w:r>
        <w:rPr>
          <w:rStyle w:val="DataTypeTok"/>
        </w:rPr>
        <w:t xml:space="preserve">file=</w:t>
      </w:r>
      <w:r>
        <w:rPr>
          <w:rStyle w:val="StringTok"/>
        </w:rPr>
        <w:t xml:space="preserve">"dmrs.bed"</w:t>
      </w:r>
      <w:r>
        <w:rPr>
          <w:rStyle w:val="NormalTok"/>
        </w:rPr>
        <w:t xml:space="preserve">)</w:t>
      </w:r>
      <w:r>
        <w:br w:type="textWrapping"/>
      </w:r>
      <w:r>
        <w:rPr>
          <w:rStyle w:val="KeywordTok"/>
        </w:rPr>
        <w:t xml:space="preserve">maTracks</w:t>
      </w:r>
      <w:r>
        <w:rPr>
          <w:rStyle w:val="NormalTok"/>
        </w:rPr>
        <w:t xml:space="preserve">(</w:t>
      </w:r>
      <w:r>
        <w:rPr>
          <w:rStyle w:val="DataTypeTok"/>
        </w:rPr>
        <w:t xml:space="preserve">ma=</w:t>
      </w:r>
      <w:r>
        <w:rPr>
          <w:rStyle w:val="NormalTok"/>
        </w:rPr>
        <w:t xml:space="preserve">ma, </w:t>
      </w:r>
      <w:r>
        <w:rPr>
          <w:rStyle w:val="DataTypeTok"/>
        </w:rPr>
        <w:t xml:space="preserve">reads=</w:t>
      </w:r>
      <w:r>
        <w:rPr>
          <w:rStyle w:val="NormalTok"/>
        </w:rPr>
        <w:t xml:space="preserve">reads, </w:t>
      </w:r>
      <w:r>
        <w:rPr>
          <w:rStyle w:val="DataTypeTok"/>
        </w:rPr>
        <w:t xml:space="preserve">path=</w:t>
      </w:r>
      <w:r>
        <w:rPr>
          <w:rStyle w:val="StringTok"/>
        </w:rPr>
        <w:t xml:space="preserve">"beds"</w:t>
      </w:r>
      <w:r>
        <w:rPr>
          <w:rStyle w:val="NormalTok"/>
        </w:rPr>
        <w:t xml:space="preserve">)</w:t>
      </w:r>
    </w:p>
    <w:p>
      <w:pPr>
        <w:pStyle w:val="Heading1"/>
      </w:pPr>
      <w:bookmarkStart w:id="34" w:name="permutation-and-bootstrap-testing"/>
      <w:bookmarkEnd w:id="34"/>
      <w:r>
        <w:t xml:space="preserve">Permutation and Bootstrap Testing</w:t>
      </w:r>
    </w:p>
    <w:p>
      <w:r>
        <w:t xml:space="preserve">Because of the two stage testing approach, type I error rates may be inflated with this method. To determine if this level is acceptable, we have implemented permutation and bootstrapping approaches. This establishes a false discovery rate (FDR) for each pattern of DMR among the groups. If these FDRs are too high, they can be recalculated at lower p-value thresholds until they reach acceptable levels. Then, DMRs filtered at this p-value can be used as the definitive list for the study.</w:t>
      </w:r>
    </w:p>
    <w:p>
      <w:r>
        <w:t xml:space="preserve">Bootstraps can be enabled by adding the "nperms" and "perm.boot" options to methylaction(). The resulting output list will then have an "fdr" object that reports false discovery rates (FDRs).</w:t>
      </w:r>
    </w:p>
    <w:p>
      <w:pPr>
        <w:pStyle w:val="SourceCode"/>
      </w:pPr>
      <w:r>
        <w:rPr>
          <w:rStyle w:val="NormalTok"/>
        </w:rPr>
        <w:t xml:space="preserve">ma &lt;-</w:t>
      </w:r>
      <w:r>
        <w:rPr>
          <w:rStyle w:val="StringTok"/>
        </w:rPr>
        <w:t xml:space="preserve"> </w:t>
      </w:r>
      <w:r>
        <w:rPr>
          <w:rStyle w:val="KeywordTok"/>
        </w:rPr>
        <w:t xml:space="preserve">methylaction</w:t>
      </w:r>
      <w:r>
        <w:rPr>
          <w:rStyle w:val="NormalTok"/>
        </w:rPr>
        <w:t xml:space="preserve">(</w:t>
      </w:r>
      <w:r>
        <w:rPr>
          <w:rStyle w:val="DataTypeTok"/>
        </w:rPr>
        <w:t xml:space="preserve">samp=</w:t>
      </w:r>
      <w:r>
        <w:rPr>
          <w:rStyle w:val="NormalTok"/>
        </w:rPr>
        <w:t xml:space="preserve">samp, </w:t>
      </w:r>
      <w:r>
        <w:rPr>
          <w:rStyle w:val="DataTypeTok"/>
        </w:rPr>
        <w:t xml:space="preserve">counts=</w:t>
      </w:r>
      <w:r>
        <w:rPr>
          <w:rStyle w:val="NormalTok"/>
        </w:rPr>
        <w:t xml:space="preserve">counts, </w:t>
      </w:r>
      <w:r>
        <w:rPr>
          <w:rStyle w:val="DataTypeTok"/>
        </w:rPr>
        <w:t xml:space="preserve">reads=</w:t>
      </w:r>
      <w:r>
        <w:rPr>
          <w:rStyle w:val="NormalTok"/>
        </w:rPr>
        <w:t xml:space="preserve">reads, </w:t>
      </w:r>
      <w:r>
        <w:rPr>
          <w:rStyle w:val="DataTypeTok"/>
        </w:rPr>
        <w:t xml:space="preserve">perm.boot=</w:t>
      </w:r>
      <w:r>
        <w:rPr>
          <w:rStyle w:val="NormalTok"/>
        </w:rPr>
        <w:t xml:space="preserve">T, </w:t>
      </w:r>
      <w:r>
        <w:rPr>
          <w:rStyle w:val="DataTypeTok"/>
        </w:rPr>
        <w:t xml:space="preserve">nperms=</w:t>
      </w:r>
      <w:r>
        <w:rPr>
          <w:rStyle w:val="DecValTok"/>
        </w:rPr>
        <w:t xml:space="preserve">3</w:t>
      </w:r>
      <w:r>
        <w:rPr>
          <w:rStyle w:val="NormalTok"/>
        </w:rPr>
        <w:t xml:space="preserve">, </w:t>
      </w:r>
      <w:r>
        <w:rPr>
          <w:rStyle w:val="DataTypeTok"/>
        </w:rPr>
        <w:t xml:space="preserve">ncore=</w:t>
      </w:r>
      <w:r>
        <w:rPr>
          <w:rStyle w:val="NormalTok"/>
        </w:rPr>
        <w:t xml:space="preserve">ncore)</w:t>
      </w:r>
    </w:p>
    <w:p>
      <w:pPr>
        <w:pStyle w:val="SourceCode"/>
      </w:pPr>
      <w:r>
        <w:rPr>
          <w:rStyle w:val="KeywordTok"/>
        </w:rPr>
        <w:t xml:space="preserve">print</w:t>
      </w:r>
      <w:r>
        <w:rPr>
          <w:rStyle w:val="NormalTok"/>
        </w:rPr>
        <w:t xml:space="preserve">(ma$fdr)</w:t>
      </w:r>
    </w:p>
    <w:tbl>
      <w:tblPr>
        <w:tblStyle w:val="TableNormal"/>
        <w:tblW w:type="pct" w:w="0.0"/>
      </w:tblPr>
      <w:tblGrid/>
      <w:tr>
        <w:tc>
          <w:tcPr>
            <w:tcBorders>
              <w:bottom w:val="single"/>
            </w:tcBorders>
            <w:vAlign w:val="bottom"/>
          </w:tcPr>
          <w:p>
            <w:pPr>
              <w:pStyle w:val="Compact"/>
              <w:jc w:val="left"/>
            </w:pPr>
            <w:r>
              <w:t xml:space="preserve">pattern</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nDMRs</w:t>
            </w:r>
          </w:p>
        </w:tc>
        <w:tc>
          <w:tcPr>
            <w:tcBorders>
              <w:bottom w:val="single"/>
            </w:tcBorders>
            <w:vAlign w:val="bottom"/>
          </w:tcPr>
          <w:p>
            <w:pPr>
              <w:pStyle w:val="Compact"/>
              <w:jc w:val="right"/>
            </w:pPr>
            <w:r>
              <w:t xml:space="preserve">permMean</w:t>
            </w:r>
          </w:p>
        </w:tc>
        <w:tc>
          <w:tcPr>
            <w:tcBorders>
              <w:bottom w:val="single"/>
            </w:tcBorders>
            <w:vAlign w:val="bottom"/>
          </w:tcPr>
          <w:p>
            <w:pPr>
              <w:pStyle w:val="Compact"/>
              <w:jc w:val="right"/>
            </w:pPr>
            <w:r>
              <w:t xml:space="preserve">permSD</w:t>
            </w:r>
          </w:p>
        </w:tc>
        <w:tc>
          <w:tcPr>
            <w:tcBorders>
              <w:bottom w:val="single"/>
            </w:tcBorders>
            <w:vAlign w:val="bottom"/>
          </w:tcPr>
          <w:p>
            <w:pPr>
              <w:pStyle w:val="Compact"/>
              <w:jc w:val="right"/>
            </w:pPr>
            <w:r>
              <w:t xml:space="preserve">permCV</w:t>
            </w:r>
          </w:p>
        </w:tc>
        <w:tc>
          <w:tcPr>
            <w:tcBorders>
              <w:bottom w:val="single"/>
            </w:tcBorders>
            <w:vAlign w:val="bottom"/>
          </w:tcPr>
          <w:p>
            <w:pPr>
              <w:pStyle w:val="Compact"/>
              <w:jc w:val="right"/>
            </w:pPr>
            <w:r>
              <w:t xml:space="preserve">FDRpercent</w:t>
            </w:r>
          </w:p>
        </w:tc>
      </w:tr>
      <w:tr>
        <w:tc>
          <w:p>
            <w:pPr>
              <w:pStyle w:val="Compact"/>
              <w:jc w:val="left"/>
            </w:pPr>
            <w:r>
              <w:t xml:space="preserve">001</w:t>
            </w:r>
          </w:p>
        </w:tc>
        <w:tc>
          <w:p>
            <w:pPr>
              <w:pStyle w:val="Compact"/>
              <w:jc w:val="left"/>
            </w:pPr>
            <w:r>
              <w:t xml:space="preserve">all</w:t>
            </w:r>
          </w:p>
        </w:tc>
        <w:tc>
          <w:p>
            <w:pPr>
              <w:pStyle w:val="Compact"/>
              <w:jc w:val="right"/>
            </w:pPr>
            <w:r>
              <w:t xml:space="preserve">94</w:t>
            </w:r>
          </w:p>
        </w:tc>
        <w:tc>
          <w:p>
            <w:pPr>
              <w:pStyle w:val="Compact"/>
              <w:jc w:val="right"/>
            </w:pPr>
            <w:r>
              <w:t xml:space="preserve">31.33</w:t>
            </w:r>
          </w:p>
        </w:tc>
        <w:tc>
          <w:p>
            <w:pPr>
              <w:pStyle w:val="Compact"/>
              <w:jc w:val="right"/>
            </w:pPr>
            <w:r>
              <w:t xml:space="preserve">18.56</w:t>
            </w:r>
          </w:p>
        </w:tc>
        <w:tc>
          <w:p>
            <w:pPr>
              <w:pStyle w:val="Compact"/>
              <w:jc w:val="right"/>
            </w:pPr>
            <w:r>
              <w:t xml:space="preserve">0.59</w:t>
            </w:r>
          </w:p>
        </w:tc>
        <w:tc>
          <w:p>
            <w:pPr>
              <w:pStyle w:val="Compact"/>
              <w:jc w:val="right"/>
            </w:pPr>
            <w:r>
              <w:t xml:space="preserve">33.33</w:t>
            </w:r>
          </w:p>
        </w:tc>
      </w:tr>
      <w:tr>
        <w:tc>
          <w:p>
            <w:pPr>
              <w:pStyle w:val="Compact"/>
              <w:jc w:val="left"/>
            </w:pPr>
            <w:r>
              <w:t xml:space="preserve">001</w:t>
            </w:r>
          </w:p>
        </w:tc>
        <w:tc>
          <w:p>
            <w:pPr>
              <w:pStyle w:val="Compact"/>
              <w:jc w:val="left"/>
            </w:pPr>
            <w:r>
              <w:t xml:space="preserve">frequent</w:t>
            </w:r>
          </w:p>
        </w:tc>
        <w:tc>
          <w:p>
            <w:pPr>
              <w:pStyle w:val="Compact"/>
              <w:jc w:val="right"/>
            </w:pPr>
            <w:r>
              <w:t xml:space="preserve">53</w:t>
            </w:r>
          </w:p>
        </w:tc>
        <w:tc>
          <w:p>
            <w:pPr>
              <w:pStyle w:val="Compact"/>
              <w:jc w:val="right"/>
            </w:pPr>
            <w:r>
              <w:t xml:space="preserve">3.33</w:t>
            </w:r>
          </w:p>
        </w:tc>
        <w:tc>
          <w:p>
            <w:pPr>
              <w:pStyle w:val="Compact"/>
              <w:jc w:val="right"/>
            </w:pPr>
            <w:r>
              <w:t xml:space="preserve">3.51</w:t>
            </w:r>
          </w:p>
        </w:tc>
        <w:tc>
          <w:p>
            <w:pPr>
              <w:pStyle w:val="Compact"/>
              <w:jc w:val="right"/>
            </w:pPr>
            <w:r>
              <w:t xml:space="preserve">1.05</w:t>
            </w:r>
          </w:p>
        </w:tc>
        <w:tc>
          <w:p>
            <w:pPr>
              <w:pStyle w:val="Compact"/>
              <w:jc w:val="right"/>
            </w:pPr>
            <w:r>
              <w:t xml:space="preserve">6.29</w:t>
            </w:r>
          </w:p>
        </w:tc>
      </w:tr>
      <w:tr>
        <w:tc>
          <w:p>
            <w:pPr>
              <w:pStyle w:val="Compact"/>
              <w:jc w:val="left"/>
            </w:pPr>
            <w:r>
              <w:t xml:space="preserve">001</w:t>
            </w:r>
          </w:p>
        </w:tc>
        <w:tc>
          <w:p>
            <w:pPr>
              <w:pStyle w:val="Compact"/>
              <w:jc w:val="left"/>
            </w:pPr>
            <w:r>
              <w:t xml:space="preserve">other</w:t>
            </w:r>
          </w:p>
        </w:tc>
        <w:tc>
          <w:p>
            <w:pPr>
              <w:pStyle w:val="Compact"/>
              <w:jc w:val="right"/>
            </w:pPr>
            <w:r>
              <w:t xml:space="preserve">41</w:t>
            </w:r>
          </w:p>
        </w:tc>
        <w:tc>
          <w:p>
            <w:pPr>
              <w:pStyle w:val="Compact"/>
              <w:jc w:val="right"/>
            </w:pPr>
            <w:r>
              <w:t xml:space="preserve">28.00</w:t>
            </w:r>
          </w:p>
        </w:tc>
        <w:tc>
          <w:p>
            <w:pPr>
              <w:pStyle w:val="Compact"/>
              <w:jc w:val="right"/>
            </w:pPr>
            <w:r>
              <w:t xml:space="preserve">17.06</w:t>
            </w:r>
          </w:p>
        </w:tc>
        <w:tc>
          <w:p>
            <w:pPr>
              <w:pStyle w:val="Compact"/>
              <w:jc w:val="right"/>
            </w:pPr>
            <w:r>
              <w:t xml:space="preserve">0.61</w:t>
            </w:r>
          </w:p>
        </w:tc>
        <w:tc>
          <w:p>
            <w:pPr>
              <w:pStyle w:val="Compact"/>
              <w:jc w:val="right"/>
            </w:pPr>
            <w:r>
              <w:t xml:space="preserve">68.29</w:t>
            </w:r>
          </w:p>
        </w:tc>
      </w:tr>
      <w:tr>
        <w:tc>
          <w:p>
            <w:pPr>
              <w:pStyle w:val="Compact"/>
              <w:jc w:val="left"/>
            </w:pPr>
            <w:r>
              <w:t xml:space="preserve">010</w:t>
            </w:r>
          </w:p>
        </w:tc>
        <w:tc>
          <w:p>
            <w:pPr>
              <w:pStyle w:val="Compact"/>
              <w:jc w:val="left"/>
            </w:pPr>
            <w:r>
              <w:t xml:space="preserve">all</w:t>
            </w:r>
          </w:p>
        </w:tc>
        <w:tc>
          <w:p>
            <w:pPr>
              <w:pStyle w:val="Compact"/>
              <w:jc w:val="right"/>
            </w:pPr>
            <w:r>
              <w:t xml:space="preserve">486</w:t>
            </w:r>
          </w:p>
        </w:tc>
        <w:tc>
          <w:p>
            <w:pPr>
              <w:pStyle w:val="Compact"/>
              <w:jc w:val="right"/>
            </w:pPr>
            <w:r>
              <w:t xml:space="preserve">6.33</w:t>
            </w:r>
          </w:p>
        </w:tc>
        <w:tc>
          <w:p>
            <w:pPr>
              <w:pStyle w:val="Compact"/>
              <w:jc w:val="right"/>
            </w:pPr>
            <w:r>
              <w:t xml:space="preserve">6.03</w:t>
            </w:r>
          </w:p>
        </w:tc>
        <w:tc>
          <w:p>
            <w:pPr>
              <w:pStyle w:val="Compact"/>
              <w:jc w:val="right"/>
            </w:pPr>
            <w:r>
              <w:t xml:space="preserve">0.95</w:t>
            </w:r>
          </w:p>
        </w:tc>
        <w:tc>
          <w:p>
            <w:pPr>
              <w:pStyle w:val="Compact"/>
              <w:jc w:val="right"/>
            </w:pPr>
            <w:r>
              <w:t xml:space="preserve">1.30</w:t>
            </w:r>
          </w:p>
        </w:tc>
      </w:tr>
      <w:tr>
        <w:tc>
          <w:p>
            <w:pPr>
              <w:pStyle w:val="Compact"/>
              <w:jc w:val="left"/>
            </w:pPr>
            <w:r>
              <w:t xml:space="preserve">010</w:t>
            </w:r>
          </w:p>
        </w:tc>
        <w:tc>
          <w:p>
            <w:pPr>
              <w:pStyle w:val="Compact"/>
              <w:jc w:val="left"/>
            </w:pPr>
            <w:r>
              <w:t xml:space="preserve">frequent</w:t>
            </w:r>
          </w:p>
        </w:tc>
        <w:tc>
          <w:p>
            <w:pPr>
              <w:pStyle w:val="Compact"/>
              <w:jc w:val="right"/>
            </w:pPr>
            <w:r>
              <w:t xml:space="preserve">21</w:t>
            </w:r>
          </w:p>
        </w:tc>
        <w:tc>
          <w:p>
            <w:pPr>
              <w:pStyle w:val="Compact"/>
              <w:jc w:val="right"/>
            </w:pPr>
            <w:r>
              <w:t xml:space="preserve">2.67</w:t>
            </w:r>
          </w:p>
        </w:tc>
        <w:tc>
          <w:p>
            <w:pPr>
              <w:pStyle w:val="Compact"/>
              <w:jc w:val="right"/>
            </w:pPr>
            <w:r>
              <w:t xml:space="preserve">3.79</w:t>
            </w:r>
          </w:p>
        </w:tc>
        <w:tc>
          <w:p>
            <w:pPr>
              <w:pStyle w:val="Compact"/>
              <w:jc w:val="right"/>
            </w:pPr>
            <w:r>
              <w:t xml:space="preserve">1.42</w:t>
            </w:r>
          </w:p>
        </w:tc>
        <w:tc>
          <w:p>
            <w:pPr>
              <w:pStyle w:val="Compact"/>
              <w:jc w:val="right"/>
            </w:pPr>
            <w:r>
              <w:t xml:space="preserve">12.70</w:t>
            </w:r>
          </w:p>
        </w:tc>
      </w:tr>
      <w:tr>
        <w:tc>
          <w:p>
            <w:pPr>
              <w:pStyle w:val="Compact"/>
              <w:jc w:val="left"/>
            </w:pPr>
            <w:r>
              <w:t xml:space="preserve">010</w:t>
            </w:r>
          </w:p>
        </w:tc>
        <w:tc>
          <w:p>
            <w:pPr>
              <w:pStyle w:val="Compact"/>
              <w:jc w:val="left"/>
            </w:pPr>
            <w:r>
              <w:t xml:space="preserve">other</w:t>
            </w:r>
          </w:p>
        </w:tc>
        <w:tc>
          <w:p>
            <w:pPr>
              <w:pStyle w:val="Compact"/>
              <w:jc w:val="right"/>
            </w:pPr>
            <w:r>
              <w:t xml:space="preserve">465</w:t>
            </w:r>
          </w:p>
        </w:tc>
        <w:tc>
          <w:p>
            <w:pPr>
              <w:pStyle w:val="Compact"/>
              <w:jc w:val="right"/>
            </w:pPr>
            <w:r>
              <w:t xml:space="preserve">3.67</w:t>
            </w:r>
          </w:p>
        </w:tc>
        <w:tc>
          <w:p>
            <w:pPr>
              <w:pStyle w:val="Compact"/>
              <w:jc w:val="right"/>
            </w:pPr>
            <w:r>
              <w:t xml:space="preserve">3.21</w:t>
            </w:r>
          </w:p>
        </w:tc>
        <w:tc>
          <w:p>
            <w:pPr>
              <w:pStyle w:val="Compact"/>
              <w:jc w:val="right"/>
            </w:pPr>
            <w:r>
              <w:t xml:space="preserve">0.88</w:t>
            </w:r>
          </w:p>
        </w:tc>
        <w:tc>
          <w:p>
            <w:pPr>
              <w:pStyle w:val="Compact"/>
              <w:jc w:val="right"/>
            </w:pPr>
            <w:r>
              <w:t xml:space="preserve">0.79</w:t>
            </w:r>
          </w:p>
        </w:tc>
      </w:tr>
      <w:tr>
        <w:tc>
          <w:p>
            <w:pPr>
              <w:pStyle w:val="Compact"/>
              <w:jc w:val="left"/>
            </w:pPr>
            <w:r>
              <w:t xml:space="preserve">011</w:t>
            </w:r>
          </w:p>
        </w:tc>
        <w:tc>
          <w:p>
            <w:pPr>
              <w:pStyle w:val="Compact"/>
              <w:jc w:val="left"/>
            </w:pPr>
            <w:r>
              <w:t xml:space="preserve">all</w:t>
            </w:r>
          </w:p>
        </w:tc>
        <w:tc>
          <w:p>
            <w:pPr>
              <w:pStyle w:val="Compact"/>
              <w:jc w:val="right"/>
            </w:pPr>
            <w:r>
              <w:t xml:space="preserve">184</w:t>
            </w:r>
          </w:p>
        </w:tc>
        <w:tc>
          <w:p>
            <w:pPr>
              <w:pStyle w:val="Compact"/>
              <w:jc w:val="right"/>
            </w:pPr>
            <w:r>
              <w:t xml:space="preserve">255.33</w:t>
            </w:r>
          </w:p>
        </w:tc>
        <w:tc>
          <w:p>
            <w:pPr>
              <w:pStyle w:val="Compact"/>
              <w:jc w:val="right"/>
            </w:pPr>
            <w:r>
              <w:t xml:space="preserve">379.16</w:t>
            </w:r>
          </w:p>
        </w:tc>
        <w:tc>
          <w:p>
            <w:pPr>
              <w:pStyle w:val="Compact"/>
              <w:jc w:val="right"/>
            </w:pPr>
            <w:r>
              <w:t xml:space="preserve">1.48</w:t>
            </w:r>
          </w:p>
        </w:tc>
        <w:tc>
          <w:p>
            <w:pPr>
              <w:pStyle w:val="Compact"/>
              <w:jc w:val="right"/>
            </w:pPr>
            <w:r>
              <w:t xml:space="preserve">138.77</w:t>
            </w:r>
          </w:p>
        </w:tc>
      </w:tr>
      <w:tr>
        <w:tc>
          <w:p>
            <w:pPr>
              <w:pStyle w:val="Compact"/>
              <w:jc w:val="left"/>
            </w:pPr>
            <w:r>
              <w:t xml:space="preserve">011</w:t>
            </w:r>
          </w:p>
        </w:tc>
        <w:tc>
          <w:p>
            <w:pPr>
              <w:pStyle w:val="Compact"/>
              <w:jc w:val="left"/>
            </w:pPr>
            <w:r>
              <w:t xml:space="preserve">frequent</w:t>
            </w:r>
          </w:p>
        </w:tc>
        <w:tc>
          <w:p>
            <w:pPr>
              <w:pStyle w:val="Compact"/>
              <w:jc w:val="right"/>
            </w:pPr>
            <w:r>
              <w:t xml:space="preserve">86</w:t>
            </w:r>
          </w:p>
        </w:tc>
        <w:tc>
          <w:p>
            <w:pPr>
              <w:pStyle w:val="Compact"/>
              <w:jc w:val="right"/>
            </w:pPr>
            <w:r>
              <w:t xml:space="preserve">79.00</w:t>
            </w:r>
          </w:p>
        </w:tc>
        <w:tc>
          <w:p>
            <w:pPr>
              <w:pStyle w:val="Compact"/>
              <w:jc w:val="right"/>
            </w:pPr>
            <w:r>
              <w:t xml:space="preserve">128.27</w:t>
            </w:r>
          </w:p>
        </w:tc>
        <w:tc>
          <w:p>
            <w:pPr>
              <w:pStyle w:val="Compact"/>
              <w:jc w:val="right"/>
            </w:pPr>
            <w:r>
              <w:t xml:space="preserve">1.62</w:t>
            </w:r>
          </w:p>
        </w:tc>
        <w:tc>
          <w:p>
            <w:pPr>
              <w:pStyle w:val="Compact"/>
              <w:jc w:val="right"/>
            </w:pPr>
            <w:r>
              <w:t xml:space="preserve">91.86</w:t>
            </w:r>
          </w:p>
        </w:tc>
      </w:tr>
      <w:tr>
        <w:tc>
          <w:p>
            <w:pPr>
              <w:pStyle w:val="Compact"/>
              <w:jc w:val="left"/>
            </w:pPr>
            <w:r>
              <w:t xml:space="preserve">011</w:t>
            </w:r>
          </w:p>
        </w:tc>
        <w:tc>
          <w:p>
            <w:pPr>
              <w:pStyle w:val="Compact"/>
              <w:jc w:val="left"/>
            </w:pPr>
            <w:r>
              <w:t xml:space="preserve">other</w:t>
            </w:r>
          </w:p>
        </w:tc>
        <w:tc>
          <w:p>
            <w:pPr>
              <w:pStyle w:val="Compact"/>
              <w:jc w:val="right"/>
            </w:pPr>
            <w:r>
              <w:t xml:space="preserve">98</w:t>
            </w:r>
          </w:p>
        </w:tc>
        <w:tc>
          <w:p>
            <w:pPr>
              <w:pStyle w:val="Compact"/>
              <w:jc w:val="right"/>
            </w:pPr>
            <w:r>
              <w:t xml:space="preserve">176.33</w:t>
            </w:r>
          </w:p>
        </w:tc>
        <w:tc>
          <w:p>
            <w:pPr>
              <w:pStyle w:val="Compact"/>
              <w:jc w:val="right"/>
            </w:pPr>
            <w:r>
              <w:t xml:space="preserve">251.24</w:t>
            </w:r>
          </w:p>
        </w:tc>
        <w:tc>
          <w:p>
            <w:pPr>
              <w:pStyle w:val="Compact"/>
              <w:jc w:val="right"/>
            </w:pPr>
            <w:r>
              <w:t xml:space="preserve">1.42</w:t>
            </w:r>
          </w:p>
        </w:tc>
        <w:tc>
          <w:p>
            <w:pPr>
              <w:pStyle w:val="Compact"/>
              <w:jc w:val="right"/>
            </w:pPr>
            <w:r>
              <w:t xml:space="preserve">179.93</w:t>
            </w:r>
          </w:p>
        </w:tc>
      </w:tr>
      <w:tr>
        <w:tc>
          <w:p>
            <w:pPr>
              <w:pStyle w:val="Compact"/>
              <w:jc w:val="left"/>
            </w:pPr>
            <w:r>
              <w:t xml:space="preserve">100</w:t>
            </w:r>
          </w:p>
        </w:tc>
        <w:tc>
          <w:p>
            <w:pPr>
              <w:pStyle w:val="Compact"/>
              <w:jc w:val="left"/>
            </w:pPr>
            <w:r>
              <w:t xml:space="preserve">all</w:t>
            </w:r>
          </w:p>
        </w:tc>
        <w:tc>
          <w:p>
            <w:pPr>
              <w:pStyle w:val="Compact"/>
              <w:jc w:val="right"/>
            </w:pPr>
            <w:r>
              <w:t xml:space="preserve">92</w:t>
            </w:r>
          </w:p>
        </w:tc>
        <w:tc>
          <w:p>
            <w:pPr>
              <w:pStyle w:val="Compact"/>
              <w:jc w:val="right"/>
            </w:pPr>
            <w:r>
              <w:t xml:space="preserve">287.00</w:t>
            </w:r>
          </w:p>
        </w:tc>
        <w:tc>
          <w:p>
            <w:pPr>
              <w:pStyle w:val="Compact"/>
              <w:jc w:val="right"/>
            </w:pPr>
            <w:r>
              <w:t xml:space="preserve">495.37</w:t>
            </w:r>
          </w:p>
        </w:tc>
        <w:tc>
          <w:p>
            <w:pPr>
              <w:pStyle w:val="Compact"/>
              <w:jc w:val="right"/>
            </w:pPr>
            <w:r>
              <w:t xml:space="preserve">1.73</w:t>
            </w:r>
          </w:p>
        </w:tc>
        <w:tc>
          <w:p>
            <w:pPr>
              <w:pStyle w:val="Compact"/>
              <w:jc w:val="right"/>
            </w:pPr>
            <w:r>
              <w:t xml:space="preserve">311.96</w:t>
            </w:r>
          </w:p>
        </w:tc>
      </w:tr>
      <w:tr>
        <w:tc>
          <w:p>
            <w:pPr>
              <w:pStyle w:val="Compact"/>
              <w:jc w:val="left"/>
            </w:pPr>
            <w:r>
              <w:t xml:space="preserve">100</w:t>
            </w:r>
          </w:p>
        </w:tc>
        <w:tc>
          <w:p>
            <w:pPr>
              <w:pStyle w:val="Compact"/>
              <w:jc w:val="left"/>
            </w:pPr>
            <w:r>
              <w:t xml:space="preserve">frequent</w:t>
            </w:r>
          </w:p>
        </w:tc>
        <w:tc>
          <w:p>
            <w:pPr>
              <w:pStyle w:val="Compact"/>
              <w:jc w:val="right"/>
            </w:pPr>
            <w:r>
              <w:t xml:space="preserve">12</w:t>
            </w:r>
          </w:p>
        </w:tc>
        <w:tc>
          <w:p>
            <w:pPr>
              <w:pStyle w:val="Compact"/>
              <w:jc w:val="right"/>
            </w:pPr>
            <w:r>
              <w:t xml:space="preserve">91.67</w:t>
            </w:r>
          </w:p>
        </w:tc>
        <w:tc>
          <w:p>
            <w:pPr>
              <w:pStyle w:val="Compact"/>
              <w:jc w:val="right"/>
            </w:pPr>
            <w:r>
              <w:t xml:space="preserve">158.77</w:t>
            </w:r>
          </w:p>
        </w:tc>
        <w:tc>
          <w:p>
            <w:pPr>
              <w:pStyle w:val="Compact"/>
              <w:jc w:val="right"/>
            </w:pPr>
            <w:r>
              <w:t xml:space="preserve">1.73</w:t>
            </w:r>
          </w:p>
        </w:tc>
        <w:tc>
          <w:p>
            <w:pPr>
              <w:pStyle w:val="Compact"/>
              <w:jc w:val="right"/>
            </w:pPr>
            <w:r>
              <w:t xml:space="preserve">763.89</w:t>
            </w:r>
          </w:p>
        </w:tc>
      </w:tr>
      <w:tr>
        <w:tc>
          <w:p>
            <w:pPr>
              <w:pStyle w:val="Compact"/>
              <w:jc w:val="left"/>
            </w:pPr>
            <w:r>
              <w:t xml:space="preserve">100</w:t>
            </w:r>
          </w:p>
        </w:tc>
        <w:tc>
          <w:p>
            <w:pPr>
              <w:pStyle w:val="Compact"/>
              <w:jc w:val="left"/>
            </w:pPr>
            <w:r>
              <w:t xml:space="preserve">other</w:t>
            </w:r>
          </w:p>
        </w:tc>
        <w:tc>
          <w:p>
            <w:pPr>
              <w:pStyle w:val="Compact"/>
              <w:jc w:val="right"/>
            </w:pPr>
            <w:r>
              <w:t xml:space="preserve">80</w:t>
            </w:r>
          </w:p>
        </w:tc>
        <w:tc>
          <w:p>
            <w:pPr>
              <w:pStyle w:val="Compact"/>
              <w:jc w:val="right"/>
            </w:pPr>
            <w:r>
              <w:t xml:space="preserve">195.33</w:t>
            </w:r>
          </w:p>
        </w:tc>
        <w:tc>
          <w:p>
            <w:pPr>
              <w:pStyle w:val="Compact"/>
              <w:jc w:val="right"/>
            </w:pPr>
            <w:r>
              <w:t xml:space="preserve">336.60</w:t>
            </w:r>
          </w:p>
        </w:tc>
        <w:tc>
          <w:p>
            <w:pPr>
              <w:pStyle w:val="Compact"/>
              <w:jc w:val="right"/>
            </w:pPr>
            <w:r>
              <w:t xml:space="preserve">1.72</w:t>
            </w:r>
          </w:p>
        </w:tc>
        <w:tc>
          <w:p>
            <w:pPr>
              <w:pStyle w:val="Compact"/>
              <w:jc w:val="right"/>
            </w:pPr>
            <w:r>
              <w:t xml:space="preserve">244.17</w:t>
            </w:r>
          </w:p>
        </w:tc>
      </w:tr>
      <w:tr>
        <w:tc>
          <w:p>
            <w:pPr>
              <w:pStyle w:val="Compact"/>
              <w:jc w:val="left"/>
            </w:pPr>
            <w:r>
              <w:t xml:space="preserve">101</w:t>
            </w:r>
          </w:p>
        </w:tc>
        <w:tc>
          <w:p>
            <w:pPr>
              <w:pStyle w:val="Compact"/>
              <w:jc w:val="left"/>
            </w:pPr>
            <w:r>
              <w:t xml:space="preserve">all</w:t>
            </w:r>
          </w:p>
        </w:tc>
        <w:tc>
          <w:p>
            <w:pPr>
              <w:pStyle w:val="Compact"/>
              <w:jc w:val="right"/>
            </w:pPr>
            <w:r>
              <w:t xml:space="preserve">313</w:t>
            </w:r>
          </w:p>
        </w:tc>
        <w:tc>
          <w:p>
            <w:pPr>
              <w:pStyle w:val="Compact"/>
              <w:jc w:val="right"/>
            </w:pPr>
            <w:r>
              <w:t xml:space="preserve">22.67</w:t>
            </w:r>
          </w:p>
        </w:tc>
        <w:tc>
          <w:p>
            <w:pPr>
              <w:pStyle w:val="Compact"/>
              <w:jc w:val="right"/>
            </w:pPr>
            <w:r>
              <w:t xml:space="preserve">34.20</w:t>
            </w:r>
          </w:p>
        </w:tc>
        <w:tc>
          <w:p>
            <w:pPr>
              <w:pStyle w:val="Compact"/>
              <w:jc w:val="right"/>
            </w:pPr>
            <w:r>
              <w:t xml:space="preserve">1.51</w:t>
            </w:r>
          </w:p>
        </w:tc>
        <w:tc>
          <w:p>
            <w:pPr>
              <w:pStyle w:val="Compact"/>
              <w:jc w:val="right"/>
            </w:pPr>
            <w:r>
              <w:t xml:space="preserve">7.24</w:t>
            </w:r>
          </w:p>
        </w:tc>
      </w:tr>
      <w:tr>
        <w:tc>
          <w:p>
            <w:pPr>
              <w:pStyle w:val="Compact"/>
              <w:jc w:val="left"/>
            </w:pPr>
            <w:r>
              <w:t xml:space="preserve">101</w:t>
            </w:r>
          </w:p>
        </w:tc>
        <w:tc>
          <w:p>
            <w:pPr>
              <w:pStyle w:val="Compact"/>
              <w:jc w:val="left"/>
            </w:pPr>
            <w:r>
              <w:t xml:space="preserve">frequent</w:t>
            </w:r>
          </w:p>
        </w:tc>
        <w:tc>
          <w:p>
            <w:pPr>
              <w:pStyle w:val="Compact"/>
              <w:jc w:val="right"/>
            </w:pPr>
            <w:r>
              <w:t xml:space="preserve">72</w:t>
            </w:r>
          </w:p>
        </w:tc>
        <w:tc>
          <w:p>
            <w:pPr>
              <w:pStyle w:val="Compact"/>
              <w:jc w:val="right"/>
            </w:pPr>
            <w:r>
              <w:t xml:space="preserve">2.67</w:t>
            </w:r>
          </w:p>
        </w:tc>
        <w:tc>
          <w:p>
            <w:pPr>
              <w:pStyle w:val="Compact"/>
              <w:jc w:val="right"/>
            </w:pPr>
            <w:r>
              <w:t xml:space="preserve">2.52</w:t>
            </w:r>
          </w:p>
        </w:tc>
        <w:tc>
          <w:p>
            <w:pPr>
              <w:pStyle w:val="Compact"/>
              <w:jc w:val="right"/>
            </w:pPr>
            <w:r>
              <w:t xml:space="preserve">0.94</w:t>
            </w:r>
          </w:p>
        </w:tc>
        <w:tc>
          <w:p>
            <w:pPr>
              <w:pStyle w:val="Compact"/>
              <w:jc w:val="right"/>
            </w:pPr>
            <w:r>
              <w:t xml:space="preserve">3.70</w:t>
            </w:r>
          </w:p>
        </w:tc>
      </w:tr>
      <w:tr>
        <w:tc>
          <w:p>
            <w:pPr>
              <w:pStyle w:val="Compact"/>
              <w:jc w:val="left"/>
            </w:pPr>
            <w:r>
              <w:t xml:space="preserve">101</w:t>
            </w:r>
          </w:p>
        </w:tc>
        <w:tc>
          <w:p>
            <w:pPr>
              <w:pStyle w:val="Compact"/>
              <w:jc w:val="left"/>
            </w:pPr>
            <w:r>
              <w:t xml:space="preserve">other</w:t>
            </w:r>
          </w:p>
        </w:tc>
        <w:tc>
          <w:p>
            <w:pPr>
              <w:pStyle w:val="Compact"/>
              <w:jc w:val="right"/>
            </w:pPr>
            <w:r>
              <w:t xml:space="preserve">241</w:t>
            </w:r>
          </w:p>
        </w:tc>
        <w:tc>
          <w:p>
            <w:pPr>
              <w:pStyle w:val="Compact"/>
              <w:jc w:val="right"/>
            </w:pPr>
            <w:r>
              <w:t xml:space="preserve">20.00</w:t>
            </w:r>
          </w:p>
        </w:tc>
        <w:tc>
          <w:p>
            <w:pPr>
              <w:pStyle w:val="Compact"/>
              <w:jc w:val="right"/>
            </w:pPr>
            <w:r>
              <w:t xml:space="preserve">32.08</w:t>
            </w:r>
          </w:p>
        </w:tc>
        <w:tc>
          <w:p>
            <w:pPr>
              <w:pStyle w:val="Compact"/>
              <w:jc w:val="right"/>
            </w:pPr>
            <w:r>
              <w:t xml:space="preserve">1.60</w:t>
            </w:r>
          </w:p>
        </w:tc>
        <w:tc>
          <w:p>
            <w:pPr>
              <w:pStyle w:val="Compact"/>
              <w:jc w:val="right"/>
            </w:pPr>
            <w:r>
              <w:t xml:space="preserve">8.30</w:t>
            </w:r>
          </w:p>
        </w:tc>
      </w:tr>
      <w:tr>
        <w:tc>
          <w:p>
            <w:pPr>
              <w:pStyle w:val="Compact"/>
              <w:jc w:val="left"/>
            </w:pPr>
            <w:r>
              <w:t xml:space="preserve">110</w:t>
            </w:r>
          </w:p>
        </w:tc>
        <w:tc>
          <w:p>
            <w:pPr>
              <w:pStyle w:val="Compact"/>
              <w:jc w:val="left"/>
            </w:pPr>
            <w:r>
              <w:t xml:space="preserve">all</w:t>
            </w:r>
          </w:p>
        </w:tc>
        <w:tc>
          <w:p>
            <w:pPr>
              <w:pStyle w:val="Compact"/>
              <w:jc w:val="right"/>
            </w:pPr>
            <w:r>
              <w:t xml:space="preserve">94</w:t>
            </w:r>
          </w:p>
        </w:tc>
        <w:tc>
          <w:p>
            <w:pPr>
              <w:pStyle w:val="Compact"/>
              <w:jc w:val="right"/>
            </w:pPr>
            <w:r>
              <w:t xml:space="preserve">216.67</w:t>
            </w:r>
          </w:p>
        </w:tc>
        <w:tc>
          <w:p>
            <w:pPr>
              <w:pStyle w:val="Compact"/>
              <w:jc w:val="right"/>
            </w:pPr>
            <w:r>
              <w:t xml:space="preserve">206.29</w:t>
            </w:r>
          </w:p>
        </w:tc>
        <w:tc>
          <w:p>
            <w:pPr>
              <w:pStyle w:val="Compact"/>
              <w:jc w:val="right"/>
            </w:pPr>
            <w:r>
              <w:t xml:space="preserve">0.95</w:t>
            </w:r>
          </w:p>
        </w:tc>
        <w:tc>
          <w:p>
            <w:pPr>
              <w:pStyle w:val="Compact"/>
              <w:jc w:val="right"/>
            </w:pPr>
            <w:r>
              <w:t xml:space="preserve">230.50</w:t>
            </w:r>
          </w:p>
        </w:tc>
      </w:tr>
      <w:tr>
        <w:tc>
          <w:p>
            <w:pPr>
              <w:pStyle w:val="Compact"/>
              <w:jc w:val="left"/>
            </w:pPr>
            <w:r>
              <w:t xml:space="preserve">110</w:t>
            </w:r>
          </w:p>
        </w:tc>
        <w:tc>
          <w:p>
            <w:pPr>
              <w:pStyle w:val="Compact"/>
              <w:jc w:val="left"/>
            </w:pPr>
            <w:r>
              <w:t xml:space="preserve">frequent</w:t>
            </w:r>
          </w:p>
        </w:tc>
        <w:tc>
          <w:p>
            <w:pPr>
              <w:pStyle w:val="Compact"/>
              <w:jc w:val="right"/>
            </w:pPr>
            <w:r>
              <w:t xml:space="preserve">7</w:t>
            </w:r>
          </w:p>
        </w:tc>
        <w:tc>
          <w:p>
            <w:pPr>
              <w:pStyle w:val="Compact"/>
              <w:jc w:val="right"/>
            </w:pPr>
            <w:r>
              <w:t xml:space="preserve">61.00</w:t>
            </w:r>
          </w:p>
        </w:tc>
        <w:tc>
          <w:p>
            <w:pPr>
              <w:pStyle w:val="Compact"/>
              <w:jc w:val="right"/>
            </w:pPr>
            <w:r>
              <w:t xml:space="preserve">38.97</w:t>
            </w:r>
          </w:p>
        </w:tc>
        <w:tc>
          <w:p>
            <w:pPr>
              <w:pStyle w:val="Compact"/>
              <w:jc w:val="right"/>
            </w:pPr>
            <w:r>
              <w:t xml:space="preserve">0.64</w:t>
            </w:r>
          </w:p>
        </w:tc>
        <w:tc>
          <w:p>
            <w:pPr>
              <w:pStyle w:val="Compact"/>
              <w:jc w:val="right"/>
            </w:pPr>
            <w:r>
              <w:t xml:space="preserve">871.43</w:t>
            </w:r>
          </w:p>
        </w:tc>
      </w:tr>
      <w:tr>
        <w:tc>
          <w:p>
            <w:pPr>
              <w:pStyle w:val="Compact"/>
              <w:jc w:val="left"/>
            </w:pPr>
            <w:r>
              <w:t xml:space="preserve">110</w:t>
            </w:r>
          </w:p>
        </w:tc>
        <w:tc>
          <w:p>
            <w:pPr>
              <w:pStyle w:val="Compact"/>
              <w:jc w:val="left"/>
            </w:pPr>
            <w:r>
              <w:t xml:space="preserve">other</w:t>
            </w:r>
          </w:p>
        </w:tc>
        <w:tc>
          <w:p>
            <w:pPr>
              <w:pStyle w:val="Compact"/>
              <w:jc w:val="right"/>
            </w:pPr>
            <w:r>
              <w:t xml:space="preserve">87</w:t>
            </w:r>
          </w:p>
        </w:tc>
        <w:tc>
          <w:p>
            <w:pPr>
              <w:pStyle w:val="Compact"/>
              <w:jc w:val="right"/>
            </w:pPr>
            <w:r>
              <w:t xml:space="preserve">155.67</w:t>
            </w:r>
          </w:p>
        </w:tc>
        <w:tc>
          <w:p>
            <w:pPr>
              <w:pStyle w:val="Compact"/>
              <w:jc w:val="right"/>
            </w:pPr>
            <w:r>
              <w:t xml:space="preserve">167.46</w:t>
            </w:r>
          </w:p>
        </w:tc>
        <w:tc>
          <w:p>
            <w:pPr>
              <w:pStyle w:val="Compact"/>
              <w:jc w:val="right"/>
            </w:pPr>
            <w:r>
              <w:t xml:space="preserve">1.08</w:t>
            </w:r>
          </w:p>
        </w:tc>
        <w:tc>
          <w:p>
            <w:pPr>
              <w:pStyle w:val="Compact"/>
              <w:jc w:val="right"/>
            </w:pPr>
            <w:r>
              <w:t xml:space="preserve">178.93</w:t>
            </w:r>
          </w:p>
        </w:tc>
      </w:tr>
      <w:tr>
        <w:tc>
          <w:p>
            <w:pPr>
              <w:pStyle w:val="Compact"/>
              <w:jc w:val="left"/>
            </w:pPr>
            <w:r>
              <w:t xml:space="preserve">all</w:t>
            </w:r>
          </w:p>
        </w:tc>
        <w:tc>
          <w:p>
            <w:pPr>
              <w:pStyle w:val="Compact"/>
              <w:jc w:val="left"/>
            </w:pPr>
            <w:r>
              <w:t xml:space="preserve">all</w:t>
            </w:r>
          </w:p>
        </w:tc>
        <w:tc>
          <w:p>
            <w:pPr>
              <w:pStyle w:val="Compact"/>
              <w:jc w:val="right"/>
            </w:pPr>
            <w:r>
              <w:t xml:space="preserve">1263</w:t>
            </w:r>
          </w:p>
        </w:tc>
        <w:tc>
          <w:p>
            <w:pPr>
              <w:pStyle w:val="Compact"/>
              <w:jc w:val="right"/>
            </w:pPr>
            <w:r>
              <w:t xml:space="preserve">819.33</w:t>
            </w:r>
          </w:p>
        </w:tc>
        <w:tc>
          <w:p>
            <w:pPr>
              <w:pStyle w:val="Compact"/>
              <w:jc w:val="right"/>
            </w:pPr>
            <w:r>
              <w:t xml:space="preserve">1063.48</w:t>
            </w:r>
          </w:p>
        </w:tc>
        <w:tc>
          <w:p>
            <w:pPr>
              <w:pStyle w:val="Compact"/>
              <w:jc w:val="right"/>
            </w:pPr>
            <w:r>
              <w:t xml:space="preserve">1.30</w:t>
            </w:r>
          </w:p>
        </w:tc>
        <w:tc>
          <w:p>
            <w:pPr>
              <w:pStyle w:val="Compact"/>
              <w:jc w:val="right"/>
            </w:pPr>
            <w:r>
              <w:t xml:space="preserve">64.87</w:t>
            </w:r>
          </w:p>
        </w:tc>
      </w:tr>
      <w:tr>
        <w:tc>
          <w:p>
            <w:pPr>
              <w:pStyle w:val="Compact"/>
              <w:jc w:val="left"/>
            </w:pPr>
            <w:r>
              <w:t xml:space="preserve">all</w:t>
            </w:r>
          </w:p>
        </w:tc>
        <w:tc>
          <w:p>
            <w:pPr>
              <w:pStyle w:val="Compact"/>
              <w:jc w:val="left"/>
            </w:pPr>
            <w:r>
              <w:t xml:space="preserve">frequent</w:t>
            </w:r>
          </w:p>
        </w:tc>
        <w:tc>
          <w:p>
            <w:pPr>
              <w:pStyle w:val="Compact"/>
              <w:jc w:val="right"/>
            </w:pPr>
            <w:r>
              <w:t xml:space="preserve">251</w:t>
            </w:r>
          </w:p>
        </w:tc>
        <w:tc>
          <w:p>
            <w:pPr>
              <w:pStyle w:val="Compact"/>
              <w:jc w:val="right"/>
            </w:pPr>
            <w:r>
              <w:t xml:space="preserve">240.33</w:t>
            </w:r>
          </w:p>
        </w:tc>
        <w:tc>
          <w:p>
            <w:pPr>
              <w:pStyle w:val="Compact"/>
              <w:jc w:val="right"/>
            </w:pPr>
            <w:r>
              <w:t xml:space="preserve">320.38</w:t>
            </w:r>
          </w:p>
        </w:tc>
        <w:tc>
          <w:p>
            <w:pPr>
              <w:pStyle w:val="Compact"/>
              <w:jc w:val="right"/>
            </w:pPr>
            <w:r>
              <w:t xml:space="preserve">1.33</w:t>
            </w:r>
          </w:p>
        </w:tc>
        <w:tc>
          <w:p>
            <w:pPr>
              <w:pStyle w:val="Compact"/>
              <w:jc w:val="right"/>
            </w:pPr>
            <w:r>
              <w:t xml:space="preserve">95.75</w:t>
            </w:r>
          </w:p>
        </w:tc>
      </w:tr>
      <w:tr>
        <w:tc>
          <w:p>
            <w:pPr>
              <w:pStyle w:val="Compact"/>
              <w:jc w:val="left"/>
            </w:pPr>
            <w:r>
              <w:t xml:space="preserve">all</w:t>
            </w:r>
          </w:p>
        </w:tc>
        <w:tc>
          <w:p>
            <w:pPr>
              <w:pStyle w:val="Compact"/>
              <w:jc w:val="left"/>
            </w:pPr>
            <w:r>
              <w:t xml:space="preserve">other</w:t>
            </w:r>
          </w:p>
        </w:tc>
        <w:tc>
          <w:p>
            <w:pPr>
              <w:pStyle w:val="Compact"/>
              <w:jc w:val="right"/>
            </w:pPr>
            <w:r>
              <w:t xml:space="preserve">1012</w:t>
            </w:r>
          </w:p>
        </w:tc>
        <w:tc>
          <w:p>
            <w:pPr>
              <w:pStyle w:val="Compact"/>
              <w:jc w:val="right"/>
            </w:pPr>
            <w:r>
              <w:t xml:space="preserve">579.00</w:t>
            </w:r>
          </w:p>
        </w:tc>
        <w:tc>
          <w:p>
            <w:pPr>
              <w:pStyle w:val="Compact"/>
              <w:jc w:val="right"/>
            </w:pPr>
            <w:r>
              <w:t xml:space="preserve">743.21</w:t>
            </w:r>
          </w:p>
        </w:tc>
        <w:tc>
          <w:p>
            <w:pPr>
              <w:pStyle w:val="Compact"/>
              <w:jc w:val="right"/>
            </w:pPr>
            <w:r>
              <w:t xml:space="preserve">1.28</w:t>
            </w:r>
          </w:p>
        </w:tc>
        <w:tc>
          <w:p>
            <w:pPr>
              <w:pStyle w:val="Compact"/>
              <w:jc w:val="right"/>
            </w:pPr>
            <w:r>
              <w:t xml:space="preserve">57.21</w:t>
            </w:r>
          </w:p>
        </w:tc>
      </w:tr>
    </w:tbl>
    <w:p>
      <w:r>
        <w:t xml:space="preserve">Finally, save the results object to disk:</w:t>
      </w:r>
    </w:p>
    <w:p>
      <w:pPr>
        <w:pStyle w:val="SourceCode"/>
      </w:pPr>
      <w:r>
        <w:rPr>
          <w:rStyle w:val="KeywordTok"/>
        </w:rPr>
        <w:t xml:space="preserve">save</w:t>
      </w:r>
      <w:r>
        <w:rPr>
          <w:rStyle w:val="NormalTok"/>
        </w:rPr>
        <w:t xml:space="preserve">(ma,</w:t>
      </w:r>
      <w:r>
        <w:rPr>
          <w:rStyle w:val="DataTypeTok"/>
        </w:rPr>
        <w:t xml:space="preserve">file=</w:t>
      </w:r>
      <w:r>
        <w:rPr>
          <w:rStyle w:val="StringTok"/>
        </w:rPr>
        <w:t xml:space="preserve">"output/ma.rd"</w:t>
      </w:r>
      <w:r>
        <w:rPr>
          <w:rStyle w:val="NormalTok"/>
        </w:rPr>
        <w:t xml:space="preserve">, </w:t>
      </w:r>
      <w:r>
        <w:rPr>
          <w:rStyle w:val="DataTypeTok"/>
        </w:rPr>
        <w:t xml:space="preserve">compress=</w:t>
      </w:r>
      <w:r>
        <w:rPr>
          <w:rStyle w:val="NormalTok"/>
        </w:rPr>
        <w:t xml:space="preserve">T)</w:t>
      </w:r>
    </w:p>
    <w:p>
      <w:r>
        <w:t xml:space="preserve">If "perm.boot" is set to be FALSE, then regular permutations (sampling without replacement) are performed rather than bootstrapping (sampling with replacement).</w:t>
      </w:r>
    </w:p>
    <w:p>
      <w:r>
        <w:t xml:space="preserve">See the maPerm(), maPermMerge(), and maPermFdr() for manual methods to run permutations. These are useful for spreading permutations across multiple machines or in a high performance computing (HPC) environment.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e081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d219e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cran.r-project.org/" TargetMode="External" /><Relationship Type="http://schemas.openxmlformats.org/officeDocument/2006/relationships/hyperlink" Id="rId33" Target="http://genome.ucsc.edu/" TargetMode="External" /><Relationship Type="http://schemas.openxmlformats.org/officeDocument/2006/relationships/hyperlink" Id="rId25" Target="http://www.bioconductor.org" TargetMode="External" /></Relationships>
</file>

<file path=word/_rels/footnotes.xml.rels><?xml version="1.0" encoding="UTF-8"?>
<Relationships xmlns="http://schemas.openxmlformats.org/package/2006/relationships"><Relationship Type="http://schemas.openxmlformats.org/officeDocument/2006/relationships/hyperlink" Id="rId23" Target="http://cran.r-project.org/" TargetMode="External" /><Relationship Type="http://schemas.openxmlformats.org/officeDocument/2006/relationships/hyperlink" Id="rId33" Target="http://genome.ucsc.edu/" TargetMode="External" /><Relationship Type="http://schemas.openxmlformats.org/officeDocument/2006/relationships/hyperlink" Id="rId25" Target="http://www.bioconducto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MethylAction: Detecting differentially methylated regions (DMRs) that distinguish disease subtypes</dc:title>
  <dc:creator>Jeff Bhasin</dc:creator>
  <dcterms:created xsi:type="dcterms:W3CDTF">2015-05-25</dcterms:created>
  <dcterms:modified xsi:type="dcterms:W3CDTF">2015-05-25</dcterms:modified>
</cp:coreProperties>
</file>