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2015-04-28</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 server or workstation</w:t>
      </w:r>
    </w:p>
    <w:p>
      <w:r>
        <w:t xml:space="preserve">RAM and CPU requirements will depend on the depth of the sequencing and the number of samples/groups. We recommend very high performance machines. As a reference, we used a linux server with 20 cores of 2.80GHz CPUs and 64GB of RAM for the whole genome analysis of 22 samples across 3 groups. A high performance computing cluster (HPC) was used to obtain 1,000s of permutations.</w:t>
      </w:r>
    </w:p>
    <w:p>
      <w:r>
        <w:t xml:space="preserve">For the purposes of the example, less CPU and RAM are required.</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example-data"/>
      <w:bookmarkEnd w:id="26"/>
      <w:r>
        <w:t xml:space="preserve">Example Data</w:t>
      </w:r>
    </w:p>
    <w:p>
      <w:r>
        <w:t xml:space="preserve">Please obtain the "methylaction_demo.zip" file and extract it. This contains all the example input data needed to complete this how-to.</w:t>
      </w:r>
    </w:p>
    <w:p>
      <w:pPr>
        <w:pStyle w:val="Heading1"/>
      </w:pPr>
      <w:bookmarkStart w:id="27" w:name="preprocessing"/>
      <w:bookmarkEnd w:id="27"/>
      <w:r>
        <w:t xml:space="preserve">Preprocessing</w:t>
      </w:r>
    </w:p>
    <w:p>
      <w:r>
        <w:t xml:space="preserve">First, load the methylaction R package into a new session of R.</w:t>
      </w:r>
    </w:p>
    <w:p>
      <w:pPr>
        <w:pStyle w:val="SourceCode"/>
      </w:pPr>
      <w:r>
        <w:rPr>
          <w:rStyle w:val="KeywordTok"/>
        </w:rPr>
        <w:t xml:space="preserve">library</w:t>
      </w:r>
      <w:r>
        <w:rPr>
          <w:rStyle w:val="NormalTok"/>
        </w:rPr>
        <w:t xml:space="preserve">(methylaction)</w:t>
      </w:r>
    </w:p>
    <w:p>
      <w:pPr>
        <w:pStyle w:val="Heading2"/>
      </w:pPr>
      <w:bookmarkStart w:id="28" w:name="describing-the-experimental-design"/>
      <w:bookmarkEnd w:id="28"/>
      <w:r>
        <w:t xml:space="preserve">Describing the Experimental Design</w:t>
      </w:r>
    </w:p>
    <w:p>
      <w:r>
        <w:t xml:space="preserve">Unique sample identifiers, BAM files, group assignments, and any sample covariates are defined in a CSV file. Please see "input/samples.csv" for an example of the format. Note that groups must be ordered in the order you want the groups to appear in the output results. This is important, because in the output, patterns between the groups will be coded using sequences of binary digits, where each digit represents a group, and this order is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p>
    <w:p>
      <w:r>
        <w:t xml:space="preserve">The command will output confirmation of group sample sizes and group order.</w:t>
      </w:r>
    </w:p>
    <w:p>
      <w:pPr>
        <w:pStyle w:val="Heading2"/>
      </w:pPr>
      <w:bookmarkStart w:id="29" w:name="loading-reads-and-generating-count-tables"/>
      <w:bookmarkEnd w:id="29"/>
      <w:r>
        <w:t xml:space="preserve">Loading Reads and Generating Count Tables</w:t>
      </w:r>
    </w:p>
    <w:p>
      <w:r>
        <w:t xml:space="preserve">To save time, all read alignments are read from the BAM files into an RData workspace that is saved to disk, and this prevents you from having to re-read this data from BAM any time you want to re-run methylaction. The getReads() function does this. The initial stage of the program works with read counts in 50bp windows, which can also be computed once, and do not have to be re-run for any re-run of the methylaction() command. The getCounts() function does this.</w:t>
      </w:r>
    </w:p>
    <w:p>
      <w:r>
        <w:t xml:space="preserve">There are two other variables specific to the experiment that will be needed in the next step. These are the window size (we recommend 50bp) and the fragment size which was selected for in your sequencing protocol. This fragment size is not the read length – it is the average size of a fragment in the sequencing library that was prepared. Often this number is available from BioAnayzer results, and should be known to whomever did the sequencing library preparation for your study.</w:t>
      </w:r>
    </w:p>
    <w:p>
      <w:r>
        <w:t xml:space="preserve">We recommend saving all of the above into a single preprocessing RData, which can be loaded prior to running the DMR detection step described next.</w:t>
      </w:r>
    </w:p>
    <w:p>
      <w:r>
        <w:t xml:space="preserve">First, define some variables that will be needed for the preprocessing functions (change to suit your experiment, especially fragsize which is the fragment length selected for during sequencing library preparation):</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r>
        <w:br w:type="textWrapping"/>
      </w:r>
      <w:r>
        <w:rPr>
          <w:rStyle w:val="NormalTok"/>
        </w:rPr>
        <w:t xml:space="preserve">bsgenome &lt;-</w:t>
      </w:r>
      <w:r>
        <w:rPr>
          <w:rStyle w:val="StringTok"/>
        </w:rPr>
        <w:t xml:space="preserve"> </w:t>
      </w:r>
      <w:r>
        <w:rPr>
          <w:rStyle w:val="NormalTok"/>
        </w:rPr>
        <w:t xml:space="preserve">Hsapiens</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Finally, save all of the above to an RData file:</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0" w:name="differentially-methylated-region-dmr-detection"/>
      <w:bookmarkEnd w:id="30"/>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both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pPr>
        <w:pStyle w:val="Heading2"/>
      </w:pPr>
      <w:bookmarkStart w:id="31" w:name="interpreting-the-results"/>
      <w:bookmarkEnd w:id="31"/>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(see table for clarification). To see what options the list was created using, see the ma$args object. If you want to access data from any internal steps of the function, see the objects nested under ma$data.</w:t>
      </w:r>
    </w:p>
    <w:p>
      <w:pPr>
        <w:pStyle w:val="Heading1"/>
      </w:pPr>
      <w:bookmarkStart w:id="32" w:name="vizualization-of-dmrs"/>
      <w:bookmarkEnd w:id="32"/>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r>
        <w:rPr>
          <w:rStyle w:val="DataTypeTok"/>
        </w:rPr>
        <w:t xml:space="preserve">file=</w:t>
      </w:r>
      <w:r>
        <w:rPr>
          <w:rStyle w:val="StringTok"/>
        </w:rPr>
        <w:t xml:space="preserve">"heat.png"</w:t>
      </w:r>
      <w:r>
        <w:rPr>
          <w:rStyle w:val="NormalTok"/>
        </w:rPr>
        <w:t xml:space="preserve">)</w:t>
      </w:r>
      <w:r>
        <w:br w:type="textWrapping"/>
      </w:r>
      <w:r>
        <w:rPr>
          <w:rStyle w:val="KeywordTok"/>
        </w:rPr>
        <w:t xml:space="preserve">maKaryogram</w:t>
      </w:r>
      <w:r>
        <w:rPr>
          <w:rStyle w:val="NormalTok"/>
        </w:rPr>
        <w:t xml:space="preserve">(ma,</w:t>
      </w:r>
      <w:r>
        <w:rPr>
          <w:rStyle w:val="DataTypeTok"/>
        </w:rPr>
        <w:t xml:space="preserve">file=</w:t>
      </w:r>
      <w:r>
        <w:rPr>
          <w:rStyle w:val="StringTok"/>
        </w:rPr>
        <w:t xml:space="preserve">"karyo.png"</w:t>
      </w:r>
      <w:r>
        <w:rPr>
          <w:rStyle w:val="NormalTok"/>
        </w:rPr>
        <w:t xml:space="preserve">)</w:t>
      </w:r>
    </w:p>
    <w:p>
      <w:pPr>
        <w:pStyle w:val="Heading1"/>
      </w:pPr>
      <w:bookmarkStart w:id="33" w:name="permutation-and-bootstrap-testing"/>
      <w:bookmarkEnd w:id="33"/>
      <w:r>
        <w:t xml:space="preserve">Permutation and Bootstrap Testing</w:t>
      </w:r>
    </w:p>
    <w:p>
      <w:r>
        <w:t xml:space="preserve">Because of the two stage testing approach, type I error rates are inflated with this method. To determine if this level is acceptable, we have implemented a permutation approach. This establishes a FDR for each pattern of DMR between each group. If these FDRs are too high, they can be recalculated at lower p-value thresholds until they reach acceptable levels. Then, DMRs cut at this p-value can be used as the definitive list for the study.</w:t>
      </w:r>
    </w:p>
    <w:p>
      <w:r>
        <w:t xml:space="preserve">Bootstraps can be enabled by adding the "nperms" option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winsize=</w:t>
      </w:r>
      <w:r>
        <w:rPr>
          <w:rStyle w:val="NormalTok"/>
        </w:rPr>
        <w:t xml:space="preserve">winsize,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5e4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8954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25" Target="http://www.bioconductor.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25" Target="http://www.bioconduc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2015-04-28</dcterms:created>
  <dcterms:modified xsi:type="dcterms:W3CDTF">2015-04-28</dcterms:modified>
</cp:coreProperties>
</file>