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200"/>
        <w:jc w:val="center"/>
      </w:pPr>
      <w:r>
        <w:rPr>
          <w:b/>
          <w:bCs/>
          <w:color w:val="1F3A5F"/>
          <w:sz w:val="56"/>
          <w:szCs w:val="56"/>
        </w:rPr>
        <w:t xml:space="preserve">THE AI SUPPLY CHAIN</w:t>
      </w:r>
    </w:p>
    <w:p>
      <w:pPr>
        <w:spacing w:after="200"/>
        <w:jc w:val="center"/>
      </w:pPr>
      <w:r>
        <w:rPr>
          <w:b/>
          <w:bCs/>
          <w:color w:val="2E75B6"/>
          <w:sz w:val="30"/>
          <w:szCs w:val="30"/>
        </w:rPr>
        <w:t xml:space="preserve">An Equity Research Deep-Dive  |  v9</w:t>
      </w:r>
    </w:p>
    <w:p>
      <w:pPr>
        <w:spacing w:after="600"/>
        <w:jc w:val="center"/>
      </w:pPr>
      <w:r>
        <w:rPr>
          <w:i/>
          <w:iCs/>
          <w:color w:val="595959"/>
          <w:sz w:val="22"/>
          <w:szCs w:val="22"/>
        </w:rPr>
        <w:t xml:space="preserve">11 Layers · Bottlenecks · Market Sizes · Value Capture by Layer</w:t>
      </w:r>
    </w:p>
    <w:p>
      <w:pPr>
        <w:spacing w:after="200"/>
        <w:jc w:val="center"/>
      </w:pPr>
      <w:r>
        <w:rPr>
          <w:b/>
          <w:bCs/>
          <w:color w:val="1F3A5F"/>
          <w:sz w:val="22"/>
          <w:szCs w:val="22"/>
        </w:rPr>
        <w:t xml:space="preserve">What's new in v9:</w:t>
      </w:r>
    </w:p>
    <w:p>
      <w:pPr>
        <w:spacing w:after="80"/>
        <w:jc w:val="center"/>
      </w:pPr>
      <w:r>
        <w:rPr>
          <w:color w:val="595959"/>
          <w:sz w:val="20"/>
          <w:szCs w:val="20"/>
        </w:rPr>
        <w:t xml:space="preserve">• Each layer now has a Bottleneck / Market Size / Value-Added analysis block</w:t>
      </w:r>
    </w:p>
    <w:p>
      <w:pPr>
        <w:spacing w:after="80"/>
        <w:jc w:val="center"/>
      </w:pPr>
      <w:r>
        <w:rPr>
          <w:color w:val="595959"/>
          <w:sz w:val="20"/>
          <w:szCs w:val="20"/>
        </w:rPr>
        <w:t xml:space="preserve">• Bottleneck severity rated; resolution path explained</w:t>
      </w:r>
    </w:p>
    <w:p>
      <w:pPr>
        <w:spacing w:after="80"/>
        <w:jc w:val="center"/>
      </w:pPr>
      <w:r>
        <w:rPr>
          <w:color w:val="595959"/>
          <w:sz w:val="20"/>
          <w:szCs w:val="20"/>
        </w:rPr>
        <w:t xml:space="preserve">• Margin data quantified for every layer (NVDA 73%, TSM 66%, ASML 35%, ODM 5%, etc.)</w:t>
      </w:r>
    </w:p>
    <w:p>
      <w:pPr>
        <w:spacing w:after="80"/>
        <w:jc w:val="center"/>
      </w:pPr>
      <w:r>
        <w:rPr>
          <w:color w:val="595959"/>
          <w:sz w:val="20"/>
          <w:szCs w:val="20"/>
        </w:rPr>
        <w:t xml:space="preserve">• New §3.3 Value Capture Map: which layer keeps the most $ per AI capex $</w:t>
      </w:r>
    </w:p>
    <w:p>
      <w:pPr>
        <w:spacing w:after="600"/>
        <w:jc w:val="center"/>
      </w:pPr>
      <w:r>
        <w:rPr>
          <w:color w:val="595959"/>
          <w:sz w:val="20"/>
          <w:szCs w:val="20"/>
        </w:rPr>
        <w:t xml:space="preserve">• Network chart upgraded to LAYERED top-to-bottom layout (companion HTML)</w:t>
      </w:r>
    </w:p>
    <w:p>
      <w:pPr>
        <w:spacing w:after="80"/>
        <w:jc w:val="center"/>
      </w:pPr>
      <w:r>
        <w:rPr>
          <w:color w:val="595959"/>
          <w:sz w:val="22"/>
          <w:szCs w:val="22"/>
        </w:rPr>
        <w:t xml:space="preserve">Coverage Date: May 2026</w:t>
      </w:r>
    </w:p>
    <w:p>
      <w:r>
        <w:br w:type="page"/>
      </w:r>
    </w:p>
    <w:p>
      <w:pPr>
        <w:pStyle w:val="Heading1"/>
        <w:spacing w:after="200" w:before="360"/>
      </w:pPr>
      <w:r>
        <w:rPr>
          <w:b/>
          <w:bCs/>
          <w:color w:val="1F3A5F"/>
          <w:sz w:val="32"/>
          <w:szCs w:val="32"/>
        </w:rPr>
        <w:t xml:space="preserve">1. Executive Summary</w:t>
      </w:r>
    </w:p>
    <w:p>
      <w:pPr>
        <w:spacing w:after="100" w:before="0" w:line="300"/>
        <w:jc w:val="left"/>
      </w:pPr>
      <w:r>
        <w:rPr>
          <w:b w:val="false"/>
          <w:bCs w:val="false"/>
          <w:i w:val="false"/>
          <w:iCs w:val="false"/>
          <w:color w:val="000000"/>
          <w:sz w:val="22"/>
          <w:szCs w:val="22"/>
        </w:rPr>
        <w:t xml:space="preserve">This v9 retains the 11-layer structure and deal-web detail from v8 and adds the framework you asked for: each layer now opens with a three-cell block showing (a) its bottleneck severity and resolution path, (b) its addressable market size, and (c) the value-added economics (gross margins and pricing power). Section 3.3 maps total value capture across the chain — quantifying which layer keeps the most dollar of every AI capex dollar.</w:t>
      </w:r>
    </w:p>
    <w:p>
      <w:pPr>
        <w:pStyle w:val="Heading2"/>
        <w:spacing w:after="140" w:before="280"/>
      </w:pPr>
      <w:r>
        <w:rPr>
          <w:b/>
          <w:bCs/>
          <w:color w:val="1F3A5F"/>
          <w:sz w:val="26"/>
          <w:szCs w:val="26"/>
        </w:rPr>
        <w:t xml:space="preserve">11-layer stack at a glance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1300"/>
        <w:gridCol w:w="4060"/>
      </w:tblGrid>
      <w:tr>
        <w:trPr>
          <w:tblHeader/>
        </w:trPr>
        <w:tc>
          <w:tcPr>
            <w:tcW w:type="dxa" w:w="17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Layer</w:t>
            </w:r>
          </w:p>
        </w:tc>
        <w:tc>
          <w:tcPr>
            <w:tcW w:type="dxa" w:w="22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Function</w:t>
            </w:r>
          </w:p>
        </w:tc>
        <w:tc>
          <w:tcPr>
            <w:tcW w:type="dxa" w:w="13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2026E Market</w:t>
            </w:r>
          </w:p>
        </w:tc>
        <w:tc>
          <w:tcPr>
            <w:tcW w:type="dxa" w:w="406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Top Names (Tickers)</w:t>
            </w:r>
          </w:p>
        </w:tc>
      </w:tr>
      <w:tr>
        <w:tc>
          <w:tcPr>
            <w:tcW w:type="dxa" w:w="1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10 — Apps &amp; Agents</w:t>
            </w:r>
          </w:p>
        </w:tc>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End-user AI products people pay for</w:t>
            </w:r>
          </w:p>
        </w:tc>
        <w:tc>
          <w:tcPr>
            <w:tcW w:type="dxa" w:w="1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~$30–40B</w:t>
            </w:r>
          </w:p>
        </w:tc>
        <w:tc>
          <w:tcPr>
            <w:tcW w:type="dxa" w:w="40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MSFT, GOOGL; private: OpenAI/Anthropic/Cursor</w:t>
            </w:r>
          </w:p>
        </w:tc>
      </w:tr>
      <w:tr>
        <w:tc>
          <w:tcPr>
            <w:tcW w:type="dxa" w:w="1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9 — Foundation Models</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LLMs sold via API or apps</w:t>
            </w:r>
          </w:p>
        </w:tc>
        <w:tc>
          <w:tcPr>
            <w:tcW w:type="dxa" w:w="1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~$100B ARR</w:t>
            </w:r>
          </w:p>
        </w:tc>
        <w:tc>
          <w:tcPr>
            <w:tcW w:type="dxa" w:w="40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Anthropic 31% / OpenAI 29% / Google 12%</w:t>
            </w:r>
          </w:p>
        </w:tc>
      </w:tr>
      <w:tr>
        <w:tc>
          <w:tcPr>
            <w:tcW w:type="dxa" w:w="1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8 — Cloud (Hyper + Neo)</w:t>
            </w:r>
          </w:p>
        </w:tc>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Compute-as-a-service</w:t>
            </w:r>
          </w:p>
        </w:tc>
        <w:tc>
          <w:tcPr>
            <w:tcW w:type="dxa" w:w="1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~$520B</w:t>
            </w:r>
          </w:p>
        </w:tc>
        <w:tc>
          <w:tcPr>
            <w:tcW w:type="dxa" w:w="40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AWS 30% / Azure 25% / GCP 13%; CRWV/NBIS</w:t>
            </w:r>
          </w:p>
        </w:tc>
      </w:tr>
      <w:tr>
        <w:tc>
          <w:tcPr>
            <w:tcW w:type="dxa" w:w="1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7 — Data Centers &amp; Builders</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Buildings &amp; contractors</w:t>
            </w:r>
          </w:p>
        </w:tc>
        <w:tc>
          <w:tcPr>
            <w:tcW w:type="dxa" w:w="1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$200B+</w:t>
            </w:r>
          </w:p>
        </w:tc>
        <w:tc>
          <w:tcPr>
            <w:tcW w:type="dxa" w:w="40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EQIX, DLR; PWR, FIX</w:t>
            </w:r>
          </w:p>
        </w:tc>
      </w:tr>
      <w:tr>
        <w:tc>
          <w:tcPr>
            <w:tcW w:type="dxa" w:w="1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6 — Networking + SiPho + Fiber + AI-RAN</w:t>
            </w:r>
          </w:p>
        </w:tc>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Wires, optics, fiber, AI radio</w:t>
            </w:r>
          </w:p>
        </w:tc>
        <w:tc>
          <w:tcPr>
            <w:tcW w:type="dxa" w:w="1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~$60B</w:t>
            </w:r>
          </w:p>
        </w:tc>
        <w:tc>
          <w:tcPr>
            <w:tcW w:type="dxa" w:w="40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AVGO, ANET, NVDA-Net, NOK, MRVL, COHR, LITE, GLW</w:t>
            </w:r>
          </w:p>
        </w:tc>
      </w:tr>
      <w:tr>
        <w:tc>
          <w:tcPr>
            <w:tcW w:type="dxa" w:w="1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5 — Servers</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AI servers + ODMs + PSUs</w:t>
            </w:r>
          </w:p>
        </w:tc>
        <w:tc>
          <w:tcPr>
            <w:tcW w:type="dxa" w:w="1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$444B FY25</w:t>
            </w:r>
          </w:p>
        </w:tc>
        <w:tc>
          <w:tcPr>
            <w:tcW w:type="dxa" w:w="40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Foxconn 2317.TW, DELL, SMCI</w:t>
            </w:r>
          </w:p>
        </w:tc>
      </w:tr>
      <w:tr>
        <w:tc>
          <w:tcPr>
            <w:tcW w:type="dxa" w:w="1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4 — AI Accelerators</w:t>
            </w:r>
          </w:p>
        </w:tc>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GPUs/ASICs</w:t>
            </w:r>
          </w:p>
        </w:tc>
        <w:tc>
          <w:tcPr>
            <w:tcW w:type="dxa" w:w="1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~$300B</w:t>
            </w:r>
          </w:p>
        </w:tc>
        <w:tc>
          <w:tcPr>
            <w:tcW w:type="dxa" w:w="40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NVDA ~86–90%, AVGO, AMD, MRVL, CBRS</w:t>
            </w:r>
          </w:p>
        </w:tc>
      </w:tr>
      <w:tr>
        <w:tc>
          <w:tcPr>
            <w:tcW w:type="dxa" w:w="1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3 — Memory + Storage</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HBM, DRAM, NAND, HDDs</w:t>
            </w:r>
          </w:p>
        </w:tc>
        <w:tc>
          <w:tcPr>
            <w:tcW w:type="dxa" w:w="1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~$300B+</w:t>
            </w:r>
          </w:p>
        </w:tc>
        <w:tc>
          <w:tcPr>
            <w:tcW w:type="dxa" w:w="40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SK Hynix, MU, Samsung; SNDK/WDC/STX</w:t>
            </w:r>
          </w:p>
        </w:tc>
      </w:tr>
      <w:tr>
        <w:tc>
          <w:tcPr>
            <w:tcW w:type="dxa" w:w="1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2 — Foundry + Packaging</w:t>
            </w:r>
          </w:p>
        </w:tc>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Chip manufacturing &amp; CoWoS</w:t>
            </w:r>
          </w:p>
        </w:tc>
        <w:tc>
          <w:tcPr>
            <w:tcW w:type="dxa" w:w="1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$200B</w:t>
            </w:r>
          </w:p>
        </w:tc>
        <w:tc>
          <w:tcPr>
            <w:tcW w:type="dxa" w:w="40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TSM 70%; AMKR, ASX</w:t>
            </w:r>
          </w:p>
        </w:tc>
      </w:tr>
      <w:tr>
        <w:tc>
          <w:tcPr>
            <w:tcW w:type="dxa" w:w="1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1 — EDA / Equipment / Materials</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Design tools + WFE + inputs</w:t>
            </w:r>
          </w:p>
        </w:tc>
        <w:tc>
          <w:tcPr>
            <w:tcW w:type="dxa" w:w="1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$140B+</w:t>
            </w:r>
          </w:p>
        </w:tc>
        <w:tc>
          <w:tcPr>
            <w:tcW w:type="dxa" w:w="40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SNPS/CDNS/ARM; ASML/AMAT/LRCX; Hoya, Hanmi</w:t>
            </w:r>
          </w:p>
        </w:tc>
      </w:tr>
      <w:tr>
        <w:tc>
          <w:tcPr>
            <w:tcW w:type="dxa" w:w="1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0 — Power &amp; Cooling</w:t>
            </w:r>
          </w:p>
        </w:tc>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Electricity + thermal + electrical</w:t>
            </w:r>
          </w:p>
        </w:tc>
        <w:tc>
          <w:tcPr>
            <w:tcW w:type="dxa" w:w="1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~$80B AI-relevant</w:t>
            </w:r>
          </w:p>
        </w:tc>
        <w:tc>
          <w:tcPr>
            <w:tcW w:type="dxa" w:w="40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VRT, SU.PA, ETN; CEG, VST, BE, BWXT</w:t>
            </w:r>
          </w:p>
        </w:tc>
      </w:tr>
    </w:tbl>
    <w:p>
      <w:pPr>
        <w:spacing w:after="220" w:before="0" w:line="300"/>
        <w:jc w:val="left"/>
      </w:pPr>
      <w:r>
        <w:rPr>
          <w:b w:val="false"/>
          <w:bCs w:val="false"/>
          <w:i/>
          <w:iCs/>
          <w:color w:val="595959"/>
          <w:sz w:val="17"/>
          <w:szCs w:val="17"/>
        </w:rPr>
        <w:t xml:space="preserve">Sources: Synergy Research, IDC, Counterpoint, TrendForce, Yole Group, Dell'Oro, Menlo Ventures, company filings.</w:t>
      </w:r>
    </w:p>
    <w:p>
      <w:r>
        <w:br w:type="page"/>
      </w:r>
    </w:p>
    <w:p>
      <w:pPr>
        <w:pStyle w:val="Heading1"/>
        <w:spacing w:after="200" w:before="360"/>
      </w:pPr>
      <w:r>
        <w:rPr>
          <w:b/>
          <w:bCs/>
          <w:color w:val="1F3A5F"/>
          <w:sz w:val="32"/>
          <w:szCs w:val="32"/>
        </w:rPr>
        <w:t xml:space="preserve">2. Hyperscaler Capex: $725B → Where Does It Go?</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400"/>
        <w:gridCol w:w="1400"/>
        <w:gridCol w:w="4460"/>
      </w:tblGrid>
      <w:tr>
        <w:trPr>
          <w:tblHeader/>
        </w:trPr>
        <w:tc>
          <w:tcPr>
            <w:tcW w:type="dxa" w:w="9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Ticker</w:t>
            </w:r>
          </w:p>
        </w:tc>
        <w:tc>
          <w:tcPr>
            <w:tcW w:type="dxa" w:w="20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Company</w:t>
            </w:r>
          </w:p>
        </w:tc>
        <w:tc>
          <w:tcPr>
            <w:tcW w:type="dxa" w:w="14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2025 Capex</w:t>
            </w:r>
          </w:p>
        </w:tc>
        <w:tc>
          <w:tcPr>
            <w:tcW w:type="dxa" w:w="14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2026 Guided</w:t>
            </w:r>
          </w:p>
        </w:tc>
        <w:tc>
          <w:tcPr>
            <w:tcW w:type="dxa" w:w="446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Cloud / AI Revenue (Q1 26)</w:t>
            </w:r>
          </w:p>
        </w:tc>
      </w:tr>
      <w:tr>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AMZN</w:t>
            </w:r>
          </w:p>
        </w:tc>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Amazon (AWS)</w:t>
            </w:r>
          </w:p>
        </w:tc>
        <w:tc>
          <w:tcPr>
            <w:tcW w:type="dxa" w:w="14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~$125B</w:t>
            </w:r>
          </w:p>
        </w:tc>
        <w:tc>
          <w:tcPr>
            <w:tcW w:type="dxa" w:w="14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~$200B</w:t>
            </w:r>
          </w:p>
        </w:tc>
        <w:tc>
          <w:tcPr>
            <w:tcW w:type="dxa" w:w="44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AWS $37.6B (+28%); Trainium $20B run rate</w:t>
            </w:r>
          </w:p>
        </w:tc>
      </w:tr>
      <w:tr>
        <w:tc>
          <w:tcPr>
            <w:tcW w:type="dxa" w:w="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MSFT</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Microsoft</w:t>
            </w:r>
          </w:p>
        </w:tc>
        <w:tc>
          <w:tcPr>
            <w:tcW w:type="dxa" w:w="1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~$115B</w:t>
            </w:r>
          </w:p>
        </w:tc>
        <w:tc>
          <w:tcPr>
            <w:tcW w:type="dxa" w:w="1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$190B</w:t>
            </w:r>
          </w:p>
        </w:tc>
        <w:tc>
          <w:tcPr>
            <w:tcW w:type="dxa" w:w="44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Azure +40% CC; AI $37B (+123%); $627B RPO</w:t>
            </w:r>
          </w:p>
        </w:tc>
      </w:tr>
      <w:tr>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GOOGL</w:t>
            </w:r>
          </w:p>
        </w:tc>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Alphabet</w:t>
            </w:r>
          </w:p>
        </w:tc>
        <w:tc>
          <w:tcPr>
            <w:tcW w:type="dxa" w:w="14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~$95B</w:t>
            </w:r>
          </w:p>
        </w:tc>
        <w:tc>
          <w:tcPr>
            <w:tcW w:type="dxa" w:w="14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$185–190B</w:t>
            </w:r>
          </w:p>
        </w:tc>
        <w:tc>
          <w:tcPr>
            <w:tcW w:type="dxa" w:w="44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Google Cloud $20B (+63%); $460B backlog</w:t>
            </w:r>
          </w:p>
        </w:tc>
      </w:tr>
      <w:tr>
        <w:tc>
          <w:tcPr>
            <w:tcW w:type="dxa" w:w="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META</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Meta</w:t>
            </w:r>
          </w:p>
        </w:tc>
        <w:tc>
          <w:tcPr>
            <w:tcW w:type="dxa" w:w="1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~$80B</w:t>
            </w:r>
          </w:p>
        </w:tc>
        <w:tc>
          <w:tcPr>
            <w:tcW w:type="dxa" w:w="1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$135–145B</w:t>
            </w:r>
          </w:p>
        </w:tc>
        <w:tc>
          <w:tcPr>
            <w:tcW w:type="dxa" w:w="44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1st-party AI-driven ad uplift</w:t>
            </w:r>
          </w:p>
        </w:tc>
      </w:tr>
      <w:tr>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ORCL</w:t>
            </w:r>
          </w:p>
        </w:tc>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Oracle</w:t>
            </w:r>
          </w:p>
        </w:tc>
        <w:tc>
          <w:tcPr>
            <w:tcW w:type="dxa" w:w="14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~$25B</w:t>
            </w:r>
          </w:p>
        </w:tc>
        <w:tc>
          <w:tcPr>
            <w:tcW w:type="dxa" w:w="14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~$50B</w:t>
            </w:r>
          </w:p>
        </w:tc>
        <w:tc>
          <w:tcPr>
            <w:tcW w:type="dxa" w:w="44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Stargate; OpenAI ~$300B from 2027</w:t>
            </w:r>
          </w:p>
        </w:tc>
      </w:tr>
    </w:tbl>
    <w:p>
      <w:pPr>
        <w:pStyle w:val="Heading2"/>
        <w:spacing w:after="140" w:before="280"/>
      </w:pPr>
      <w:r>
        <w:rPr>
          <w:b/>
          <w:bCs/>
          <w:color w:val="1F3A5F"/>
          <w:sz w:val="26"/>
          <w:szCs w:val="26"/>
        </w:rPr>
        <w:t xml:space="preserve">Capex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500"/>
        <w:gridCol w:w="4260"/>
      </w:tblGrid>
      <w:tr>
        <w:trPr>
          <w:tblHeader/>
        </w:trPr>
        <w:tc>
          <w:tcPr>
            <w:tcW w:type="dxa" w:w="23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Category</w:t>
            </w:r>
          </w:p>
        </w:tc>
        <w:tc>
          <w:tcPr>
            <w:tcW w:type="dxa" w:w="13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 of $725B</w:t>
            </w:r>
          </w:p>
        </w:tc>
        <w:tc>
          <w:tcPr>
            <w:tcW w:type="dxa" w:w="15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 Allocation</w:t>
            </w:r>
          </w:p>
        </w:tc>
        <w:tc>
          <w:tcPr>
            <w:tcW w:type="dxa" w:w="426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Primary Beneficiaries (Tickers)</w:t>
            </w:r>
          </w:p>
        </w:tc>
      </w:tr>
      <w:tr>
        <w:tc>
          <w:tcPr>
            <w:tcW w:type="dxa" w:w="2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AI accelerators (GPUs + ASICs)</w:t>
            </w:r>
          </w:p>
        </w:tc>
        <w:tc>
          <w:tcPr>
            <w:tcW w:type="dxa" w:w="1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~40–45%</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$290–325B</w:t>
            </w:r>
          </w:p>
        </w:tc>
        <w:tc>
          <w:tcPr>
            <w:tcW w:type="dxa" w:w="42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NVDA, AVGO, MRVL, AMD</w:t>
            </w:r>
          </w:p>
        </w:tc>
      </w:tr>
      <w:tr>
        <w:tc>
          <w:tcPr>
            <w:tcW w:type="dxa" w:w="2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HBM + system memory</w:t>
            </w:r>
          </w:p>
        </w:tc>
        <w:tc>
          <w:tcPr>
            <w:tcW w:type="dxa" w:w="1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~10–12%</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$70–85B</w:t>
            </w:r>
          </w:p>
        </w:tc>
        <w:tc>
          <w:tcPr>
            <w:tcW w:type="dxa" w:w="42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000660.KS, MU, 005930.KS</w:t>
            </w:r>
          </w:p>
        </w:tc>
      </w:tr>
      <w:tr>
        <w:tc>
          <w:tcPr>
            <w:tcW w:type="dxa" w:w="2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Storage (SSDs + HDDs)</w:t>
            </w:r>
          </w:p>
        </w:tc>
        <w:tc>
          <w:tcPr>
            <w:tcW w:type="dxa" w:w="1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~3–4%</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$22–30B</w:t>
            </w:r>
          </w:p>
        </w:tc>
        <w:tc>
          <w:tcPr>
            <w:tcW w:type="dxa" w:w="42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SNDK, WDC, STX</w:t>
            </w:r>
          </w:p>
        </w:tc>
      </w:tr>
      <w:tr>
        <w:tc>
          <w:tcPr>
            <w:tcW w:type="dxa" w:w="2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Servers, CPUs, NICs, PSUs</w:t>
            </w:r>
          </w:p>
        </w:tc>
        <w:tc>
          <w:tcPr>
            <w:tcW w:type="dxa" w:w="1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~8–10%</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$60–70B</w:t>
            </w:r>
          </w:p>
        </w:tc>
        <w:tc>
          <w:tcPr>
            <w:tcW w:type="dxa" w:w="42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DELL, SMCI, 2317.TW, 2308.TW</w:t>
            </w:r>
          </w:p>
        </w:tc>
      </w:tr>
      <w:tr>
        <w:tc>
          <w:tcPr>
            <w:tcW w:type="dxa" w:w="2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Data-center shell, land, fiber</w:t>
            </w:r>
          </w:p>
        </w:tc>
        <w:tc>
          <w:tcPr>
            <w:tcW w:type="dxa" w:w="1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~10–12%</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$70–85B</w:t>
            </w:r>
          </w:p>
        </w:tc>
        <w:tc>
          <w:tcPr>
            <w:tcW w:type="dxa" w:w="42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EQIX, DLR, GLW</w:t>
            </w:r>
          </w:p>
        </w:tc>
      </w:tr>
      <w:tr>
        <w:tc>
          <w:tcPr>
            <w:tcW w:type="dxa" w:w="2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Power &amp; electrical equipment</w:t>
            </w:r>
          </w:p>
        </w:tc>
        <w:tc>
          <w:tcPr>
            <w:tcW w:type="dxa" w:w="1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~8–10%</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$60–75B</w:t>
            </w:r>
          </w:p>
        </w:tc>
        <w:tc>
          <w:tcPr>
            <w:tcW w:type="dxa" w:w="42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SU.PA, VRT, ETN, GEV, BE, BWXT</w:t>
            </w:r>
          </w:p>
        </w:tc>
      </w:tr>
      <w:tr>
        <w:tc>
          <w:tcPr>
            <w:tcW w:type="dxa" w:w="2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Networking</w:t>
            </w:r>
          </w:p>
        </w:tc>
        <w:tc>
          <w:tcPr>
            <w:tcW w:type="dxa" w:w="1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~6–8%</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$45–60B</w:t>
            </w:r>
          </w:p>
        </w:tc>
        <w:tc>
          <w:tcPr>
            <w:tcW w:type="dxa" w:w="42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ANET, NVDA-Net, AVGO, NOK, COHR, LITE, GLW</w:t>
            </w:r>
          </w:p>
        </w:tc>
      </w:tr>
      <w:tr>
        <w:tc>
          <w:tcPr>
            <w:tcW w:type="dxa" w:w="2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Cooling</w:t>
            </w:r>
          </w:p>
        </w:tc>
        <w:tc>
          <w:tcPr>
            <w:tcW w:type="dxa" w:w="1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~3–4%</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$22–30B</w:t>
            </w:r>
          </w:p>
        </w:tc>
        <w:tc>
          <w:tcPr>
            <w:tcW w:type="dxa" w:w="42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VRT, SU.PA, TT, JCI, 6367.T</w:t>
            </w:r>
          </w:p>
        </w:tc>
      </w:tr>
      <w:tr>
        <w:tc>
          <w:tcPr>
            <w:tcW w:type="dxa" w:w="2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Software, EDA, security</w:t>
            </w:r>
          </w:p>
        </w:tc>
        <w:tc>
          <w:tcPr>
            <w:tcW w:type="dxa" w:w="1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~3–5%</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$25–35B</w:t>
            </w:r>
          </w:p>
        </w:tc>
        <w:tc>
          <w:tcPr>
            <w:tcW w:type="dxa" w:w="42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SNPS, CDNS; in-house</w:t>
            </w:r>
          </w:p>
        </w:tc>
      </w:tr>
    </w:tbl>
    <w:p>
      <w:r>
        <w:br w:type="page"/>
      </w:r>
    </w:p>
    <w:p>
      <w:pPr>
        <w:pStyle w:val="Heading1"/>
        <w:spacing w:after="200" w:before="360"/>
      </w:pPr>
      <w:r>
        <w:rPr>
          <w:b/>
          <w:bCs/>
          <w:color w:val="1F3A5F"/>
          <w:sz w:val="32"/>
          <w:szCs w:val="32"/>
        </w:rPr>
        <w:t xml:space="preserve">3. How the Layers Connect</w:t>
      </w:r>
    </w:p>
    <w:p>
      <w:pPr>
        <w:pStyle w:val="Heading2"/>
        <w:spacing w:after="140" w:before="280"/>
      </w:pPr>
      <w:r>
        <w:rPr>
          <w:b/>
          <w:bCs/>
          <w:color w:val="1F3A5F"/>
          <w:sz w:val="26"/>
          <w:szCs w:val="26"/>
        </w:rPr>
        <w:t xml:space="preserve">3.1 Money flow — dollar's journey from consumer subscription to electricity</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660"/>
      </w:tblGrid>
      <w:tr>
        <w:trPr>
          <w:tblHeader/>
        </w:trPr>
        <w:tc>
          <w:tcPr>
            <w:tcW w:type="dxa" w:w="20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Step</w:t>
            </w:r>
          </w:p>
        </w:tc>
        <w:tc>
          <w:tcPr>
            <w:tcW w:type="dxa" w:w="26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Who Pays Whom</w:t>
            </w:r>
          </w:p>
        </w:tc>
        <w:tc>
          <w:tcPr>
            <w:tcW w:type="dxa" w:w="466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Example Flow</w:t>
            </w:r>
          </w:p>
        </w:tc>
      </w:tr>
      <w:tr>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1. End-customers → APPS (L10)</w:t>
            </w:r>
          </w:p>
        </w:tc>
        <w:tc>
          <w:tcPr>
            <w:tcW w:type="dxa" w:w="26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Consumers + enterprises pay $20-200/mo subscriptions or per-seat licenses</w:t>
            </w:r>
          </w:p>
        </w:tc>
        <w:tc>
          <w:tcPr>
            <w:tcW w:type="dxa" w:w="46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Person pays $20/mo for ChatGPT Plus → OpenAI</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2. APPS → FOUNDATION MODELS (L9)</w:t>
            </w:r>
          </w:p>
        </w:tc>
        <w:tc>
          <w:tcPr>
            <w:tcW w:type="dxa" w:w="2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Apps either ARE the model, or pay per-token via API</w:t>
            </w:r>
          </w:p>
        </w:tc>
        <w:tc>
          <w:tcPr>
            <w:tcW w:type="dxa" w:w="46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Cursor pays Anthropic for Claude API</w:t>
            </w:r>
          </w:p>
        </w:tc>
      </w:tr>
      <w:tr>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3. LLMs → CLOUD (L8)</w:t>
            </w:r>
          </w:p>
        </w:tc>
        <w:tc>
          <w:tcPr>
            <w:tcW w:type="dxa" w:w="26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LLM cos are the biggest customers of hyperscalers + neoclouds</w:t>
            </w:r>
          </w:p>
        </w:tc>
        <w:tc>
          <w:tcPr>
            <w:tcW w:type="dxa" w:w="46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Anthropic $100B / 10yr AWS; OpenAI $300B / 5yr Oracle</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4. CLOUD → DATA CENTERS (L7)</w:t>
            </w:r>
          </w:p>
        </w:tc>
        <w:tc>
          <w:tcPr>
            <w:tcW w:type="dxa" w:w="2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Hyperscalers own DCs or lease from REITs; hire builders</w:t>
            </w:r>
          </w:p>
        </w:tc>
        <w:tc>
          <w:tcPr>
            <w:tcW w:type="dxa" w:w="46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MSFT leases Equinix space; pays Quanta to build new sites</w:t>
            </w:r>
          </w:p>
        </w:tc>
      </w:tr>
      <w:tr>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5. CLOUD/DC → NETWORKING (L6)</w:t>
            </w:r>
          </w:p>
        </w:tc>
        <w:tc>
          <w:tcPr>
            <w:tcW w:type="dxa" w:w="26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Each rack needs switches, optics, fiber</w:t>
            </w:r>
          </w:p>
        </w:tc>
        <w:tc>
          <w:tcPr>
            <w:tcW w:type="dxa" w:w="46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AWS buys Arista switches + Corning fiber + Lumentum 1.6T optics</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6. CLOUD → SERVERS (L5)</w:t>
            </w:r>
          </w:p>
        </w:tc>
        <w:tc>
          <w:tcPr>
            <w:tcW w:type="dxa" w:w="2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ODMs build the physical rack assemblies</w:t>
            </w:r>
          </w:p>
        </w:tc>
        <w:tc>
          <w:tcPr>
            <w:tcW w:type="dxa" w:w="46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MSFT pays Foxconn to assemble GB200 NVL72 racks</w:t>
            </w:r>
          </w:p>
        </w:tc>
      </w:tr>
      <w:tr>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7. SERVERS → AI ACCELERATORS (L4)</w:t>
            </w:r>
          </w:p>
        </w:tc>
        <w:tc>
          <w:tcPr>
            <w:tcW w:type="dxa" w:w="26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GPUs/ASICs = 40-45% of server cost</w:t>
            </w:r>
          </w:p>
        </w:tc>
        <w:tc>
          <w:tcPr>
            <w:tcW w:type="dxa" w:w="46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Foxconn buys NVIDIA Blackwell GPUs</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8. CHIPS → MEMORY (L3)</w:t>
            </w:r>
          </w:p>
        </w:tc>
        <w:tc>
          <w:tcPr>
            <w:tcW w:type="dxa" w:w="2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Every GPU needs HBM + DRAM + storage</w:t>
            </w:r>
          </w:p>
        </w:tc>
        <w:tc>
          <w:tcPr>
            <w:tcW w:type="dxa" w:w="46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NVIDIA buys HBM3E from SK Hynix</w:t>
            </w:r>
          </w:p>
        </w:tc>
      </w:tr>
      <w:tr>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9. CHIPS → FOUNDRY (L2)</w:t>
            </w:r>
          </w:p>
        </w:tc>
        <w:tc>
          <w:tcPr>
            <w:tcW w:type="dxa" w:w="26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Fabless designers send designs to TSMC to manufacture</w:t>
            </w:r>
          </w:p>
        </w:tc>
        <w:tc>
          <w:tcPr>
            <w:tcW w:type="dxa" w:w="46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NVIDIA pays TSMC to fabricate + CoWoS-package Blackwell</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10. FOUNDRIES → EDA + EQUIPMENT (L1)</w:t>
            </w:r>
          </w:p>
        </w:tc>
        <w:tc>
          <w:tcPr>
            <w:tcW w:type="dxa" w:w="2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Foundries buy WFE + chemicals + software + photomask blanks</w:t>
            </w:r>
          </w:p>
        </w:tc>
        <w:tc>
          <w:tcPr>
            <w:tcW w:type="dxa" w:w="46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TSMC buys ASML EUV machines + Hoya photomask blanks</w:t>
            </w:r>
          </w:p>
        </w:tc>
      </w:tr>
      <w:tr>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11. EVERYTHING → POWER (L0)</w:t>
            </w:r>
          </w:p>
        </w:tc>
        <w:tc>
          <w:tcPr>
            <w:tcW w:type="dxa" w:w="26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Every layer needs electricity; cooling removes heat</w:t>
            </w:r>
          </w:p>
        </w:tc>
        <w:tc>
          <w:tcPr>
            <w:tcW w:type="dxa" w:w="46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AWS signs Talen 960 MW nuclear PPA for PA DC</w:t>
            </w:r>
          </w:p>
        </w:tc>
      </w:tr>
    </w:tbl>
    <w:p>
      <w:pPr>
        <w:pStyle w:val="Heading2"/>
        <w:spacing w:after="140" w:before="280"/>
      </w:pPr>
      <w:r>
        <w:rPr>
          <w:b/>
          <w:bCs/>
          <w:color w:val="1F3A5F"/>
          <w:sz w:val="26"/>
          <w:szCs w:val="26"/>
        </w:rPr>
        <w:t xml:space="preserve">3.2 The chain is not strictly linear</w:t>
      </w:r>
    </w:p>
    <w:p>
      <w:pPr>
        <w:pStyle w:val="ListParagraph"/>
        <w:numPr>
          <w:ilvl w:val="0"/>
          <w:numId w:val="2"/>
        </w:numPr>
        <w:spacing w:after="80" w:line="300"/>
      </w:pPr>
      <w:r>
        <w:rPr>
          <w:sz w:val="22"/>
          <w:szCs w:val="22"/>
        </w:rPr>
        <w:t xml:space="preserve">A single hyperscaler capex dollar fans out across all 11 layers. Bottlenecks at any layer (HBM in 2024-25, CoWoS today, power in 2026-27) constrain the entire chain.</w:t>
      </w:r>
    </w:p>
    <w:p>
      <w:pPr>
        <w:pStyle w:val="ListParagraph"/>
        <w:numPr>
          <w:ilvl w:val="0"/>
          <w:numId w:val="2"/>
        </w:numPr>
        <w:spacing w:after="80" w:line="300"/>
      </w:pPr>
      <w:r>
        <w:rPr>
          <w:sz w:val="22"/>
          <w:szCs w:val="22"/>
        </w:rPr>
        <w:t xml:space="preserve">Hyperscalers (L8) often own custom chips (L4: AWS Trainium, Google TPU) and AI apps (L10: Microsoft Copilot). Where a company sits depends on what business segment you're analyzing.</w:t>
      </w:r>
    </w:p>
    <w:p>
      <w:pPr>
        <w:pStyle w:val="Heading2"/>
        <w:spacing w:after="140" w:before="280"/>
      </w:pPr>
      <w:r>
        <w:rPr>
          <w:b/>
          <w:bCs/>
          <w:color w:val="1F3A5F"/>
          <w:sz w:val="26"/>
          <w:szCs w:val="26"/>
        </w:rPr>
        <w:t xml:space="preserve">3.3 Value capture by layer — who keeps the most of each $ of capex</w:t>
      </w:r>
    </w:p>
    <w:p>
      <w:pPr>
        <w:spacing w:after="100" w:before="0" w:line="300"/>
        <w:jc w:val="left"/>
      </w:pPr>
      <w:r>
        <w:rPr>
          <w:b w:val="false"/>
          <w:bCs w:val="false"/>
          <w:i w:val="false"/>
          <w:iCs w:val="false"/>
          <w:color w:val="000000"/>
          <w:sz w:val="22"/>
          <w:szCs w:val="22"/>
        </w:rPr>
        <w:t xml:space="preserve">Two metrics together explain value capture. (1) Wallet share — what percent of total AI capex flows into each layer. (2) Gross margin — what percent of that revenue the supplier keeps. Multiplying the two gives 'profit share of total capex' — the dollars actually staying in each layer.</w:t>
      </w:r>
    </w:p>
    <w:tbl>
      <w:tblPr>
        <w:tblW w:type="dxa" w:w="104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1500"/>
        <w:gridCol w:w="3260"/>
      </w:tblGrid>
      <w:tr>
        <w:trPr>
          <w:tblHeader/>
        </w:trPr>
        <w:tc>
          <w:tcPr>
            <w:tcW w:type="dxa" w:w="19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Layer</w:t>
            </w:r>
          </w:p>
        </w:tc>
        <w:tc>
          <w:tcPr>
            <w:tcW w:type="dxa" w:w="19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Wallet Share of $725B Capex</w:t>
            </w:r>
          </w:p>
        </w:tc>
        <w:tc>
          <w:tcPr>
            <w:tcW w:type="dxa" w:w="19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Representative Margin</w:t>
            </w:r>
          </w:p>
        </w:tc>
        <w:tc>
          <w:tcPr>
            <w:tcW w:type="dxa" w:w="15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Pricing Power (1-10)</w:t>
            </w:r>
          </w:p>
        </w:tc>
        <w:tc>
          <w:tcPr>
            <w:tcW w:type="dxa" w:w="326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What this tells us</w:t>
            </w:r>
          </w:p>
        </w:tc>
      </w:tr>
      <w:tr>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L4 — AI Accelerators (NVDA)</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~40-45%</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NVDA 73% GM, 75% op margin</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10 — monopoly</w:t>
            </w:r>
          </w:p>
        </w:tc>
        <w:tc>
          <w:tcPr>
            <w:tcW w:type="dxa" w:w="32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NVDA captures ~$200B+ profit from $725B capex = largest single profit pool in the chain</w:t>
            </w:r>
          </w:p>
        </w:tc>
      </w:tr>
      <w:tr>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L2 — Foundry (TSMC)</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~5-7% (chip cost component)</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TSMC 66% GM, 49% net margin</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9 — near-monopoly</w:t>
            </w:r>
          </w:p>
        </w:tc>
        <w:tc>
          <w:tcPr>
            <w:tcW w:type="dxa" w:w="32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TSMC profit = ~$60B/yr from $122B revenue (FY25). Highest-quality monopoly in the chain</w:t>
            </w:r>
          </w:p>
        </w:tc>
      </w:tr>
      <w:tr>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L3a — HBM (SK Hynix/MU)</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~10-12% memory total</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SK Hynix 58% op margin Q4 25; HBM contracts +20% in 2026</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9 — sold-out oligopoly</w:t>
            </w:r>
          </w:p>
        </w:tc>
        <w:tc>
          <w:tcPr>
            <w:tcW w:type="dxa" w:w="32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Memory bottleneck → pricing power: HBM TAM $35B (2025) → $58B (2026) → $100B (2028)</w:t>
            </w:r>
          </w:p>
        </w:tc>
      </w:tr>
      <w:tr>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L1a — EDA (SNPS/CDNS)</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~1% (R&amp;D layer)</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SNPS 35% op margin</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9 — duopoly</w:t>
            </w:r>
          </w:p>
        </w:tc>
        <w:tc>
          <w:tcPr>
            <w:tcW w:type="dxa" w:w="32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Software economics: ~95% gross margins on incremental seats</w:t>
            </w:r>
          </w:p>
        </w:tc>
      </w:tr>
      <w:tr>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L1b — EUV (ASML)</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~3-4% (litho component)</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ASML 51% GM, ~35% op margin</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10 — pure monopoly</w:t>
            </w:r>
          </w:p>
        </w:tc>
        <w:tc>
          <w:tcPr>
            <w:tcW w:type="dxa" w:w="32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Sole supplier of EUV. Each High-NA machine = $380M. No substitute exists</w:t>
            </w:r>
          </w:p>
        </w:tc>
      </w:tr>
      <w:tr>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L7 — DC REITs</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~3-4% (real estate component)</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EQIX 49% GM, 51% adj EBITDA margin</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7 — strong interconnection moats</w:t>
            </w:r>
          </w:p>
        </w:tc>
        <w:tc>
          <w:tcPr>
            <w:tcW w:type="dxa" w:w="32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REIT economics: high recurring revenue but capital-intensive. AFFO growth 9-13%</w:t>
            </w:r>
          </w:p>
        </w:tc>
      </w:tr>
      <w:tr>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L0 — Power &amp; Equip</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~10-12%</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VRT 22% op margin; SU.PA 17%; CEG 30% (utility-style)</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6-7 — supply-constrained</w:t>
            </w:r>
          </w:p>
        </w:tc>
        <w:tc>
          <w:tcPr>
            <w:tcW w:type="dxa" w:w="32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Multiple suppliers but transformer/switchgear backlogs are years long</w:t>
            </w:r>
          </w:p>
        </w:tc>
      </w:tr>
      <w:tr>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L6 — Networking + Optics</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~6-8%</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ANET 41% op margin; LITE 32%; AVGO 50%</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7-8 — capacity constrained</w:t>
            </w:r>
          </w:p>
        </w:tc>
        <w:tc>
          <w:tcPr>
            <w:tcW w:type="dxa" w:w="32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Optics specifically (LITE/COHR) are supply-bottlenecked through 2027</w:t>
            </w:r>
          </w:p>
        </w:tc>
      </w:tr>
      <w:tr>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L8 — Cloud (Hyperscale)</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Captures L10 → L8 revenue</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Azure ~50% op margin; AWS 35%</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8 — three-player oligopoly</w:t>
            </w:r>
          </w:p>
        </w:tc>
        <w:tc>
          <w:tcPr>
            <w:tcW w:type="dxa" w:w="32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Hyperscalers capture LLM compute spend at 35-50% margins</w:t>
            </w:r>
          </w:p>
        </w:tc>
      </w:tr>
      <w:tr>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L5 — Servers (Branded OEM)</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~8-10%</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DELL 20% GM, 8% op margin; SMCI 9-12% GM</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3-4 — commoditized</w:t>
            </w:r>
          </w:p>
        </w:tc>
        <w:tc>
          <w:tcPr>
            <w:tcW w:type="dxa" w:w="32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Branded OEMs squeezed by ODMs below + GPU costs above</w:t>
            </w:r>
          </w:p>
        </w:tc>
      </w:tr>
      <w:tr>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L5 — ODMs (Foxconn)</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Same wallet share as above</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Foxconn 5-7% GM on AI servers</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2 — near-commodity</w:t>
            </w:r>
          </w:p>
        </w:tc>
        <w:tc>
          <w:tcPr>
            <w:tcW w:type="dxa" w:w="32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ODMs run on razor-thin margins; volume game</w:t>
            </w:r>
          </w:p>
        </w:tc>
      </w:tr>
    </w:tbl>
    <w:p>
      <w:pPr>
        <w:spacing w:after="220" w:before="0" w:line="300"/>
        <w:jc w:val="left"/>
      </w:pPr>
      <w:r>
        <w:rPr>
          <w:b w:val="false"/>
          <w:bCs w:val="false"/>
          <w:i/>
          <w:iCs/>
          <w:color w:val="595959"/>
          <w:sz w:val="17"/>
          <w:szCs w:val="17"/>
        </w:rPr>
        <w:t xml:space="preserve">Source: Company Q4 25 / Q1 26 earnings filings (NVDA, TSM, ASML, SNPS, EQIX, VRT, SU.PA, CEG, ANET, LITE, AVGO, DELL, SMCI); SK Hynix 2025 full-year results; Foxconn AI server margin commentary.</w:t>
      </w:r>
    </w:p>
    <w:p>
      <w:pPr>
        <w:spacing w:after="100" w:before="0" w:line="300"/>
        <w:jc w:val="left"/>
      </w:pPr>
      <w:r>
        <w:rPr>
          <w:b/>
          <w:bCs/>
          <w:i w:val="false"/>
          <w:iCs w:val="false"/>
          <w:color w:val="000000"/>
          <w:sz w:val="22"/>
          <w:szCs w:val="22"/>
        </w:rPr>
        <w:t xml:space="preserve">Three observations from this map:</w:t>
      </w:r>
    </w:p>
    <w:p>
      <w:pPr>
        <w:pStyle w:val="ListParagraph"/>
        <w:numPr>
          <w:ilvl w:val="0"/>
          <w:numId w:val="2"/>
        </w:numPr>
        <w:spacing w:after="80" w:line="300"/>
      </w:pPr>
      <w:r>
        <w:rPr>
          <w:sz w:val="22"/>
          <w:szCs w:val="22"/>
        </w:rPr>
        <w:t xml:space="preserve">NVIDIA captures the largest single profit pool in the entire chain — roughly $200B in annual profit from a $300B revenue base, equivalent to ~30% of all hyperscaler AI capex sticking to one company.</w:t>
      </w:r>
    </w:p>
    <w:p>
      <w:pPr>
        <w:pStyle w:val="ListParagraph"/>
        <w:numPr>
          <w:ilvl w:val="0"/>
          <w:numId w:val="2"/>
        </w:numPr>
        <w:spacing w:after="80" w:line="300"/>
      </w:pPr>
      <w:r>
        <w:rPr>
          <w:sz w:val="22"/>
          <w:szCs w:val="22"/>
        </w:rPr>
        <w:t xml:space="preserve">The highest-quality monopolies cluster at the input end (L1, L2): ASML, TSMC, Hoya, Hanmi. Their margins are durable because the bar to replace them is technology + decades of capital, not just price.</w:t>
      </w:r>
    </w:p>
    <w:p>
      <w:pPr>
        <w:pStyle w:val="ListParagraph"/>
        <w:numPr>
          <w:ilvl w:val="0"/>
          <w:numId w:val="2"/>
        </w:numPr>
        <w:spacing w:after="80" w:line="300"/>
      </w:pPr>
      <w:r>
        <w:rPr>
          <w:sz w:val="22"/>
          <w:szCs w:val="22"/>
        </w:rPr>
        <w:t xml:space="preserve">The lowest-value layer is hardware integration (L5 Branded OEMs and ODMs): the work is real and growing, but margins compress as scale increases. Foxconn at 5-7% GM on AI servers vs NVIDIA at 73% explains why public-market AI investing has converged so heavily into chip + memory + equipment names.</w:t>
      </w:r>
    </w:p>
    <w:p>
      <w:r>
        <w:br w:type="page"/>
      </w:r>
    </w:p>
    <w:p>
      <w:pPr>
        <w:pStyle w:val="Heading1"/>
        <w:spacing w:after="200" w:before="360"/>
      </w:pPr>
      <w:r>
        <w:rPr>
          <w:b/>
          <w:bCs/>
          <w:color w:val="1F3A5F"/>
          <w:sz w:val="32"/>
          <w:szCs w:val="32"/>
        </w:rPr>
        <w:t xml:space="preserve">4. The AI Supply Chain — Layer by Layer</w:t>
      </w:r>
    </w:p>
    <w:p>
      <w:pPr>
        <w:pStyle w:val="Heading2"/>
        <w:spacing w:after="140" w:before="280"/>
      </w:pPr>
      <w:r>
        <w:rPr>
          <w:b/>
          <w:bCs/>
          <w:color w:val="1F3A5F"/>
          <w:sz w:val="26"/>
          <w:szCs w:val="26"/>
        </w:rPr>
        <w:t xml:space="preserve">4.1 Layer 10 — Applications &amp; Agents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480"/>
        <w:gridCol w:w="3480"/>
        <w:gridCol w:w="3480"/>
      </w:tblGrid>
      <w:tr>
        <w:tc>
          <w:tcPr>
            <w:tcW w:type="dxa" w:w="3480"/>
            <w:tcBorders>
              <w:top w:val="single" w:color="BFBFBF" w:sz="4"/>
              <w:left w:val="single" w:color="BFBFBF" w:sz="4"/>
              <w:bottom w:val="single" w:color="BFBFBF" w:sz="4"/>
              <w:right w:val="single" w:color="BFBFBF" w:sz="4"/>
            </w:tcBorders>
            <w:shd w:fill="FEECEC" w:val="clear"/>
            <w:tcMar>
              <w:top w:type="dxa" w:w="140"/>
              <w:left w:type="dxa" w:w="160"/>
              <w:bottom w:type="dxa" w:w="140"/>
              <w:right w:type="dxa" w:w="160"/>
            </w:tcMar>
            <w:vAlign w:val="top"/>
          </w:tcPr>
          <w:p>
            <w:pPr>
              <w:spacing w:after="80" w:line="260"/>
            </w:pPr>
            <w:r>
              <w:rPr>
                <w:b/>
                <w:bCs/>
                <w:color w:val="1F3A5F"/>
                <w:sz w:val="20"/>
                <w:szCs w:val="20"/>
              </w:rPr>
              <w:t xml:space="preserve">Bottleneck</w:t>
            </w:r>
          </w:p>
          <w:p>
            <w:pPr>
              <w:spacing w:after="60" w:line="260"/>
            </w:pPr>
            <w:r>
              <w:rPr>
                <w:sz w:val="18"/>
                <w:szCs w:val="18"/>
              </w:rPr>
              <w:t xml:space="preserve">LOW. Apps depend on Layer 9 model availability + Layer 8 compute. Cursor-style apps face customer-acquisition costs rather than capacity limits.</w:t>
            </w:r>
          </w:p>
          <w:p>
            <w:pPr>
              <w:spacing w:after="60" w:line="260"/>
            </w:pPr>
            <w:r>
              <w:rPr>
                <w:sz w:val="18"/>
                <w:szCs w:val="18"/>
              </w:rPr>
              <w:t xml:space="preserve">Resolution: not really a bottleneck; pricing competition is the main constraint as Cursor/Cognition/Windsurf race for share.</w:t>
            </w:r>
          </w:p>
        </w:tc>
        <w:tc>
          <w:tcPr>
            <w:tcW w:type="dxa" w:w="3480"/>
            <w:tcBorders>
              <w:top w:val="single" w:color="BFBFBF" w:sz="4"/>
              <w:left w:val="single" w:color="BFBFBF" w:sz="4"/>
              <w:bottom w:val="single" w:color="BFBFBF" w:sz="4"/>
              <w:right w:val="single" w:color="BFBFBF" w:sz="4"/>
            </w:tcBorders>
            <w:shd w:fill="EDF4FF" w:val="clear"/>
            <w:tcMar>
              <w:top w:type="dxa" w:w="140"/>
              <w:left w:type="dxa" w:w="160"/>
              <w:bottom w:type="dxa" w:w="140"/>
              <w:right w:type="dxa" w:w="160"/>
            </w:tcMar>
            <w:vAlign w:val="top"/>
          </w:tcPr>
          <w:p>
            <w:pPr>
              <w:spacing w:after="80" w:line="260"/>
            </w:pPr>
            <w:r>
              <w:rPr>
                <w:b/>
                <w:bCs/>
                <w:color w:val="1F3A5F"/>
                <w:sz w:val="20"/>
                <w:szCs w:val="20"/>
              </w:rPr>
              <w:t xml:space="preserve">Market Size</w:t>
            </w:r>
          </w:p>
          <w:p>
            <w:pPr>
              <w:spacing w:after="60" w:line="260"/>
            </w:pPr>
            <w:r>
              <w:rPr>
                <w:sz w:val="18"/>
                <w:szCs w:val="18"/>
              </w:rPr>
              <w:t xml:space="preserve">$30-40B in 2026E (Counterpoint).</w:t>
            </w:r>
          </w:p>
          <w:p>
            <w:pPr>
              <w:spacing w:after="60" w:line="260"/>
            </w:pPr>
            <w:r>
              <w:rPr>
                <w:sz w:val="18"/>
                <w:szCs w:val="18"/>
              </w:rPr>
              <w:t xml:space="preserve">Fastest-growing software category in history: Cursor reached $2B ARR in 24 months.</w:t>
            </w:r>
          </w:p>
          <w:p>
            <w:pPr>
              <w:spacing w:after="60" w:line="260"/>
            </w:pPr>
            <w:r>
              <w:rPr>
                <w:sz w:val="18"/>
                <w:szCs w:val="18"/>
              </w:rPr>
              <w:t xml:space="preserve">GitHub Copilot: 4.7M paid subs (Jan 26).</w:t>
            </w:r>
          </w:p>
        </w:tc>
        <w:tc>
          <w:tcPr>
            <w:tcW w:type="dxa" w:w="3480"/>
            <w:tcBorders>
              <w:top w:val="single" w:color="BFBFBF" w:sz="4"/>
              <w:left w:val="single" w:color="BFBFBF" w:sz="4"/>
              <w:bottom w:val="single" w:color="BFBFBF" w:sz="4"/>
              <w:right w:val="single" w:color="BFBFBF" w:sz="4"/>
            </w:tcBorders>
            <w:shd w:fill="ECF7EC" w:val="clear"/>
            <w:tcMar>
              <w:top w:type="dxa" w:w="140"/>
              <w:left w:type="dxa" w:w="160"/>
              <w:bottom w:type="dxa" w:w="140"/>
              <w:right w:type="dxa" w:w="160"/>
            </w:tcMar>
            <w:vAlign w:val="top"/>
          </w:tcPr>
          <w:p>
            <w:pPr>
              <w:spacing w:after="80" w:line="260"/>
            </w:pPr>
            <w:r>
              <w:rPr>
                <w:b/>
                <w:bCs/>
                <w:color w:val="1F3A5F"/>
                <w:sz w:val="20"/>
                <w:szCs w:val="20"/>
              </w:rPr>
              <w:t xml:space="preserve">Value Added &amp; Margins</w:t>
            </w:r>
          </w:p>
          <w:p>
            <w:pPr>
              <w:spacing w:after="60" w:line="260"/>
            </w:pPr>
            <w:r>
              <w:rPr>
                <w:sz w:val="18"/>
                <w:szCs w:val="18"/>
              </w:rPr>
              <w:t xml:space="preserve">VERY HIGH for winners, LOW for losers.</w:t>
            </w:r>
          </w:p>
          <w:p>
            <w:pPr>
              <w:spacing w:after="60" w:line="260"/>
            </w:pPr>
            <w:r>
              <w:rPr>
                <w:sz w:val="18"/>
                <w:szCs w:val="18"/>
              </w:rPr>
              <w:t xml:space="preserve">Winning apps capture 70-90% gross margins (SaaS-like) but only after the model spend.</w:t>
            </w:r>
          </w:p>
          <w:p>
            <w:pPr>
              <w:spacing w:after="60" w:line="260"/>
            </w:pPr>
            <w:r>
              <w:rPr>
                <w:sz w:val="18"/>
                <w:szCs w:val="18"/>
              </w:rPr>
              <w:t xml:space="preserve">MSFT 365 Copilot: bundled with $30/seat pricing.</w:t>
            </w:r>
          </w:p>
          <w:p>
            <w:pPr>
              <w:spacing w:after="60" w:line="260"/>
            </w:pPr>
            <w:r>
              <w:rPr>
                <w:sz w:val="18"/>
                <w:szCs w:val="18"/>
              </w:rPr>
              <w:t xml:space="preserve">Most pure-plays still private.</w:t>
            </w:r>
          </w:p>
        </w:tc>
      </w:tr>
    </w:tbl>
    <w:p>
      <w:pPr>
        <w:spacing w:after="80" w:before="160"/>
      </w:pPr>
      <w:r>
        <w:rPr>
          <w:b/>
          <w:bCs/>
          <w:color w:val="1F3A5F"/>
          <w:sz w:val="21"/>
          <w:szCs w:val="21"/>
        </w:rPr>
        <w:t xml:space="preserve">What this layer does</w:t>
      </w:r>
    </w:p>
    <w:p>
      <w:pPr>
        <w:spacing w:after="100" w:before="0" w:line="300"/>
        <w:jc w:val="left"/>
      </w:pPr>
      <w:r>
        <w:rPr>
          <w:b w:val="false"/>
          <w:bCs w:val="false"/>
          <w:i w:val="false"/>
          <w:iCs w:val="false"/>
          <w:color w:val="000000"/>
          <w:sz w:val="22"/>
          <w:szCs w:val="22"/>
        </w:rPr>
        <w:t xml:space="preserve">This is where end-users (consumers + enterprises) actually pay for AI. Apps either bundle a foundation model behind a UI (ChatGPT, Claude.ai, Gemini App) or are model-agnostic shells that call multiple LLMs via API (Cursor uses Claude + GPT + others).</w:t>
      </w:r>
    </w:p>
    <w:p>
      <w:pPr>
        <w:spacing w:after="80" w:before="160"/>
      </w:pPr>
      <w:r>
        <w:rPr>
          <w:b/>
          <w:bCs/>
          <w:color w:val="1F3A5F"/>
          <w:sz w:val="21"/>
          <w:szCs w:val="21"/>
        </w:rPr>
        <w:t xml:space="preserve">Who pays whom</w:t>
      </w:r>
    </w:p>
    <w:p>
      <w:pPr>
        <w:spacing w:after="100" w:before="0" w:line="300"/>
        <w:jc w:val="left"/>
      </w:pPr>
      <w:r>
        <w:rPr>
          <w:b w:val="false"/>
          <w:bCs w:val="false"/>
          <w:i w:val="false"/>
          <w:iCs w:val="false"/>
          <w:color w:val="000000"/>
          <w:sz w:val="22"/>
          <w:szCs w:val="22"/>
        </w:rPr>
        <w:t xml:space="preserve">Consumers pay $20-200/month subscriptions; enterprises pay per-seat licenses (Microsoft 365 Copilot is $30/user/month; GitHub Copilot Business is $19/user/month). Apps that don't own their own model pay foundation-model providers (Layer 9) by usage — typically dollars per million tokens.</w:t>
      </w:r>
    </w:p>
    <w:p>
      <w:pPr>
        <w:spacing w:after="80" w:before="160"/>
      </w:pPr>
      <w:r>
        <w:rPr>
          <w:b/>
          <w:bCs/>
          <w:color w:val="1F3A5F"/>
          <w:sz w:val="21"/>
          <w:szCs w:val="21"/>
        </w:rPr>
        <w:t xml:space="preserve">Sub-segments</w:t>
      </w:r>
    </w:p>
    <w:p>
      <w:pPr>
        <w:pStyle w:val="ListParagraph"/>
        <w:numPr>
          <w:ilvl w:val="0"/>
          <w:numId w:val="2"/>
        </w:numPr>
        <w:spacing w:after="80" w:line="300"/>
      </w:pPr>
      <w:r>
        <w:rPr>
          <w:sz w:val="22"/>
          <w:szCs w:val="22"/>
        </w:rPr>
        <w:t xml:space="preserve">General-purpose chatbots — ChatGPT, Claude.ai, Gemini App. ~$20B revenue.</w:t>
      </w:r>
    </w:p>
    <w:p>
      <w:pPr>
        <w:pStyle w:val="ListParagraph"/>
        <w:numPr>
          <w:ilvl w:val="0"/>
          <w:numId w:val="2"/>
        </w:numPr>
        <w:spacing w:after="80" w:line="300"/>
      </w:pPr>
      <w:r>
        <w:rPr>
          <w:sz w:val="22"/>
          <w:szCs w:val="22"/>
        </w:rPr>
        <w:t xml:space="preserve">Coding assistants/agents — fastest-growing: Cursor $2B ARR, GitHub Copilot 4.7M paid subs, Claude Code $1B+ in 6 months. ~$5–7B total.</w:t>
      </w:r>
    </w:p>
    <w:p>
      <w:pPr>
        <w:pStyle w:val="ListParagraph"/>
        <w:numPr>
          <w:ilvl w:val="0"/>
          <w:numId w:val="2"/>
        </w:numPr>
        <w:spacing w:after="80" w:line="300"/>
      </w:pPr>
      <w:r>
        <w:rPr>
          <w:sz w:val="22"/>
          <w:szCs w:val="22"/>
        </w:rPr>
        <w:t xml:space="preserve">Enterprise productivity — Microsoft 365 Copilot ~$5B+ run rate, Google Gemini Workspace.</w:t>
      </w:r>
    </w:p>
    <w:p>
      <w:pPr>
        <w:pStyle w:val="ListParagraph"/>
        <w:numPr>
          <w:ilvl w:val="0"/>
          <w:numId w:val="2"/>
        </w:numPr>
        <w:spacing w:after="80" w:line="300"/>
      </w:pPr>
      <w:r>
        <w:rPr>
          <w:sz w:val="22"/>
          <w:szCs w:val="22"/>
        </w:rPr>
        <w:t xml:space="preserve">Vertical agents — Harvey (legal), Glean (enterprise search), Sierra (CX), Cognition (Devin coding). Mostly private.</w:t>
      </w:r>
    </w:p>
    <w:p>
      <w:pPr>
        <w:pStyle w:val="ListParagraph"/>
        <w:numPr>
          <w:ilvl w:val="0"/>
          <w:numId w:val="2"/>
        </w:numPr>
        <w:spacing w:after="80" w:line="300"/>
      </w:pPr>
      <w:r>
        <w:rPr>
          <w:sz w:val="22"/>
          <w:szCs w:val="22"/>
        </w:rPr>
        <w:t xml:space="preserve">AI search — Perplexity ~$1B ARR. Re-pricing the SEO/search industry.</w:t>
      </w:r>
    </w:p>
    <w:p>
      <w:pPr>
        <w:pStyle w:val="ListParagraph"/>
        <w:numPr>
          <w:ilvl w:val="0"/>
          <w:numId w:val="2"/>
        </w:numPr>
        <w:spacing w:after="80" w:line="300"/>
      </w:pPr>
      <w:r>
        <w:rPr>
          <w:sz w:val="22"/>
          <w:szCs w:val="22"/>
        </w:rPr>
        <w:t xml:space="preserve">Creative tools — Midjourney, Runway, ElevenLabs, OpenAI DALL·E.</w:t>
      </w:r>
    </w:p>
    <w:p>
      <w:pPr>
        <w:spacing w:after="80" w:before="160"/>
      </w:pPr>
      <w:r>
        <w:rPr>
          <w:b/>
          <w:bCs/>
          <w:color w:val="1F3A5F"/>
          <w:sz w:val="21"/>
          <w:szCs w:val="21"/>
        </w:rPr>
        <w:t xml:space="preserve">How to analyze this layer</w:t>
      </w:r>
    </w:p>
    <w:p>
      <w:pPr>
        <w:spacing w:after="100" w:before="0" w:line="300"/>
        <w:jc w:val="left"/>
      </w:pPr>
      <w:r>
        <w:rPr>
          <w:b w:val="false"/>
          <w:bCs w:val="false"/>
          <w:i w:val="false"/>
          <w:iCs w:val="false"/>
          <w:color w:val="000000"/>
          <w:sz w:val="22"/>
          <w:szCs w:val="22"/>
        </w:rPr>
        <w:t xml:space="preserve">Pure-play app exposure is mostly inaccessible to public-market investors. The two public-market plays are MSFT (Copilot + GitHub) and GOOGL (Gemini). Focus on: (a) paid seat growth at Microsoft 365 Copilot, (b) attach rates to existing M365 enterprise contracts, (c) Cursor-style competitors' impact on GitHub Copilot pricing. The private secondary market on Forge/Hiive for Cursor/Anysphere is the best leading indicator.</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700"/>
        <w:gridCol w:w="2900"/>
      </w:tblGrid>
      <w:tr>
        <w:trPr>
          <w:tblHeader/>
        </w:trPr>
        <w:tc>
          <w:tcPr>
            <w:tcW w:type="dxa" w:w="22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Ticker / Status</w:t>
            </w:r>
          </w:p>
        </w:tc>
        <w:tc>
          <w:tcPr>
            <w:tcW w:type="dxa" w:w="20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Product</w:t>
            </w:r>
          </w:p>
        </w:tc>
        <w:tc>
          <w:tcPr>
            <w:tcW w:type="dxa" w:w="17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ARR / Revenue</w:t>
            </w:r>
          </w:p>
        </w:tc>
        <w:tc>
          <w:tcPr>
            <w:tcW w:type="dxa" w:w="29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Key Metric</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Private (Anysphere)</w:t>
            </w:r>
          </w:p>
        </w:tc>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Cursor</w:t>
            </w:r>
          </w:p>
        </w:tc>
        <w:tc>
          <w:tcPr>
            <w:tcW w:type="dxa" w:w="1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$2B ARR (Feb 26)</w:t>
            </w:r>
          </w:p>
        </w:tc>
        <w:tc>
          <w:tcPr>
            <w:tcW w:type="dxa" w:w="2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Doubled in 3 months; 67% of F500</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MSFT</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GitHub Copilot</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~$450–850M ARR (est)</w:t>
            </w:r>
          </w:p>
        </w:tc>
        <w:tc>
          <w:tcPr>
            <w:tcW w:type="dxa" w:w="2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4.7M paid subs; 90% F100</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MSFT</w:t>
            </w:r>
          </w:p>
        </w:tc>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Microsoft 365 Copilot</w:t>
            </w:r>
          </w:p>
        </w:tc>
        <w:tc>
          <w:tcPr>
            <w:tcW w:type="dxa" w:w="1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~$5B+ run rate</w:t>
            </w:r>
          </w:p>
        </w:tc>
        <w:tc>
          <w:tcPr>
            <w:tcW w:type="dxa" w:w="2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Bundled with M365</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GOOGL</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Gemini App + Workspace AI</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Bundled in Cloud</w:t>
            </w:r>
          </w:p>
        </w:tc>
        <w:tc>
          <w:tcPr>
            <w:tcW w:type="dxa" w:w="2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Embedded across products</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Private (Anthropic)</w:t>
            </w:r>
          </w:p>
        </w:tc>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Claude Code</w:t>
            </w:r>
          </w:p>
        </w:tc>
        <w:tc>
          <w:tcPr>
            <w:tcW w:type="dxa" w:w="1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$1B+ ARR</w:t>
            </w:r>
          </w:p>
        </w:tc>
        <w:tc>
          <w:tcPr>
            <w:tcW w:type="dxa" w:w="2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Reached $1B 6 months from launch</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Private</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Glean</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$200M ARR (Apr 26)</w:t>
            </w:r>
          </w:p>
        </w:tc>
        <w:tc>
          <w:tcPr>
            <w:tcW w:type="dxa" w:w="2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$7.2B valuation</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Private</w:t>
            </w:r>
          </w:p>
        </w:tc>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Perplexity</w:t>
            </w:r>
          </w:p>
        </w:tc>
        <w:tc>
          <w:tcPr>
            <w:tcW w:type="dxa" w:w="1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~$1B ARR</w:t>
            </w:r>
          </w:p>
        </w:tc>
        <w:tc>
          <w:tcPr>
            <w:tcW w:type="dxa" w:w="2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AI search hybrid</w:t>
            </w:r>
          </w:p>
        </w:tc>
      </w:tr>
    </w:tbl>
    <w:p>
      <w:pPr>
        <w:pStyle w:val="Heading2"/>
        <w:spacing w:after="140" w:before="280"/>
      </w:pPr>
      <w:r>
        <w:rPr>
          <w:b/>
          <w:bCs/>
          <w:color w:val="1F3A5F"/>
          <w:sz w:val="26"/>
          <w:szCs w:val="26"/>
        </w:rPr>
        <w:t xml:space="preserve">4.2 Layer 9 — Foundation Models (LLMs)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480"/>
        <w:gridCol w:w="3480"/>
        <w:gridCol w:w="3480"/>
      </w:tblGrid>
      <w:tr>
        <w:tc>
          <w:tcPr>
            <w:tcW w:type="dxa" w:w="3480"/>
            <w:tcBorders>
              <w:top w:val="single" w:color="BFBFBF" w:sz="4"/>
              <w:left w:val="single" w:color="BFBFBF" w:sz="4"/>
              <w:bottom w:val="single" w:color="BFBFBF" w:sz="4"/>
              <w:right w:val="single" w:color="BFBFBF" w:sz="4"/>
            </w:tcBorders>
            <w:shd w:fill="FEECEC" w:val="clear"/>
            <w:tcMar>
              <w:top w:type="dxa" w:w="140"/>
              <w:left w:type="dxa" w:w="160"/>
              <w:bottom w:type="dxa" w:w="140"/>
              <w:right w:type="dxa" w:w="160"/>
            </w:tcMar>
            <w:vAlign w:val="top"/>
          </w:tcPr>
          <w:p>
            <w:pPr>
              <w:spacing w:after="80" w:line="260"/>
            </w:pPr>
            <w:r>
              <w:rPr>
                <w:b/>
                <w:bCs/>
                <w:color w:val="1F3A5F"/>
                <w:sz w:val="20"/>
                <w:szCs w:val="20"/>
              </w:rPr>
              <w:t xml:space="preserve">Bottleneck</w:t>
            </w:r>
          </w:p>
          <w:p>
            <w:pPr>
              <w:spacing w:after="60" w:line="260"/>
            </w:pPr>
            <w:r>
              <w:rPr>
                <w:sz w:val="18"/>
                <w:szCs w:val="18"/>
              </w:rPr>
              <w:t xml:space="preserve">MEDIUM-HIGH. Frontier LLMs need 10s of thousands of GPUs in single training runs. Limited by Layer 4 compute supply + Layer 0 power.</w:t>
            </w:r>
          </w:p>
          <w:p>
            <w:pPr>
              <w:spacing w:after="60" w:line="260"/>
            </w:pPr>
            <w:r>
              <w:rPr>
                <w:sz w:val="18"/>
                <w:szCs w:val="18"/>
              </w:rPr>
              <w:t xml:space="preserve">Resolution: hyperscaler equity deals fund chip purchases (OpenAI-NVDA $100B, OpenAI-AMD 6 GW, Anthropic-AMZN $100B AWS).</w:t>
            </w:r>
          </w:p>
        </w:tc>
        <w:tc>
          <w:tcPr>
            <w:tcW w:type="dxa" w:w="3480"/>
            <w:tcBorders>
              <w:top w:val="single" w:color="BFBFBF" w:sz="4"/>
              <w:left w:val="single" w:color="BFBFBF" w:sz="4"/>
              <w:bottom w:val="single" w:color="BFBFBF" w:sz="4"/>
              <w:right w:val="single" w:color="BFBFBF" w:sz="4"/>
            </w:tcBorders>
            <w:shd w:fill="EDF4FF" w:val="clear"/>
            <w:tcMar>
              <w:top w:type="dxa" w:w="140"/>
              <w:left w:type="dxa" w:w="160"/>
              <w:bottom w:type="dxa" w:w="140"/>
              <w:right w:type="dxa" w:w="160"/>
            </w:tcMar>
            <w:vAlign w:val="top"/>
          </w:tcPr>
          <w:p>
            <w:pPr>
              <w:spacing w:after="80" w:line="260"/>
            </w:pPr>
            <w:r>
              <w:rPr>
                <w:b/>
                <w:bCs/>
                <w:color w:val="1F3A5F"/>
                <w:sz w:val="20"/>
                <w:szCs w:val="20"/>
              </w:rPr>
              <w:t xml:space="preserve">Market Size</w:t>
            </w:r>
          </w:p>
          <w:p>
            <w:pPr>
              <w:spacing w:after="60" w:line="260"/>
            </w:pPr>
            <w:r>
              <w:rPr>
                <w:sz w:val="18"/>
                <w:szCs w:val="18"/>
              </w:rPr>
              <w:t xml:space="preserve">~$100B in LLM ARR (Q1 2026, Counterpoint).</w:t>
            </w:r>
          </w:p>
          <w:p>
            <w:pPr>
              <w:spacing w:after="60" w:line="260"/>
            </w:pPr>
            <w:r>
              <w:rPr>
                <w:sz w:val="18"/>
                <w:szCs w:val="18"/>
              </w:rPr>
              <w:t xml:space="preserve">Fastest-growing software category ever: ARR went from &lt;$1B (Jan 2023) to $100B (Q1 2026).</w:t>
            </w:r>
          </w:p>
          <w:p>
            <w:pPr>
              <w:spacing w:after="60" w:line="260"/>
            </w:pPr>
            <w:r>
              <w:rPr>
                <w:sz w:val="18"/>
                <w:szCs w:val="18"/>
              </w:rPr>
              <w:t xml:space="preserve">Forecast: $400B+ by 2030 if scaling continues.</w:t>
            </w:r>
          </w:p>
        </w:tc>
        <w:tc>
          <w:tcPr>
            <w:tcW w:type="dxa" w:w="3480"/>
            <w:tcBorders>
              <w:top w:val="single" w:color="BFBFBF" w:sz="4"/>
              <w:left w:val="single" w:color="BFBFBF" w:sz="4"/>
              <w:bottom w:val="single" w:color="BFBFBF" w:sz="4"/>
              <w:right w:val="single" w:color="BFBFBF" w:sz="4"/>
            </w:tcBorders>
            <w:shd w:fill="ECF7EC" w:val="clear"/>
            <w:tcMar>
              <w:top w:type="dxa" w:w="140"/>
              <w:left w:type="dxa" w:w="160"/>
              <w:bottom w:type="dxa" w:w="140"/>
              <w:right w:type="dxa" w:w="160"/>
            </w:tcMar>
            <w:vAlign w:val="top"/>
          </w:tcPr>
          <w:p>
            <w:pPr>
              <w:spacing w:after="80" w:line="260"/>
            </w:pPr>
            <w:r>
              <w:rPr>
                <w:b/>
                <w:bCs/>
                <w:color w:val="1F3A5F"/>
                <w:sz w:val="20"/>
                <w:szCs w:val="20"/>
              </w:rPr>
              <w:t xml:space="preserve">Value Added &amp; Margins</w:t>
            </w:r>
          </w:p>
          <w:p>
            <w:pPr>
              <w:spacing w:after="60" w:line="260"/>
            </w:pPr>
            <w:r>
              <w:rPr>
                <w:sz w:val="18"/>
                <w:szCs w:val="18"/>
              </w:rPr>
              <w:t xml:space="preserve">HIGH for top 3 only.</w:t>
            </w:r>
          </w:p>
          <w:p>
            <w:pPr>
              <w:spacing w:after="60" w:line="260"/>
            </w:pPr>
            <w:r>
              <w:rPr>
                <w:sz w:val="18"/>
                <w:szCs w:val="18"/>
              </w:rPr>
              <w:t xml:space="preserve">Anthropic + OpenAI capture 60% of all LLM revenue.</w:t>
            </w:r>
          </w:p>
          <w:p>
            <w:pPr>
              <w:spacing w:after="60" w:line="260"/>
            </w:pPr>
            <w:r>
              <w:rPr>
                <w:sz w:val="18"/>
                <w:szCs w:val="18"/>
              </w:rPr>
              <w:t xml:space="preserve">Gross margins ~50-60% (Anthropic FY25 ~50% per leak) but burning cash on compute.</w:t>
            </w:r>
          </w:p>
          <w:p>
            <w:pPr>
              <w:spacing w:after="60" w:line="260"/>
            </w:pPr>
            <w:r>
              <w:rPr>
                <w:sz w:val="18"/>
                <w:szCs w:val="18"/>
              </w:rPr>
              <w:t xml:space="preserve">Until compute costs amortize, GAAP margins remain negative.</w:t>
            </w:r>
          </w:p>
        </w:tc>
      </w:tr>
    </w:tbl>
    <w:p>
      <w:pPr>
        <w:spacing w:after="80" w:before="160"/>
      </w:pPr>
      <w:r>
        <w:rPr>
          <w:b/>
          <w:bCs/>
          <w:color w:val="1F3A5F"/>
          <w:sz w:val="21"/>
          <w:szCs w:val="21"/>
        </w:rPr>
        <w:t xml:space="preserve">What this layer does</w:t>
      </w:r>
    </w:p>
    <w:p>
      <w:pPr>
        <w:spacing w:after="100" w:before="0" w:line="300"/>
        <w:jc w:val="left"/>
      </w:pPr>
      <w:r>
        <w:rPr>
          <w:b w:val="false"/>
          <w:bCs w:val="false"/>
          <w:i w:val="false"/>
          <w:iCs w:val="false"/>
          <w:color w:val="000000"/>
          <w:sz w:val="22"/>
          <w:szCs w:val="22"/>
        </w:rPr>
        <w:t xml:space="preserve">Foundation model companies train the large neural networks (GPT-5, Claude Opus 4.5, Gemini 3, Llama 4, Grok 4) that everything in Layer 10 depends on. Two monetization paths: (1) direct subscriptions to ChatGPT/Claude.ai/Gemini App; (2) per-token API fees when developers and other apps call their models.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BFBFBF" w:sz="4"/>
              <w:left w:val="single" w:color="BFBFBF" w:sz="4"/>
              <w:bottom w:val="single" w:color="BFBFBF" w:sz="4"/>
              <w:right w:val="single" w:color="BFBFBF" w:sz="4"/>
            </w:tcBorders>
            <w:shd w:fill="FFF8E1" w:val="clear"/>
            <w:tcMar>
              <w:top w:type="dxa" w:w="100"/>
              <w:left w:type="dxa" w:w="160"/>
              <w:bottom w:type="dxa" w:w="100"/>
              <w:right w:type="dxa" w:w="160"/>
            </w:tcMar>
          </w:tcPr>
          <w:p>
            <w:pPr>
              <w:spacing w:after="60" w:line="280"/>
            </w:pPr>
            <w:r>
              <w:rPr>
                <w:b/>
                <w:bCs/>
                <w:color w:val="1F3A5F"/>
                <w:sz w:val="20"/>
                <w:szCs w:val="20"/>
              </w:rPr>
              <w:t xml:space="preserve">Foundation model (LLM)</w:t>
            </w:r>
            <w:r>
              <w:rPr>
                <w:color w:val="1F3A5F"/>
                <w:sz w:val="20"/>
                <w:szCs w:val="20"/>
              </w:rPr>
              <w:t xml:space="preserve"> — </w:t>
            </w:r>
            <w:r>
              <w:rPr>
                <w:sz w:val="20"/>
                <w:szCs w:val="20"/>
              </w:rPr>
              <w:t xml:space="preserve">A large neural network trained on internet-scale data that can perform many language and reasoning tasks. 'Foundation' because thousands of downstream apps build on top of it.</w:t>
            </w:r>
          </w:p>
        </w:tc>
      </w:tr>
      <w:tr>
        <w:tc>
          <w:tcPr>
            <w:tcW w:type="dxa" w:w="10440"/>
            <w:tcBorders>
              <w:top w:val="single" w:color="BFBFBF" w:sz="4"/>
              <w:left w:val="single" w:color="BFBFBF" w:sz="4"/>
              <w:bottom w:val="single" w:color="BFBFBF" w:sz="4"/>
              <w:right w:val="single" w:color="BFBFBF" w:sz="4"/>
            </w:tcBorders>
            <w:shd w:fill="FFF8E1" w:val="clear"/>
            <w:tcMar>
              <w:top w:type="dxa" w:w="100"/>
              <w:left w:type="dxa" w:w="160"/>
              <w:bottom w:type="dxa" w:w="100"/>
              <w:right w:type="dxa" w:w="160"/>
            </w:tcMar>
          </w:tcPr>
          <w:p>
            <w:pPr>
              <w:spacing w:after="60" w:line="280"/>
            </w:pPr>
            <w:r>
              <w:rPr>
                <w:b/>
                <w:bCs/>
                <w:color w:val="1F3A5F"/>
                <w:sz w:val="20"/>
                <w:szCs w:val="20"/>
              </w:rPr>
              <w:t xml:space="preserve">ARR (Annualized Run Rate)</w:t>
            </w:r>
            <w:r>
              <w:rPr>
                <w:color w:val="1F3A5F"/>
                <w:sz w:val="20"/>
                <w:szCs w:val="20"/>
              </w:rPr>
              <w:t xml:space="preserve"> — </w:t>
            </w:r>
            <w:r>
              <w:rPr>
                <w:sz w:val="20"/>
                <w:szCs w:val="20"/>
              </w:rPr>
              <w:t xml:space="preserve">Current monthly revenue × 12. Standard way private AI companies report scale. Forward-looking snapshot, different from GAAP revenue.</w:t>
            </w:r>
          </w:p>
        </w:tc>
      </w:tr>
      <w:tr>
        <w:tc>
          <w:tcPr>
            <w:tcW w:type="dxa" w:w="10440"/>
            <w:tcBorders>
              <w:top w:val="single" w:color="BFBFBF" w:sz="4"/>
              <w:left w:val="single" w:color="BFBFBF" w:sz="4"/>
              <w:bottom w:val="single" w:color="BFBFBF" w:sz="4"/>
              <w:right w:val="single" w:color="BFBFBF" w:sz="4"/>
            </w:tcBorders>
            <w:shd w:fill="FFF8E1" w:val="clear"/>
            <w:tcMar>
              <w:top w:type="dxa" w:w="100"/>
              <w:left w:type="dxa" w:w="160"/>
              <w:bottom w:type="dxa" w:w="100"/>
              <w:right w:type="dxa" w:w="160"/>
            </w:tcMar>
          </w:tcPr>
          <w:p>
            <w:pPr>
              <w:spacing w:after="60" w:line="280"/>
            </w:pPr>
            <w:r>
              <w:rPr>
                <w:b/>
                <w:bCs/>
                <w:color w:val="1F3A5F"/>
                <w:sz w:val="20"/>
                <w:szCs w:val="20"/>
              </w:rPr>
              <w:t xml:space="preserve">Tokens</w:t>
            </w:r>
            <w:r>
              <w:rPr>
                <w:color w:val="1F3A5F"/>
                <w:sz w:val="20"/>
                <w:szCs w:val="20"/>
              </w:rPr>
              <w:t xml:space="preserve"> — </w:t>
            </w:r>
            <w:r>
              <w:rPr>
                <w:sz w:val="20"/>
                <w:szCs w:val="20"/>
              </w:rPr>
              <w:t xml:space="preserve">The unit of text these models read and generate. Roughly 0.75 words per token. APIs charge per million input/output tokens (e.g., Claude 4.5 Opus ~$15/M input, ~$75/M output).</w:t>
            </w:r>
          </w:p>
        </w:tc>
      </w:tr>
    </w:tbl>
    <w:p>
      <w:pPr>
        <w:spacing w:after="80" w:before="160"/>
      </w:pPr>
      <w:r>
        <w:rPr>
          <w:b/>
          <w:bCs/>
          <w:color w:val="1F3A5F"/>
          <w:sz w:val="21"/>
          <w:szCs w:val="21"/>
        </w:rPr>
        <w:t xml:space="preserve">Who pays whom</w:t>
      </w:r>
    </w:p>
    <w:p>
      <w:pPr>
        <w:spacing w:after="100" w:before="0" w:line="300"/>
        <w:jc w:val="left"/>
      </w:pPr>
      <w:r>
        <w:rPr>
          <w:b w:val="false"/>
          <w:bCs w:val="false"/>
          <w:i w:val="false"/>
          <w:iCs w:val="false"/>
          <w:color w:val="000000"/>
          <w:sz w:val="22"/>
          <w:szCs w:val="22"/>
        </w:rPr>
        <w:t xml:space="preserve">End users pay LLM companies directly (subscriptions, seats) or indirectly (apps in Layer 10 charge users, then pay LLMs per token). LLM companies pay hyperscalers + neoclouds (Layer 8) for compute. Compute is the largest cost line: OpenAI projects $14B in 2026 losses on path to $125B/yr training spend by 2030.</w:t>
      </w:r>
    </w:p>
    <w:p>
      <w:pPr>
        <w:spacing w:after="80" w:before="160"/>
      </w:pPr>
      <w:r>
        <w:rPr>
          <w:b/>
          <w:bCs/>
          <w:color w:val="1F3A5F"/>
          <w:sz w:val="21"/>
          <w:szCs w:val="21"/>
        </w:rPr>
        <w:t xml:space="preserve">Sub-segments — three lenses give three rankings</w:t>
      </w:r>
    </w:p>
    <w:p>
      <w:pPr>
        <w:pStyle w:val="Heading3"/>
        <w:spacing w:after="100" w:before="200"/>
      </w:pPr>
      <w:r>
        <w:rPr>
          <w:b/>
          <w:bCs/>
          <w:color w:val="2E75B6"/>
          <w:sz w:val="22"/>
          <w:szCs w:val="22"/>
        </w:rPr>
        <w:t xml:space="preserve">(a) Global LLM revenue share — Q1 2026 (Counterpoint)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200"/>
        <w:gridCol w:w="3760"/>
      </w:tblGrid>
      <w:tr>
        <w:trPr>
          <w:tblHeader/>
        </w:trPr>
        <w:tc>
          <w:tcPr>
            <w:tcW w:type="dxa" w:w="24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Ticker / Status</w:t>
            </w:r>
          </w:p>
        </w:tc>
        <w:tc>
          <w:tcPr>
            <w:tcW w:type="dxa" w:w="20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Provider</w:t>
            </w:r>
          </w:p>
        </w:tc>
        <w:tc>
          <w:tcPr>
            <w:tcW w:type="dxa" w:w="12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Q1 26 Share</w:t>
            </w:r>
          </w:p>
        </w:tc>
        <w:tc>
          <w:tcPr>
            <w:tcW w:type="dxa" w:w="376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ARR / Latest</w:t>
            </w:r>
          </w:p>
        </w:tc>
      </w:tr>
      <w:tr>
        <w:tc>
          <w:tcPr>
            <w:tcW w:type="dxa" w:w="24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Private (MSFT 27%)</w:t>
            </w:r>
          </w:p>
        </w:tc>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OpenAI</w:t>
            </w:r>
          </w:p>
        </w:tc>
        <w:tc>
          <w:tcPr>
            <w:tcW w:type="dxa" w:w="1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29.0%</w:t>
            </w:r>
          </w:p>
        </w:tc>
        <w:tc>
          <w:tcPr>
            <w:tcW w:type="dxa" w:w="37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$25B ARR (Apr 26); $852B PBC valuation</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Private</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Anthropic</w:t>
            </w:r>
          </w:p>
        </w:tc>
        <w:tc>
          <w:tcPr>
            <w:tcW w:type="dxa" w:w="1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31.4%</w:t>
            </w:r>
          </w:p>
        </w:tc>
        <w:tc>
          <w:tcPr>
            <w:tcW w:type="dxa" w:w="37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$30B ARR (Apr 26); $350B valuation; overtook OpenAI Apr</w:t>
            </w:r>
          </w:p>
        </w:tc>
      </w:tr>
      <w:tr>
        <w:tc>
          <w:tcPr>
            <w:tcW w:type="dxa" w:w="24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GOOGL</w:t>
            </w:r>
          </w:p>
        </w:tc>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Google (Gemini)</w:t>
            </w:r>
          </w:p>
        </w:tc>
        <w:tc>
          <w:tcPr>
            <w:tcW w:type="dxa" w:w="1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12.1%</w:t>
            </w:r>
          </w:p>
        </w:tc>
        <w:tc>
          <w:tcPr>
            <w:tcW w:type="dxa" w:w="37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Embedded across Workspace, Cloud</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MSFT</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Microsoft (Phi)</w:t>
            </w:r>
          </w:p>
        </w:tc>
        <w:tc>
          <w:tcPr>
            <w:tcW w:type="dxa" w:w="1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7.2%</w:t>
            </w:r>
          </w:p>
        </w:tc>
        <w:tc>
          <w:tcPr>
            <w:tcW w:type="dxa" w:w="37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Separate from OpenAI</w:t>
            </w:r>
          </w:p>
        </w:tc>
      </w:tr>
      <w:tr>
        <w:tc>
          <w:tcPr>
            <w:tcW w:type="dxa" w:w="24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700.HK</w:t>
            </w:r>
          </w:p>
        </w:tc>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Tencent (Hunyuan)</w:t>
            </w:r>
          </w:p>
        </w:tc>
        <w:tc>
          <w:tcPr>
            <w:tcW w:type="dxa" w:w="1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4.8%</w:t>
            </w:r>
          </w:p>
        </w:tc>
        <w:tc>
          <w:tcPr>
            <w:tcW w:type="dxa" w:w="37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#1 Chinese by revenue</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BIDU</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Baidu (Ernie)</w:t>
            </w:r>
          </w:p>
        </w:tc>
        <w:tc>
          <w:tcPr>
            <w:tcW w:type="dxa" w:w="1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3.6%</w:t>
            </w:r>
          </w:p>
        </w:tc>
        <w:tc>
          <w:tcPr>
            <w:tcW w:type="dxa" w:w="37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Largest Chinese consumer chatbot</w:t>
            </w:r>
          </w:p>
        </w:tc>
      </w:tr>
      <w:tr>
        <w:tc>
          <w:tcPr>
            <w:tcW w:type="dxa" w:w="24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9988.HK</w:t>
            </w:r>
          </w:p>
        </w:tc>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Alibaba (Qwen)</w:t>
            </w:r>
          </w:p>
        </w:tc>
        <w:tc>
          <w:tcPr>
            <w:tcW w:type="dxa" w:w="1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2.9%</w:t>
            </w:r>
          </w:p>
        </w:tc>
        <w:tc>
          <w:tcPr>
            <w:tcW w:type="dxa" w:w="37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Strong open-weight; cloud bundle</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META</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Meta (Llama)</w:t>
            </w:r>
          </w:p>
        </w:tc>
        <w:tc>
          <w:tcPr>
            <w:tcW w:type="dxa" w:w="1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1.4%</w:t>
            </w:r>
          </w:p>
        </w:tc>
        <w:tc>
          <w:tcPr>
            <w:tcW w:type="dxa" w:w="37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Open-source; indirect revenue</w:t>
            </w:r>
          </w:p>
        </w:tc>
      </w:tr>
      <w:tr>
        <w:tc>
          <w:tcPr>
            <w:tcW w:type="dxa" w:w="24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Private</w:t>
            </w:r>
          </w:p>
        </w:tc>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xAI (Grok)</w:t>
            </w:r>
          </w:p>
        </w:tc>
        <w:tc>
          <w:tcPr>
            <w:tcW w:type="dxa" w:w="1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1.4%</w:t>
            </w:r>
          </w:p>
        </w:tc>
        <w:tc>
          <w:tcPr>
            <w:tcW w:type="dxa" w:w="37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X-tied; ~$3B ARR</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Private</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Perplexity + others</w:t>
            </w:r>
          </w:p>
        </w:tc>
        <w:tc>
          <w:tcPr>
            <w:tcW w:type="dxa" w:w="1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~6%</w:t>
            </w:r>
          </w:p>
        </w:tc>
        <w:tc>
          <w:tcPr>
            <w:tcW w:type="dxa" w:w="37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Long tail</w:t>
            </w:r>
          </w:p>
        </w:tc>
      </w:tr>
    </w:tbl>
    <w:p>
      <w:pPr>
        <w:pStyle w:val="Heading3"/>
        <w:spacing w:after="100" w:before="200"/>
      </w:pPr>
      <w:r>
        <w:rPr>
          <w:b/>
          <w:bCs/>
          <w:color w:val="2E75B6"/>
          <w:sz w:val="22"/>
          <w:szCs w:val="22"/>
        </w:rPr>
        <w:t xml:space="preserve">(b) Enterprise API spend share — Menlo Ventures / Ramp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3660"/>
      </w:tblGrid>
      <w:tr>
        <w:trPr>
          <w:tblHeader/>
        </w:trPr>
        <w:tc>
          <w:tcPr>
            <w:tcW w:type="dxa" w:w="27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Provider</w:t>
            </w:r>
          </w:p>
        </w:tc>
        <w:tc>
          <w:tcPr>
            <w:tcW w:type="dxa" w:w="30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Enterprise API Share</w:t>
            </w:r>
          </w:p>
        </w:tc>
        <w:tc>
          <w:tcPr>
            <w:tcW w:type="dxa" w:w="366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Change vs end-2023</w:t>
            </w:r>
          </w:p>
        </w:tc>
      </w:tr>
      <w:tr>
        <w:tc>
          <w:tcPr>
            <w:tcW w:type="dxa" w:w="2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Anthropic</w:t>
            </w:r>
          </w:p>
        </w:tc>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32% (rising to 40% Jan 26)</w:t>
            </w:r>
          </w:p>
        </w:tc>
        <w:tc>
          <w:tcPr>
            <w:tcW w:type="dxa" w:w="36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+20 pts from 12%</w:t>
            </w:r>
          </w:p>
        </w:tc>
      </w:tr>
      <w:tr>
        <w:tc>
          <w:tcPr>
            <w:tcW w:type="dxa" w:w="2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OpenAI</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25%</w:t>
            </w:r>
          </w:p>
        </w:tc>
        <w:tc>
          <w:tcPr>
            <w:tcW w:type="dxa" w:w="36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-25 pts from 50%</w:t>
            </w:r>
          </w:p>
        </w:tc>
      </w:tr>
      <w:tr>
        <w:tc>
          <w:tcPr>
            <w:tcW w:type="dxa" w:w="2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Google</w:t>
            </w:r>
          </w:p>
        </w:tc>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20%</w:t>
            </w:r>
          </w:p>
        </w:tc>
        <w:tc>
          <w:tcPr>
            <w:tcW w:type="dxa" w:w="36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+15 pts</w:t>
            </w:r>
          </w:p>
        </w:tc>
      </w:tr>
      <w:tr>
        <w:tc>
          <w:tcPr>
            <w:tcW w:type="dxa" w:w="2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Meta (Llama open-source)</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9%</w:t>
            </w:r>
          </w:p>
        </w:tc>
        <w:tc>
          <w:tcPr>
            <w:tcW w:type="dxa" w:w="36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stable</w:t>
            </w:r>
          </w:p>
        </w:tc>
      </w:tr>
      <w:tr>
        <w:tc>
          <w:tcPr>
            <w:tcW w:type="dxa" w:w="2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DeepSeek + others</w:t>
            </w:r>
          </w:p>
        </w:tc>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~14%</w:t>
            </w:r>
          </w:p>
        </w:tc>
        <w:tc>
          <w:tcPr>
            <w:tcW w:type="dxa" w:w="36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fragmented</w:t>
            </w:r>
          </w:p>
        </w:tc>
      </w:tr>
    </w:tbl>
    <w:p>
      <w:pPr>
        <w:spacing w:after="80" w:before="160"/>
      </w:pPr>
      <w:r>
        <w:rPr>
          <w:b/>
          <w:bCs/>
          <w:color w:val="1F3A5F"/>
          <w:sz w:val="21"/>
          <w:szCs w:val="21"/>
        </w:rPr>
        <w:t xml:space="preserve">How to analyze this layer</w:t>
      </w:r>
    </w:p>
    <w:p>
      <w:pPr>
        <w:spacing w:after="100" w:before="0" w:line="300"/>
        <w:jc w:val="left"/>
      </w:pPr>
      <w:r>
        <w:rPr>
          <w:b w:val="false"/>
          <w:bCs w:val="false"/>
          <w:i w:val="false"/>
          <w:iCs w:val="false"/>
          <w:color w:val="000000"/>
          <w:sz w:val="22"/>
          <w:szCs w:val="22"/>
        </w:rPr>
        <w:t xml:space="preserve">No pure-play public-market exposure. Four best proxies: MSFT (27% OpenAI stake worth ~$135B), AMZN (anchor Anthropic investor; Bernstein estimates Anthropic adds 1-2 pts to AWS growth H1 2025 → 5+ pts H2), GOOGL (Gemini + 14% Anthropic + TPU sales), META (Llama leads enterprise open-source). Track quarterly ARR disclosures + Menlo/Ramp enterprise share. November 2025 MSFT/NVDA/Anthropic deal made Anthropic the only LLM on all three hyperscalers — structurally unique.</w:t>
      </w:r>
    </w:p>
    <w:p>
      <w:r>
        <w:br w:type="page"/>
      </w:r>
    </w:p>
    <w:p>
      <w:pPr>
        <w:pStyle w:val="Heading2"/>
        <w:spacing w:after="140" w:before="280"/>
      </w:pPr>
      <w:r>
        <w:rPr>
          <w:b/>
          <w:bCs/>
          <w:color w:val="1F3A5F"/>
          <w:sz w:val="26"/>
          <w:szCs w:val="26"/>
        </w:rPr>
        <w:t xml:space="preserve">4.3 Layer 8 — Cloud (Hyperscale + Neoclouds)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480"/>
        <w:gridCol w:w="3480"/>
        <w:gridCol w:w="3480"/>
      </w:tblGrid>
      <w:tr>
        <w:tc>
          <w:tcPr>
            <w:tcW w:type="dxa" w:w="3480"/>
            <w:tcBorders>
              <w:top w:val="single" w:color="BFBFBF" w:sz="4"/>
              <w:left w:val="single" w:color="BFBFBF" w:sz="4"/>
              <w:bottom w:val="single" w:color="BFBFBF" w:sz="4"/>
              <w:right w:val="single" w:color="BFBFBF" w:sz="4"/>
            </w:tcBorders>
            <w:shd w:fill="FEECEC" w:val="clear"/>
            <w:tcMar>
              <w:top w:type="dxa" w:w="140"/>
              <w:left w:type="dxa" w:w="160"/>
              <w:bottom w:type="dxa" w:w="140"/>
              <w:right w:type="dxa" w:w="160"/>
            </w:tcMar>
            <w:vAlign w:val="top"/>
          </w:tcPr>
          <w:p>
            <w:pPr>
              <w:spacing w:after="80" w:line="260"/>
            </w:pPr>
            <w:r>
              <w:rPr>
                <w:b/>
                <w:bCs/>
                <w:color w:val="1F3A5F"/>
                <w:sz w:val="20"/>
                <w:szCs w:val="20"/>
              </w:rPr>
              <w:t xml:space="preserve">Bottleneck</w:t>
            </w:r>
          </w:p>
          <w:p>
            <w:pPr>
              <w:spacing w:after="60" w:line="260"/>
            </w:pPr>
            <w:r>
              <w:rPr>
                <w:sz w:val="18"/>
                <w:szCs w:val="18"/>
              </w:rPr>
              <w:t xml:space="preserve">MEDIUM. Capacity sold out for 2026 across MSFT/AWS/GCP. Constrained by Layer 4 GPUs + Layer 7 DC builds + Layer 0 power.</w:t>
            </w:r>
          </w:p>
          <w:p>
            <w:pPr>
              <w:spacing w:after="60" w:line="260"/>
            </w:pPr>
            <w:r>
              <w:rPr>
                <w:sz w:val="18"/>
                <w:szCs w:val="18"/>
              </w:rPr>
              <w:t xml:space="preserve">Resolution: $725B 2026 capex is the actual resolution. Neoclouds + ex-miners add capacity faster than hyperscalers can.</w:t>
            </w:r>
          </w:p>
        </w:tc>
        <w:tc>
          <w:tcPr>
            <w:tcW w:type="dxa" w:w="3480"/>
            <w:tcBorders>
              <w:top w:val="single" w:color="BFBFBF" w:sz="4"/>
              <w:left w:val="single" w:color="BFBFBF" w:sz="4"/>
              <w:bottom w:val="single" w:color="BFBFBF" w:sz="4"/>
              <w:right w:val="single" w:color="BFBFBF" w:sz="4"/>
            </w:tcBorders>
            <w:shd w:fill="EDF4FF" w:val="clear"/>
            <w:tcMar>
              <w:top w:type="dxa" w:w="140"/>
              <w:left w:type="dxa" w:w="160"/>
              <w:bottom w:type="dxa" w:w="140"/>
              <w:right w:type="dxa" w:w="160"/>
            </w:tcMar>
            <w:vAlign w:val="top"/>
          </w:tcPr>
          <w:p>
            <w:pPr>
              <w:spacing w:after="80" w:line="260"/>
            </w:pPr>
            <w:r>
              <w:rPr>
                <w:b/>
                <w:bCs/>
                <w:color w:val="1F3A5F"/>
                <w:sz w:val="20"/>
                <w:szCs w:val="20"/>
              </w:rPr>
              <w:t xml:space="preserve">Market Size</w:t>
            </w:r>
          </w:p>
          <w:p>
            <w:pPr>
              <w:spacing w:after="60" w:line="260"/>
            </w:pPr>
            <w:r>
              <w:rPr>
                <w:sz w:val="18"/>
                <w:szCs w:val="18"/>
              </w:rPr>
              <w:t xml:space="preserve">Total cloud infra ~$520B in 2026E (Synergy).</w:t>
            </w:r>
          </w:p>
          <w:p>
            <w:pPr>
              <w:spacing w:after="60" w:line="260"/>
            </w:pPr>
            <w:r>
              <w:rPr>
                <w:sz w:val="18"/>
                <w:szCs w:val="18"/>
              </w:rPr>
              <w:t xml:space="preserve">AWS Q1 26 $37.6B (+28%).</w:t>
            </w:r>
          </w:p>
          <w:p>
            <w:pPr>
              <w:spacing w:after="60" w:line="260"/>
            </w:pPr>
            <w:r>
              <w:rPr>
                <w:sz w:val="18"/>
                <w:szCs w:val="18"/>
              </w:rPr>
              <w:t xml:space="preserve">Azure Q1 26 ~$30B+ (+40% CC).</w:t>
            </w:r>
          </w:p>
          <w:p>
            <w:pPr>
              <w:spacing w:after="60" w:line="260"/>
            </w:pPr>
            <w:r>
              <w:rPr>
                <w:sz w:val="18"/>
                <w:szCs w:val="18"/>
              </w:rPr>
              <w:t xml:space="preserve">Google Cloud $20B (+63%); $460B backlog.</w:t>
            </w:r>
          </w:p>
          <w:p>
            <w:pPr>
              <w:spacing w:after="60" w:line="260"/>
            </w:pPr>
            <w:r>
              <w:rPr>
                <w:sz w:val="18"/>
                <w:szCs w:val="18"/>
              </w:rPr>
              <w:t xml:space="preserve">MSFT Cloud RPO: $627B (+99% YoY).</w:t>
            </w:r>
          </w:p>
        </w:tc>
        <w:tc>
          <w:tcPr>
            <w:tcW w:type="dxa" w:w="3480"/>
            <w:tcBorders>
              <w:top w:val="single" w:color="BFBFBF" w:sz="4"/>
              <w:left w:val="single" w:color="BFBFBF" w:sz="4"/>
              <w:bottom w:val="single" w:color="BFBFBF" w:sz="4"/>
              <w:right w:val="single" w:color="BFBFBF" w:sz="4"/>
            </w:tcBorders>
            <w:shd w:fill="ECF7EC" w:val="clear"/>
            <w:tcMar>
              <w:top w:type="dxa" w:w="140"/>
              <w:left w:type="dxa" w:w="160"/>
              <w:bottom w:type="dxa" w:w="140"/>
              <w:right w:type="dxa" w:w="160"/>
            </w:tcMar>
            <w:vAlign w:val="top"/>
          </w:tcPr>
          <w:p>
            <w:pPr>
              <w:spacing w:after="80" w:line="260"/>
            </w:pPr>
            <w:r>
              <w:rPr>
                <w:b/>
                <w:bCs/>
                <w:color w:val="1F3A5F"/>
                <w:sz w:val="20"/>
                <w:szCs w:val="20"/>
              </w:rPr>
              <w:t xml:space="preserve">Value Added &amp; Margins</w:t>
            </w:r>
          </w:p>
          <w:p>
            <w:pPr>
              <w:spacing w:after="60" w:line="260"/>
            </w:pPr>
            <w:r>
              <w:rPr>
                <w:sz w:val="18"/>
                <w:szCs w:val="18"/>
              </w:rPr>
              <w:t xml:space="preserve">HIGH for hyperscalers, LOW for thin neoclouds.</w:t>
            </w:r>
          </w:p>
          <w:p>
            <w:pPr>
              <w:spacing w:after="60" w:line="260"/>
            </w:pPr>
            <w:r>
              <w:rPr>
                <w:sz w:val="18"/>
                <w:szCs w:val="18"/>
              </w:rPr>
              <w:t xml:space="preserve">Azure AI run rate $37B at ~50% op margin.</w:t>
            </w:r>
          </w:p>
          <w:p>
            <w:pPr>
              <w:spacing w:after="60" w:line="260"/>
            </w:pPr>
            <w:r>
              <w:rPr>
                <w:sz w:val="18"/>
                <w:szCs w:val="18"/>
              </w:rPr>
              <w:t xml:space="preserve">AWS ~35% op margin.</w:t>
            </w:r>
          </w:p>
          <w:p>
            <w:pPr>
              <w:spacing w:after="60" w:line="260"/>
            </w:pPr>
            <w:r>
              <w:rPr>
                <w:sz w:val="18"/>
                <w:szCs w:val="18"/>
              </w:rPr>
              <w:t xml:space="preserve">Neoclouds 5-15% op margins, highly customer-concentrated.</w:t>
            </w:r>
          </w:p>
          <w:p>
            <w:pPr>
              <w:spacing w:after="60" w:line="260"/>
            </w:pPr>
            <w:r>
              <w:rPr>
                <w:sz w:val="18"/>
                <w:szCs w:val="18"/>
              </w:rPr>
              <w:t xml:space="preserve">Ex-miners highest-beta exposure.</w:t>
            </w:r>
          </w:p>
        </w:tc>
      </w:tr>
    </w:tbl>
    <w:p>
      <w:pPr>
        <w:spacing w:after="80" w:before="160"/>
      </w:pPr>
      <w:r>
        <w:rPr>
          <w:b/>
          <w:bCs/>
          <w:color w:val="1F3A5F"/>
          <w:sz w:val="21"/>
          <w:szCs w:val="21"/>
        </w:rPr>
        <w:t xml:space="preserve">What this layer does</w:t>
      </w:r>
    </w:p>
    <w:p>
      <w:pPr>
        <w:spacing w:after="100" w:before="0" w:line="300"/>
        <w:jc w:val="left"/>
      </w:pPr>
      <w:r>
        <w:rPr>
          <w:b w:val="false"/>
          <w:bCs w:val="false"/>
          <w:i w:val="false"/>
          <w:iCs w:val="false"/>
          <w:color w:val="000000"/>
          <w:sz w:val="22"/>
          <w:szCs w:val="22"/>
        </w:rPr>
        <w:t xml:space="preserve">Cloud providers own DCs and chips, rent them by the hour or via long-term contract. Two distinct sub-types: hyperscalers (general-purpose cloud at massive scale) and neoclouds (specialized GPU-only rental).</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BFBFBF" w:sz="4"/>
              <w:left w:val="single" w:color="BFBFBF" w:sz="4"/>
              <w:bottom w:val="single" w:color="BFBFBF" w:sz="4"/>
              <w:right w:val="single" w:color="BFBFBF" w:sz="4"/>
            </w:tcBorders>
            <w:shd w:fill="FFF8E1" w:val="clear"/>
            <w:tcMar>
              <w:top w:type="dxa" w:w="100"/>
              <w:left w:type="dxa" w:w="160"/>
              <w:bottom w:type="dxa" w:w="100"/>
              <w:right w:type="dxa" w:w="160"/>
            </w:tcMar>
          </w:tcPr>
          <w:p>
            <w:pPr>
              <w:spacing w:after="60" w:line="280"/>
            </w:pPr>
            <w:r>
              <w:rPr>
                <w:b/>
                <w:bCs/>
                <w:color w:val="1F3A5F"/>
                <w:sz w:val="20"/>
                <w:szCs w:val="20"/>
              </w:rPr>
              <w:t xml:space="preserve">Hyperscaler</w:t>
            </w:r>
            <w:r>
              <w:rPr>
                <w:color w:val="1F3A5F"/>
                <w:sz w:val="20"/>
                <w:szCs w:val="20"/>
              </w:rPr>
              <w:t xml:space="preserve"> — </w:t>
            </w:r>
            <w:r>
              <w:rPr>
                <w:sz w:val="20"/>
                <w:szCs w:val="20"/>
              </w:rPr>
              <w:t xml:space="preserve">Massive cloud providers operating at global scale: AWS, Microsoft Azure, Google Cloud, Oracle, Alibaba. They own their own DCs, design custom chips, and sell a broad stack.</w:t>
            </w:r>
          </w:p>
        </w:tc>
      </w:tr>
      <w:tr>
        <w:tc>
          <w:tcPr>
            <w:tcW w:type="dxa" w:w="10440"/>
            <w:tcBorders>
              <w:top w:val="single" w:color="BFBFBF" w:sz="4"/>
              <w:left w:val="single" w:color="BFBFBF" w:sz="4"/>
              <w:bottom w:val="single" w:color="BFBFBF" w:sz="4"/>
              <w:right w:val="single" w:color="BFBFBF" w:sz="4"/>
            </w:tcBorders>
            <w:shd w:fill="FFF8E1" w:val="clear"/>
            <w:tcMar>
              <w:top w:type="dxa" w:w="100"/>
              <w:left w:type="dxa" w:w="160"/>
              <w:bottom w:type="dxa" w:w="100"/>
              <w:right w:type="dxa" w:w="160"/>
            </w:tcMar>
          </w:tcPr>
          <w:p>
            <w:pPr>
              <w:spacing w:after="60" w:line="280"/>
            </w:pPr>
            <w:r>
              <w:rPr>
                <w:b/>
                <w:bCs/>
                <w:color w:val="1F3A5F"/>
                <w:sz w:val="20"/>
                <w:szCs w:val="20"/>
              </w:rPr>
              <w:t xml:space="preserve">Neocloud (GPUaaS)</w:t>
            </w:r>
            <w:r>
              <w:rPr>
                <w:color w:val="1F3A5F"/>
                <w:sz w:val="20"/>
                <w:szCs w:val="20"/>
              </w:rPr>
              <w:t xml:space="preserve"> — </w:t>
            </w:r>
            <w:r>
              <w:rPr>
                <w:sz w:val="20"/>
                <w:szCs w:val="20"/>
              </w:rPr>
              <w:t xml:space="preserve">GPU-as-a-Service. Rents AI compute by the hour. Pure plays: CoreWeave, Nebius, Lambda. Lower margin, less stack, but faster to spin up GPU capacity.</w:t>
            </w:r>
          </w:p>
        </w:tc>
      </w:tr>
      <w:tr>
        <w:tc>
          <w:tcPr>
            <w:tcW w:type="dxa" w:w="10440"/>
            <w:tcBorders>
              <w:top w:val="single" w:color="BFBFBF" w:sz="4"/>
              <w:left w:val="single" w:color="BFBFBF" w:sz="4"/>
              <w:bottom w:val="single" w:color="BFBFBF" w:sz="4"/>
              <w:right w:val="single" w:color="BFBFBF" w:sz="4"/>
            </w:tcBorders>
            <w:shd w:fill="FFF8E1" w:val="clear"/>
            <w:tcMar>
              <w:top w:type="dxa" w:w="100"/>
              <w:left w:type="dxa" w:w="160"/>
              <w:bottom w:type="dxa" w:w="100"/>
              <w:right w:type="dxa" w:w="160"/>
            </w:tcMar>
          </w:tcPr>
          <w:p>
            <w:pPr>
              <w:spacing w:after="60" w:line="280"/>
            </w:pPr>
            <w:r>
              <w:rPr>
                <w:b/>
                <w:bCs/>
                <w:color w:val="1F3A5F"/>
                <w:sz w:val="20"/>
                <w:szCs w:val="20"/>
              </w:rPr>
              <w:t xml:space="preserve">Backlog / RPO</w:t>
            </w:r>
            <w:r>
              <w:rPr>
                <w:color w:val="1F3A5F"/>
                <w:sz w:val="20"/>
                <w:szCs w:val="20"/>
              </w:rPr>
              <w:t xml:space="preserve"> — </w:t>
            </w:r>
            <w:r>
              <w:rPr>
                <w:sz w:val="20"/>
                <w:szCs w:val="20"/>
              </w:rPr>
              <w:t xml:space="preserve">Backlog = total contracted future revenue. RPO (Remaining Performance Obligation) = GAAP version reported on 10-Qs. Google Cloud $460B; MSFT Cloud $627B (+99% YoY).</w:t>
            </w:r>
          </w:p>
        </w:tc>
      </w:tr>
      <w:tr>
        <w:tc>
          <w:tcPr>
            <w:tcW w:type="dxa" w:w="10440"/>
            <w:tcBorders>
              <w:top w:val="single" w:color="BFBFBF" w:sz="4"/>
              <w:left w:val="single" w:color="BFBFBF" w:sz="4"/>
              <w:bottom w:val="single" w:color="BFBFBF" w:sz="4"/>
              <w:right w:val="single" w:color="BFBFBF" w:sz="4"/>
            </w:tcBorders>
            <w:shd w:fill="FFF8E1" w:val="clear"/>
            <w:tcMar>
              <w:top w:type="dxa" w:w="100"/>
              <w:left w:type="dxa" w:w="160"/>
              <w:bottom w:type="dxa" w:w="100"/>
              <w:right w:type="dxa" w:w="160"/>
            </w:tcMar>
          </w:tcPr>
          <w:p>
            <w:pPr>
              <w:spacing w:after="60" w:line="280"/>
            </w:pPr>
            <w:r>
              <w:rPr>
                <w:b/>
                <w:bCs/>
                <w:color w:val="1F3A5F"/>
                <w:sz w:val="20"/>
                <w:szCs w:val="20"/>
              </w:rPr>
              <w:t xml:space="preserve">GW / MW</w:t>
            </w:r>
            <w:r>
              <w:rPr>
                <w:color w:val="1F3A5F"/>
                <w:sz w:val="20"/>
                <w:szCs w:val="20"/>
              </w:rPr>
              <w:t xml:space="preserve"> — </w:t>
            </w:r>
            <w:r>
              <w:rPr>
                <w:sz w:val="20"/>
                <w:szCs w:val="20"/>
              </w:rPr>
              <w:t xml:space="preserve">Gigawatt / Megawatt. 1 GW = 1,000 MW. Typical AI DC draws 100-500 MW. OpenAI/NVIDIA 10 GW agreement ≈ power of New York City. 1 GW of AI DC ≈ $50-60B to build (~$35B is chips).</w:t>
            </w:r>
          </w:p>
        </w:tc>
      </w:tr>
    </w:tbl>
    <w:p>
      <w:pPr>
        <w:spacing w:after="80" w:before="160"/>
      </w:pPr>
      <w:r>
        <w:rPr>
          <w:b/>
          <w:bCs/>
          <w:color w:val="1F3A5F"/>
          <w:sz w:val="21"/>
          <w:szCs w:val="21"/>
        </w:rPr>
        <w:t xml:space="preserve">Who pays whom</w:t>
      </w:r>
    </w:p>
    <w:p>
      <w:pPr>
        <w:spacing w:after="100" w:before="0" w:line="300"/>
        <w:jc w:val="left"/>
      </w:pPr>
      <w:r>
        <w:rPr>
          <w:b w:val="false"/>
          <w:bCs w:val="false"/>
          <w:i w:val="false"/>
          <w:iCs w:val="false"/>
          <w:color w:val="000000"/>
          <w:sz w:val="22"/>
          <w:szCs w:val="22"/>
        </w:rPr>
        <w:t xml:space="preserve">LLM companies (L9) are the largest customers — Anthropic $100B / 10-yr AWS, OpenAI $250B Microsoft + $300B Oracle + $38B AWS. Enterprises deploying AI internally are next-largest. Hyperscalers in turn buy chips from L4 (especially NVIDIA), HBM from L3, networking from L6, build DCs in L7, consume electricity in L0.</w:t>
      </w:r>
    </w:p>
    <w:p>
      <w:pPr>
        <w:spacing w:after="80" w:before="160"/>
      </w:pPr>
      <w:r>
        <w:rPr>
          <w:b/>
          <w:bCs/>
          <w:color w:val="1F3A5F"/>
          <w:sz w:val="21"/>
          <w:szCs w:val="21"/>
        </w:rPr>
        <w:t xml:space="preserve">Sub-segments</w:t>
      </w:r>
    </w:p>
    <w:p>
      <w:pPr>
        <w:pStyle w:val="Heading3"/>
        <w:spacing w:after="100" w:before="200"/>
      </w:pPr>
      <w:r>
        <w:rPr>
          <w:b/>
          <w:bCs/>
          <w:color w:val="2E75B6"/>
          <w:sz w:val="22"/>
          <w:szCs w:val="22"/>
        </w:rPr>
        <w:t xml:space="preserve">(a) Hyperscalers — Q1 2026 (Synergy)</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300"/>
        <w:gridCol w:w="1800"/>
        <w:gridCol w:w="4500"/>
      </w:tblGrid>
      <w:tr>
        <w:trPr>
          <w:tblHeader/>
        </w:trPr>
        <w:tc>
          <w:tcPr>
            <w:tcW w:type="dxa" w:w="9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Ticker</w:t>
            </w:r>
          </w:p>
        </w:tc>
        <w:tc>
          <w:tcPr>
            <w:tcW w:type="dxa" w:w="19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Provider</w:t>
            </w:r>
          </w:p>
        </w:tc>
        <w:tc>
          <w:tcPr>
            <w:tcW w:type="dxa" w:w="13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Market Share</w:t>
            </w:r>
          </w:p>
        </w:tc>
        <w:tc>
          <w:tcPr>
            <w:tcW w:type="dxa" w:w="18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Q1 26 Revenue</w:t>
            </w:r>
          </w:p>
        </w:tc>
        <w:tc>
          <w:tcPr>
            <w:tcW w:type="dxa" w:w="45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AI Disclosure</w:t>
            </w:r>
          </w:p>
        </w:tc>
      </w:tr>
      <w:tr>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AMZN</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AWS</w:t>
            </w:r>
          </w:p>
        </w:tc>
        <w:tc>
          <w:tcPr>
            <w:tcW w:type="dxa" w:w="1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30%</w:t>
            </w:r>
          </w:p>
        </w:tc>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$37.6B (+28%)</w:t>
            </w:r>
          </w:p>
        </w:tc>
        <w:tc>
          <w:tcPr>
            <w:tcW w:type="dxa" w:w="4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AI services &gt;$15B; Trainium $20B</w:t>
            </w:r>
          </w:p>
        </w:tc>
      </w:tr>
      <w:tr>
        <w:tc>
          <w:tcPr>
            <w:tcW w:type="dxa" w:w="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MSFT</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Azure</w:t>
            </w:r>
          </w:p>
        </w:tc>
        <w:tc>
          <w:tcPr>
            <w:tcW w:type="dxa" w:w="1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21–25%</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~$30B+ (+40% CC)</w:t>
            </w:r>
          </w:p>
        </w:tc>
        <w:tc>
          <w:tcPr>
            <w:tcW w:type="dxa" w:w="4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AI $37B (+123%); $627B RPO</w:t>
            </w:r>
          </w:p>
        </w:tc>
      </w:tr>
      <w:tr>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GOOGL</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Google Cloud</w:t>
            </w:r>
          </w:p>
        </w:tc>
        <w:tc>
          <w:tcPr>
            <w:tcW w:type="dxa" w:w="1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13–14%</w:t>
            </w:r>
          </w:p>
        </w:tc>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$20B (+63%)</w:t>
            </w:r>
          </w:p>
        </w:tc>
        <w:tc>
          <w:tcPr>
            <w:tcW w:type="dxa" w:w="4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$460B backlog; TPU + Gemini</w:t>
            </w:r>
          </w:p>
        </w:tc>
      </w:tr>
      <w:tr>
        <w:tc>
          <w:tcPr>
            <w:tcW w:type="dxa" w:w="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9988.HK</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Alibaba Cloud</w:t>
            </w:r>
          </w:p>
        </w:tc>
        <w:tc>
          <w:tcPr>
            <w:tcW w:type="dxa" w:w="1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~4%</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~$5B</w:t>
            </w:r>
          </w:p>
        </w:tc>
        <w:tc>
          <w:tcPr>
            <w:tcW w:type="dxa" w:w="4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Largest non-Western</w:t>
            </w:r>
          </w:p>
        </w:tc>
      </w:tr>
      <w:tr>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ORCL</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Oracle Cloud</w:t>
            </w:r>
          </w:p>
        </w:tc>
        <w:tc>
          <w:tcPr>
            <w:tcW w:type="dxa" w:w="1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~3% rising</w:t>
            </w:r>
          </w:p>
        </w:tc>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~$5B (+50%+)</w:t>
            </w:r>
          </w:p>
        </w:tc>
        <w:tc>
          <w:tcPr>
            <w:tcW w:type="dxa" w:w="4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OpenAI $300B from 2027</w:t>
            </w:r>
          </w:p>
        </w:tc>
      </w:tr>
    </w:tbl>
    <w:p>
      <w:pPr>
        <w:pStyle w:val="Heading3"/>
        <w:spacing w:after="100" w:before="200"/>
      </w:pPr>
      <w:r>
        <w:rPr>
          <w:b/>
          <w:bCs/>
          <w:color w:val="2E75B6"/>
          <w:sz w:val="22"/>
          <w:szCs w:val="22"/>
        </w:rPr>
        <w:t xml:space="preserve">(b) Neoclouds + Ex-Bitcoin Miners</w:t>
      </w:r>
    </w:p>
    <w:p>
      <w:pPr>
        <w:spacing w:after="100" w:before="0" w:line="300"/>
        <w:jc w:val="left"/>
      </w:pPr>
      <w:r>
        <w:rPr>
          <w:b w:val="false"/>
          <w:bCs w:val="false"/>
          <w:i w:val="false"/>
          <w:iCs w:val="false"/>
          <w:color w:val="000000"/>
          <w:sz w:val="22"/>
          <w:szCs w:val="22"/>
        </w:rPr>
        <w:t xml:space="preserve">Combined contracted HPC revenue &gt;$70B (CoinShares). TeraWulf Q1 26 HPC revenue ($21M) overtook BTC ($13M) for first time.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500"/>
        <w:gridCol w:w="6100"/>
      </w:tblGrid>
      <w:tr>
        <w:trPr>
          <w:tblHeader/>
        </w:trPr>
        <w:tc>
          <w:tcPr>
            <w:tcW w:type="dxa" w:w="9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Ticker</w:t>
            </w:r>
          </w:p>
        </w:tc>
        <w:tc>
          <w:tcPr>
            <w:tcW w:type="dxa" w:w="19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Company</w:t>
            </w:r>
          </w:p>
        </w:tc>
        <w:tc>
          <w:tcPr>
            <w:tcW w:type="dxa" w:w="15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Type</w:t>
            </w:r>
          </w:p>
        </w:tc>
        <w:tc>
          <w:tcPr>
            <w:tcW w:type="dxa" w:w="61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Key Contracts</w:t>
            </w:r>
          </w:p>
        </w:tc>
      </w:tr>
      <w:tr>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CRWV</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CoreWeave</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Pure neocloud</w:t>
            </w:r>
          </w:p>
        </w:tc>
        <w:tc>
          <w:tcPr>
            <w:tcW w:type="dxa" w:w="6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$22.4B OpenAI; MSFT $10B+; Meta $14B</w:t>
            </w:r>
          </w:p>
        </w:tc>
      </w:tr>
      <w:tr>
        <w:tc>
          <w:tcPr>
            <w:tcW w:type="dxa" w:w="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NBIS</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Nebius</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Pure neocloud</w:t>
            </w:r>
          </w:p>
        </w:tc>
        <w:tc>
          <w:tcPr>
            <w:tcW w:type="dxa" w:w="61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Meta multi-billion; NVIDIA $2B equity</w:t>
            </w:r>
          </w:p>
        </w:tc>
      </w:tr>
      <w:tr>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IREN</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IREN</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Hybrid (ex-BTC)</w:t>
            </w:r>
          </w:p>
        </w:tc>
        <w:tc>
          <w:tcPr>
            <w:tcW w:type="dxa" w:w="6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MSFT $9.7B anchor</w:t>
            </w:r>
          </w:p>
        </w:tc>
      </w:tr>
      <w:tr>
        <w:tc>
          <w:tcPr>
            <w:tcW w:type="dxa" w:w="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WULF</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TeraWulf</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Pivoted</w:t>
            </w:r>
          </w:p>
        </w:tc>
        <w:tc>
          <w:tcPr>
            <w:tcW w:type="dxa" w:w="61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$12.8B HPC contracted</w:t>
            </w:r>
          </w:p>
        </w:tc>
      </w:tr>
      <w:tr>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HUT</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Hut 8</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Pivoted</w:t>
            </w:r>
          </w:p>
        </w:tc>
        <w:tc>
          <w:tcPr>
            <w:tcW w:type="dxa" w:w="6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$7B Google/Fluidstack 15-yr</w:t>
            </w:r>
          </w:p>
        </w:tc>
      </w:tr>
      <w:tr>
        <w:tc>
          <w:tcPr>
            <w:tcW w:type="dxa" w:w="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CIFR</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Cipher Mining</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Pivoted</w:t>
            </w:r>
          </w:p>
        </w:tc>
        <w:tc>
          <w:tcPr>
            <w:tcW w:type="dxa" w:w="61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$5.5B 15-yr AWS lease</w:t>
            </w:r>
          </w:p>
        </w:tc>
      </w:tr>
    </w:tbl>
    <w:p>
      <w:pPr>
        <w:spacing w:after="80" w:before="160"/>
      </w:pPr>
      <w:r>
        <w:rPr>
          <w:b/>
          <w:bCs/>
          <w:color w:val="1F3A5F"/>
          <w:sz w:val="21"/>
          <w:szCs w:val="21"/>
        </w:rPr>
        <w:t xml:space="preserve">How to analyze this layer</w:t>
      </w:r>
    </w:p>
    <w:p>
      <w:pPr>
        <w:spacing w:after="100" w:before="0" w:line="300"/>
        <w:jc w:val="left"/>
      </w:pPr>
      <w:r>
        <w:rPr>
          <w:b w:val="false"/>
          <w:bCs w:val="false"/>
          <w:i w:val="false"/>
          <w:iCs w:val="false"/>
          <w:color w:val="000000"/>
          <w:sz w:val="22"/>
          <w:szCs w:val="22"/>
        </w:rPr>
        <w:t xml:space="preserve">For hyperscalers: (1) cloud revenue growth YoY (AWS +28%, Azure +40%, GCP +63%), (2) RPO / backlog (MSFT $627B, GCP $460B = leading indicator). The bear case: $725B capex vs ~$170B AI+cloud revenue = 4-5x gap. For neoclouds: (a) customer concentration (CoreWeave ~70% from OpenAI/MSFT/Meta), (b) debt ($18B at CoreWeave), (c) GPU spot pricing (Blackwell went $2.75 → $4.08/hr Feb→Apr 2026). Ex-miners are pure commodity plays — watch BTC-to-HPC mix in each quarterly print.</w:t>
      </w:r>
    </w:p>
    <w:p>
      <w:r>
        <w:br w:type="page"/>
      </w:r>
    </w:p>
    <w:p>
      <w:pPr>
        <w:pStyle w:val="Heading2"/>
        <w:spacing w:after="140" w:before="280"/>
      </w:pPr>
      <w:r>
        <w:rPr>
          <w:b/>
          <w:bCs/>
          <w:color w:val="1F3A5F"/>
          <w:sz w:val="26"/>
          <w:szCs w:val="26"/>
        </w:rPr>
        <w:t xml:space="preserve">4.4 Layer 7 — Data-Center Real Estate &amp; Builders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480"/>
        <w:gridCol w:w="3480"/>
        <w:gridCol w:w="3480"/>
      </w:tblGrid>
      <w:tr>
        <w:tc>
          <w:tcPr>
            <w:tcW w:type="dxa" w:w="3480"/>
            <w:tcBorders>
              <w:top w:val="single" w:color="BFBFBF" w:sz="4"/>
              <w:left w:val="single" w:color="BFBFBF" w:sz="4"/>
              <w:bottom w:val="single" w:color="BFBFBF" w:sz="4"/>
              <w:right w:val="single" w:color="BFBFBF" w:sz="4"/>
            </w:tcBorders>
            <w:shd w:fill="FEECEC" w:val="clear"/>
            <w:tcMar>
              <w:top w:type="dxa" w:w="140"/>
              <w:left w:type="dxa" w:w="160"/>
              <w:bottom w:type="dxa" w:w="140"/>
              <w:right w:type="dxa" w:w="160"/>
            </w:tcMar>
            <w:vAlign w:val="top"/>
          </w:tcPr>
          <w:p>
            <w:pPr>
              <w:spacing w:after="80" w:line="260"/>
            </w:pPr>
            <w:r>
              <w:rPr>
                <w:b/>
                <w:bCs/>
                <w:color w:val="1F3A5F"/>
                <w:sz w:val="20"/>
                <w:szCs w:val="20"/>
              </w:rPr>
              <w:t xml:space="preserve">Bottleneck</w:t>
            </w:r>
          </w:p>
          <w:p>
            <w:pPr>
              <w:spacing w:after="60" w:line="260"/>
            </w:pPr>
            <w:r>
              <w:rPr>
                <w:sz w:val="18"/>
                <w:szCs w:val="18"/>
              </w:rPr>
              <w:t xml:space="preserve">HIGH. Northern Virginia DC vacancy &lt;5%; grid interconnect queues 7-10 years.</w:t>
            </w:r>
          </w:p>
          <w:p>
            <w:pPr>
              <w:spacing w:after="60" w:line="260"/>
            </w:pPr>
            <w:r>
              <w:rPr>
                <w:sz w:val="18"/>
                <w:szCs w:val="18"/>
              </w:rPr>
              <w:t xml:space="preserve">Resolution: build more DCs in Texas/Wisconsin/Ohio/New Mexico. Stargate explicitly = land-and-power solution. Trump-era permitting reform helping.</w:t>
            </w:r>
          </w:p>
        </w:tc>
        <w:tc>
          <w:tcPr>
            <w:tcW w:type="dxa" w:w="3480"/>
            <w:tcBorders>
              <w:top w:val="single" w:color="BFBFBF" w:sz="4"/>
              <w:left w:val="single" w:color="BFBFBF" w:sz="4"/>
              <w:bottom w:val="single" w:color="BFBFBF" w:sz="4"/>
              <w:right w:val="single" w:color="BFBFBF" w:sz="4"/>
            </w:tcBorders>
            <w:shd w:fill="EDF4FF" w:val="clear"/>
            <w:tcMar>
              <w:top w:type="dxa" w:w="140"/>
              <w:left w:type="dxa" w:w="160"/>
              <w:bottom w:type="dxa" w:w="140"/>
              <w:right w:type="dxa" w:w="160"/>
            </w:tcMar>
            <w:vAlign w:val="top"/>
          </w:tcPr>
          <w:p>
            <w:pPr>
              <w:spacing w:after="80" w:line="260"/>
            </w:pPr>
            <w:r>
              <w:rPr>
                <w:b/>
                <w:bCs/>
                <w:color w:val="1F3A5F"/>
                <w:sz w:val="20"/>
                <w:szCs w:val="20"/>
              </w:rPr>
              <w:t xml:space="preserve">Market Size</w:t>
            </w:r>
          </w:p>
          <w:p>
            <w:pPr>
              <w:spacing w:after="60" w:line="260"/>
            </w:pPr>
            <w:r>
              <w:rPr>
                <w:sz w:val="18"/>
                <w:szCs w:val="18"/>
              </w:rPr>
              <w:t xml:space="preserve">Global DC infrastructure ~$200B in 2026E.</w:t>
            </w:r>
          </w:p>
          <w:p>
            <w:pPr>
              <w:spacing w:after="60" w:line="260"/>
            </w:pPr>
            <w:r>
              <w:rPr>
                <w:sz w:val="18"/>
                <w:szCs w:val="18"/>
              </w:rPr>
              <w:t xml:space="preserve">US colo market ~$72B.</w:t>
            </w:r>
          </w:p>
          <w:p>
            <w:pPr>
              <w:spacing w:after="60" w:line="260"/>
            </w:pPr>
            <w:r>
              <w:rPr>
                <w:sz w:val="18"/>
                <w:szCs w:val="18"/>
              </w:rPr>
              <w:t xml:space="preserve">McKinsey: $5.2T global DC build by 2030, ~$1.3T to 'energizers' (utility + electrical).</w:t>
            </w:r>
          </w:p>
        </w:tc>
        <w:tc>
          <w:tcPr>
            <w:tcW w:type="dxa" w:w="3480"/>
            <w:tcBorders>
              <w:top w:val="single" w:color="BFBFBF" w:sz="4"/>
              <w:left w:val="single" w:color="BFBFBF" w:sz="4"/>
              <w:bottom w:val="single" w:color="BFBFBF" w:sz="4"/>
              <w:right w:val="single" w:color="BFBFBF" w:sz="4"/>
            </w:tcBorders>
            <w:shd w:fill="ECF7EC" w:val="clear"/>
            <w:tcMar>
              <w:top w:type="dxa" w:w="140"/>
              <w:left w:type="dxa" w:w="160"/>
              <w:bottom w:type="dxa" w:w="140"/>
              <w:right w:type="dxa" w:w="160"/>
            </w:tcMar>
            <w:vAlign w:val="top"/>
          </w:tcPr>
          <w:p>
            <w:pPr>
              <w:spacing w:after="80" w:line="260"/>
            </w:pPr>
            <w:r>
              <w:rPr>
                <w:b/>
                <w:bCs/>
                <w:color w:val="1F3A5F"/>
                <w:sz w:val="20"/>
                <w:szCs w:val="20"/>
              </w:rPr>
              <w:t xml:space="preserve">Value Added &amp; Margins</w:t>
            </w:r>
          </w:p>
          <w:p>
            <w:pPr>
              <w:spacing w:after="60" w:line="260"/>
            </w:pPr>
            <w:r>
              <w:rPr>
                <w:sz w:val="18"/>
                <w:szCs w:val="18"/>
              </w:rPr>
              <w:t xml:space="preserve">MEDIUM-HIGH for REITs, LOW-MEDIUM for builders.</w:t>
            </w:r>
          </w:p>
          <w:p>
            <w:pPr>
              <w:spacing w:after="60" w:line="260"/>
            </w:pPr>
            <w:r>
              <w:rPr>
                <w:sz w:val="18"/>
                <w:szCs w:val="18"/>
              </w:rPr>
              <w:t xml:space="preserve">EQIX 49% GM, 51% adj EBITDA margin (record Q1 26).</w:t>
            </w:r>
          </w:p>
          <w:p>
            <w:pPr>
              <w:spacing w:after="60" w:line="260"/>
            </w:pPr>
            <w:r>
              <w:rPr>
                <w:sz w:val="18"/>
                <w:szCs w:val="18"/>
              </w:rPr>
              <w:t xml:space="preserve">DLR 48% GM, ~46% EBITDA.</w:t>
            </w:r>
          </w:p>
          <w:p>
            <w:pPr>
              <w:spacing w:after="60" w:line="260"/>
            </w:pPr>
            <w:r>
              <w:rPr>
                <w:sz w:val="18"/>
                <w:szCs w:val="18"/>
              </w:rPr>
              <w:t xml:space="preserve">PWR contractor: ~16% GM, 8% op margin.</w:t>
            </w:r>
          </w:p>
          <w:p>
            <w:pPr>
              <w:spacing w:after="60" w:line="260"/>
            </w:pPr>
            <w:r>
              <w:rPr>
                <w:sz w:val="18"/>
                <w:szCs w:val="18"/>
              </w:rPr>
              <w:t xml:space="preserve">FIX: 22% GM, 13% op margin.</w:t>
            </w:r>
          </w:p>
        </w:tc>
      </w:tr>
    </w:tbl>
    <w:p>
      <w:pPr>
        <w:spacing w:after="80" w:before="160"/>
      </w:pPr>
      <w:r>
        <w:rPr>
          <w:b/>
          <w:bCs/>
          <w:color w:val="1F3A5F"/>
          <w:sz w:val="21"/>
          <w:szCs w:val="21"/>
        </w:rPr>
        <w:t xml:space="preserve">What this layer does</w:t>
      </w:r>
    </w:p>
    <w:p>
      <w:pPr>
        <w:spacing w:after="100" w:before="0" w:line="300"/>
        <w:jc w:val="left"/>
      </w:pPr>
      <w:r>
        <w:rPr>
          <w:b w:val="false"/>
          <w:bCs w:val="false"/>
          <w:i w:val="false"/>
          <w:iCs w:val="false"/>
          <w:color w:val="000000"/>
          <w:sz w:val="22"/>
          <w:szCs w:val="22"/>
        </w:rPr>
        <w:t xml:space="preserve">Physical buildings and the contractors who build them. Hyperscalers either own DCs outright (Microsoft, Google, Meta own a lot) or lease from REITs (Equinix, Digital Realty). All hyperscalers — whether owners or lessees — hire specialist electrical and mechanical contractors (Quanta Services, Comfort Systems, EMCOR) to actually build and wire the facilities.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BFBFBF" w:sz="4"/>
              <w:left w:val="single" w:color="BFBFBF" w:sz="4"/>
              <w:bottom w:val="single" w:color="BFBFBF" w:sz="4"/>
              <w:right w:val="single" w:color="BFBFBF" w:sz="4"/>
            </w:tcBorders>
            <w:shd w:fill="FFF8E1" w:val="clear"/>
            <w:tcMar>
              <w:top w:type="dxa" w:w="100"/>
              <w:left w:type="dxa" w:w="160"/>
              <w:bottom w:type="dxa" w:w="100"/>
              <w:right w:type="dxa" w:w="160"/>
            </w:tcMar>
          </w:tcPr>
          <w:p>
            <w:pPr>
              <w:spacing w:after="60" w:line="280"/>
            </w:pPr>
            <w:r>
              <w:rPr>
                <w:b/>
                <w:bCs/>
                <w:color w:val="1F3A5F"/>
                <w:sz w:val="20"/>
                <w:szCs w:val="20"/>
              </w:rPr>
              <w:t xml:space="preserve">Retail colo</w:t>
            </w:r>
            <w:r>
              <w:rPr>
                <w:color w:val="1F3A5F"/>
                <w:sz w:val="20"/>
                <w:szCs w:val="20"/>
              </w:rPr>
              <w:t xml:space="preserve"> — </w:t>
            </w:r>
            <w:r>
              <w:rPr>
                <w:sz w:val="20"/>
                <w:szCs w:val="20"/>
              </w:rPr>
              <w:t xml:space="preserve">Many customers lease individual cabinets/cages. Equinix is #1. Customers are usually enterprises wanting to connect to multiple cloud providers in one place ('interconnection').</w:t>
            </w:r>
          </w:p>
        </w:tc>
      </w:tr>
      <w:tr>
        <w:tc>
          <w:tcPr>
            <w:tcW w:type="dxa" w:w="10440"/>
            <w:tcBorders>
              <w:top w:val="single" w:color="BFBFBF" w:sz="4"/>
              <w:left w:val="single" w:color="BFBFBF" w:sz="4"/>
              <w:bottom w:val="single" w:color="BFBFBF" w:sz="4"/>
              <w:right w:val="single" w:color="BFBFBF" w:sz="4"/>
            </w:tcBorders>
            <w:shd w:fill="FFF8E1" w:val="clear"/>
            <w:tcMar>
              <w:top w:type="dxa" w:w="100"/>
              <w:left w:type="dxa" w:w="160"/>
              <w:bottom w:type="dxa" w:w="100"/>
              <w:right w:type="dxa" w:w="160"/>
            </w:tcMar>
          </w:tcPr>
          <w:p>
            <w:pPr>
              <w:spacing w:after="60" w:line="280"/>
            </w:pPr>
            <w:r>
              <w:rPr>
                <w:b/>
                <w:bCs/>
                <w:color w:val="1F3A5F"/>
                <w:sz w:val="20"/>
                <w:szCs w:val="20"/>
              </w:rPr>
              <w:t xml:space="preserve">Wholesale colo</w:t>
            </w:r>
            <w:r>
              <w:rPr>
                <w:color w:val="1F3A5F"/>
                <w:sz w:val="20"/>
                <w:szCs w:val="20"/>
              </w:rPr>
              <w:t xml:space="preserve"> — </w:t>
            </w:r>
            <w:r>
              <w:rPr>
                <w:sz w:val="20"/>
                <w:szCs w:val="20"/>
              </w:rPr>
              <w:t xml:space="preserve">One large customer leases an entire building or large 'powered shell'. Digital Realty is #1.</w:t>
            </w:r>
          </w:p>
        </w:tc>
      </w:tr>
      <w:tr>
        <w:tc>
          <w:tcPr>
            <w:tcW w:type="dxa" w:w="10440"/>
            <w:tcBorders>
              <w:top w:val="single" w:color="BFBFBF" w:sz="4"/>
              <w:left w:val="single" w:color="BFBFBF" w:sz="4"/>
              <w:bottom w:val="single" w:color="BFBFBF" w:sz="4"/>
              <w:right w:val="single" w:color="BFBFBF" w:sz="4"/>
            </w:tcBorders>
            <w:shd w:fill="FFF8E1" w:val="clear"/>
            <w:tcMar>
              <w:top w:type="dxa" w:w="100"/>
              <w:left w:type="dxa" w:w="160"/>
              <w:bottom w:type="dxa" w:w="100"/>
              <w:right w:type="dxa" w:w="160"/>
            </w:tcMar>
          </w:tcPr>
          <w:p>
            <w:pPr>
              <w:spacing w:after="60" w:line="280"/>
            </w:pPr>
            <w:r>
              <w:rPr>
                <w:b/>
                <w:bCs/>
                <w:color w:val="1F3A5F"/>
                <w:sz w:val="20"/>
                <w:szCs w:val="20"/>
              </w:rPr>
              <w:t xml:space="preserve">DC REIT</w:t>
            </w:r>
            <w:r>
              <w:rPr>
                <w:color w:val="1F3A5F"/>
                <w:sz w:val="20"/>
                <w:szCs w:val="20"/>
              </w:rPr>
              <w:t xml:space="preserve"> — </w:t>
            </w:r>
            <w:r>
              <w:rPr>
                <w:sz w:val="20"/>
                <w:szCs w:val="20"/>
              </w:rPr>
              <w:t xml:space="preserve">Real Estate Investment Trust — owns DC buildings, leases them out, distributes income as dividends. EQIX and DLR are the two largest.</w:t>
            </w:r>
          </w:p>
        </w:tc>
      </w:tr>
    </w:tbl>
    <w:p>
      <w:pPr>
        <w:spacing w:after="80" w:before="160"/>
      </w:pPr>
      <w:r>
        <w:rPr>
          <w:b/>
          <w:bCs/>
          <w:color w:val="1F3A5F"/>
          <w:sz w:val="21"/>
          <w:szCs w:val="21"/>
        </w:rPr>
        <w:t xml:space="preserve">Who pays whom</w:t>
      </w:r>
    </w:p>
    <w:p>
      <w:pPr>
        <w:spacing w:after="100" w:before="0" w:line="300"/>
        <w:jc w:val="left"/>
      </w:pPr>
      <w:r>
        <w:rPr>
          <w:b w:val="false"/>
          <w:bCs w:val="false"/>
          <w:i w:val="false"/>
          <w:iCs w:val="false"/>
          <w:color w:val="000000"/>
          <w:sz w:val="22"/>
          <w:szCs w:val="22"/>
        </w:rPr>
        <w:t xml:space="preserve">Hyperscalers (L8) + large enterprises pay DC REITs monthly rent for space + power. Hyperscalers + REITs pay construction contractors (Quanta, Comfort Systems, EMCOR) for new builds and retrofits. The contractors buy electrical equipment from L0 (Schneider, Eaton switchgear; Vertiv cooling) and hire union electricians.</w:t>
      </w:r>
    </w:p>
    <w:p>
      <w:pPr>
        <w:spacing w:after="80" w:before="160"/>
      </w:pPr>
      <w:r>
        <w:rPr>
          <w:b/>
          <w:bCs/>
          <w:color w:val="1F3A5F"/>
          <w:sz w:val="21"/>
          <w:szCs w:val="21"/>
        </w:rPr>
        <w:t xml:space="preserve">Sub-segments</w:t>
      </w:r>
    </w:p>
    <w:p>
      <w:pPr>
        <w:pStyle w:val="ListParagraph"/>
        <w:numPr>
          <w:ilvl w:val="0"/>
          <w:numId w:val="2"/>
        </w:numPr>
        <w:spacing w:after="80" w:line="300"/>
      </w:pPr>
      <w:r>
        <w:rPr>
          <w:sz w:val="22"/>
          <w:szCs w:val="22"/>
        </w:rPr>
        <w:t xml:space="preserve">Colocation REITs (EQIX, DLR) — own and operate buildings; lease space.</w:t>
      </w:r>
    </w:p>
    <w:p>
      <w:pPr>
        <w:pStyle w:val="ListParagraph"/>
        <w:numPr>
          <w:ilvl w:val="0"/>
          <w:numId w:val="2"/>
        </w:numPr>
        <w:spacing w:after="80" w:line="300"/>
      </w:pPr>
      <w:r>
        <w:rPr>
          <w:sz w:val="22"/>
          <w:szCs w:val="22"/>
        </w:rPr>
        <w:t xml:space="preserve">Wholesale developers (QTS private/Blackstone; Vantage/DigitalBridge) — build single-tenant powered shells.</w:t>
      </w:r>
    </w:p>
    <w:p>
      <w:pPr>
        <w:pStyle w:val="ListParagraph"/>
        <w:numPr>
          <w:ilvl w:val="0"/>
          <w:numId w:val="2"/>
        </w:numPr>
        <w:spacing w:after="80" w:line="300"/>
      </w:pPr>
      <w:r>
        <w:rPr>
          <w:sz w:val="22"/>
          <w:szCs w:val="22"/>
        </w:rPr>
        <w:t xml:space="preserve">Electrical contractors (PWR — Quanta Services; FIX — Comfort Systems; EME — EMCOR) — physical build-out: power distribution, switchgear installation, fiber pulling.</w:t>
      </w:r>
    </w:p>
    <w:p>
      <w:pPr>
        <w:pStyle w:val="ListParagraph"/>
        <w:numPr>
          <w:ilvl w:val="0"/>
          <w:numId w:val="2"/>
        </w:numPr>
        <w:spacing w:after="80" w:line="300"/>
      </w:pPr>
      <w:r>
        <w:rPr>
          <w:sz w:val="22"/>
          <w:szCs w:val="22"/>
        </w:rPr>
        <w:t xml:space="preserve">Specialty mid-caps (STRL — Sterling; PRIM — Primoris) — site work, grid interconnection.</w:t>
      </w:r>
    </w:p>
    <w:p>
      <w:pPr>
        <w:spacing w:after="80" w:before="160"/>
      </w:pPr>
      <w:r>
        <w:rPr>
          <w:b/>
          <w:bCs/>
          <w:color w:val="1F3A5F"/>
          <w:sz w:val="21"/>
          <w:szCs w:val="21"/>
        </w:rPr>
        <w:t xml:space="preserve">How to analyze this layer</w:t>
      </w:r>
    </w:p>
    <w:p>
      <w:pPr>
        <w:spacing w:after="100" w:before="0" w:line="300"/>
        <w:jc w:val="left"/>
      </w:pPr>
      <w:r>
        <w:rPr>
          <w:b w:val="false"/>
          <w:bCs w:val="false"/>
          <w:i w:val="false"/>
          <w:iCs w:val="false"/>
          <w:color w:val="000000"/>
          <w:sz w:val="22"/>
          <w:szCs w:val="22"/>
        </w:rPr>
        <w:t xml:space="preserve">For REITs: lease backlog, capacity under construction (DLR has 769 MW under construction Q4 25), vacancy rates (NoVa &lt;5% means real pricing power), and AFFO (Adjusted Funds From Operations — REIT-specific cash flow metric — EQIX guiding $4.20-$4.28B for 2026, +9-11% growth). EQIX trades at premium for interconnection moat (260+ IBX facilities in 33 countries → 51% EBITDA margin vs wholesale peers' ~40%). For contractors: backlog growth, gross margin trajectory (PWR's grid-interconnect work has higher margins as bottleneck worsens).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700"/>
        <w:gridCol w:w="4700"/>
      </w:tblGrid>
      <w:tr>
        <w:trPr>
          <w:tblHeader/>
        </w:trPr>
        <w:tc>
          <w:tcPr>
            <w:tcW w:type="dxa" w:w="9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Ticker</w:t>
            </w:r>
          </w:p>
        </w:tc>
        <w:tc>
          <w:tcPr>
            <w:tcW w:type="dxa" w:w="21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Company</w:t>
            </w:r>
          </w:p>
        </w:tc>
        <w:tc>
          <w:tcPr>
            <w:tcW w:type="dxa" w:w="27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Position</w:t>
            </w:r>
          </w:p>
        </w:tc>
        <w:tc>
          <w:tcPr>
            <w:tcW w:type="dxa" w:w="47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FY25 Revenue</w:t>
            </w:r>
          </w:p>
        </w:tc>
      </w:tr>
      <w:tr>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EQIX</w:t>
            </w:r>
          </w:p>
        </w:tc>
        <w:tc>
          <w:tcPr>
            <w:tcW w:type="dxa" w:w="2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Equinix</w:t>
            </w:r>
          </w:p>
        </w:tc>
        <w:tc>
          <w:tcPr>
            <w:tcW w:type="dxa" w:w="2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#1 retail colo + interconnection</w:t>
            </w:r>
          </w:p>
        </w:tc>
        <w:tc>
          <w:tcPr>
            <w:tcW w:type="dxa" w:w="4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$9.2B</w:t>
            </w:r>
          </w:p>
        </w:tc>
      </w:tr>
      <w:tr>
        <w:tc>
          <w:tcPr>
            <w:tcW w:type="dxa" w:w="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DLR</w:t>
            </w:r>
          </w:p>
        </w:tc>
        <w:tc>
          <w:tcPr>
            <w:tcW w:type="dxa" w:w="21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Digital Realty</w:t>
            </w:r>
          </w:p>
        </w:tc>
        <w:tc>
          <w:tcPr>
            <w:tcW w:type="dxa" w:w="2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#1 wholesale colo</w:t>
            </w:r>
          </w:p>
        </w:tc>
        <w:tc>
          <w:tcPr>
            <w:tcW w:type="dxa" w:w="4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$6.1B</w:t>
            </w:r>
          </w:p>
        </w:tc>
      </w:tr>
      <w:tr>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PWR</w:t>
            </w:r>
          </w:p>
        </w:tc>
        <w:tc>
          <w:tcPr>
            <w:tcW w:type="dxa" w:w="2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Quanta Services</w:t>
            </w:r>
          </w:p>
        </w:tc>
        <w:tc>
          <w:tcPr>
            <w:tcW w:type="dxa" w:w="2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Grid + DC electrical contractor</w:t>
            </w:r>
          </w:p>
        </w:tc>
        <w:tc>
          <w:tcPr>
            <w:tcW w:type="dxa" w:w="4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~$25B</w:t>
            </w:r>
          </w:p>
        </w:tc>
      </w:tr>
      <w:tr>
        <w:tc>
          <w:tcPr>
            <w:tcW w:type="dxa" w:w="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FIX</w:t>
            </w:r>
          </w:p>
        </w:tc>
        <w:tc>
          <w:tcPr>
            <w:tcW w:type="dxa" w:w="21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Comfort Systems USA</w:t>
            </w:r>
          </w:p>
        </w:tc>
        <w:tc>
          <w:tcPr>
            <w:tcW w:type="dxa" w:w="2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DC mechanical + electrical</w:t>
            </w:r>
          </w:p>
        </w:tc>
        <w:tc>
          <w:tcPr>
            <w:tcW w:type="dxa" w:w="4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~$8B</w:t>
            </w:r>
          </w:p>
        </w:tc>
      </w:tr>
    </w:tbl>
    <w:p>
      <w:r>
        <w:br w:type="page"/>
      </w:r>
    </w:p>
    <w:p>
      <w:pPr>
        <w:pStyle w:val="Heading2"/>
        <w:spacing w:after="140" w:before="280"/>
      </w:pPr>
      <w:r>
        <w:rPr>
          <w:b/>
          <w:bCs/>
          <w:color w:val="1F3A5F"/>
          <w:sz w:val="26"/>
          <w:szCs w:val="26"/>
        </w:rPr>
        <w:t xml:space="preserve">4.5 Layer 6 — Networking + Silicon Photonics + Fiber + AI-RAN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480"/>
        <w:gridCol w:w="3480"/>
        <w:gridCol w:w="3480"/>
      </w:tblGrid>
      <w:tr>
        <w:tc>
          <w:tcPr>
            <w:tcW w:type="dxa" w:w="3480"/>
            <w:tcBorders>
              <w:top w:val="single" w:color="BFBFBF" w:sz="4"/>
              <w:left w:val="single" w:color="BFBFBF" w:sz="4"/>
              <w:bottom w:val="single" w:color="BFBFBF" w:sz="4"/>
              <w:right w:val="single" w:color="BFBFBF" w:sz="4"/>
            </w:tcBorders>
            <w:shd w:fill="FEECEC" w:val="clear"/>
            <w:tcMar>
              <w:top w:type="dxa" w:w="140"/>
              <w:left w:type="dxa" w:w="160"/>
              <w:bottom w:type="dxa" w:w="140"/>
              <w:right w:type="dxa" w:w="160"/>
            </w:tcMar>
            <w:vAlign w:val="top"/>
          </w:tcPr>
          <w:p>
            <w:pPr>
              <w:spacing w:after="80" w:line="260"/>
            </w:pPr>
            <w:r>
              <w:rPr>
                <w:b/>
                <w:bCs/>
                <w:color w:val="1F3A5F"/>
                <w:sz w:val="20"/>
                <w:szCs w:val="20"/>
              </w:rPr>
              <w:t xml:space="preserve">Bottleneck</w:t>
            </w:r>
          </w:p>
          <w:p>
            <w:pPr>
              <w:spacing w:after="60" w:line="260"/>
            </w:pPr>
            <w:r>
              <w:rPr>
                <w:sz w:val="18"/>
                <w:szCs w:val="18"/>
              </w:rPr>
              <w:t xml:space="preserve">VERY HIGH for optics, MEDIUM for switching.</w:t>
            </w:r>
          </w:p>
          <w:p>
            <w:pPr>
              <w:spacing w:after="60" w:line="260"/>
            </w:pPr>
            <w:r>
              <w:rPr>
                <w:sz w:val="18"/>
                <w:szCs w:val="18"/>
              </w:rPr>
              <w:t xml:space="preserve">EML lasers + InP transceivers sold out through 2027.</w:t>
            </w:r>
          </w:p>
          <w:p>
            <w:pPr>
              <w:spacing w:after="60" w:line="260"/>
            </w:pPr>
            <w:r>
              <w:rPr>
                <w:sz w:val="18"/>
                <w:szCs w:val="18"/>
              </w:rPr>
              <w:t xml:space="preserve">Resolution: capacity coming on slowly through 2027 (LTAs locked in). Switching has multi-vendor supply but Tomahawk 5 ASIC silicon is allocated.</w:t>
            </w:r>
          </w:p>
        </w:tc>
        <w:tc>
          <w:tcPr>
            <w:tcW w:type="dxa" w:w="3480"/>
            <w:tcBorders>
              <w:top w:val="single" w:color="BFBFBF" w:sz="4"/>
              <w:left w:val="single" w:color="BFBFBF" w:sz="4"/>
              <w:bottom w:val="single" w:color="BFBFBF" w:sz="4"/>
              <w:right w:val="single" w:color="BFBFBF" w:sz="4"/>
            </w:tcBorders>
            <w:shd w:fill="EDF4FF" w:val="clear"/>
            <w:tcMar>
              <w:top w:type="dxa" w:w="140"/>
              <w:left w:type="dxa" w:w="160"/>
              <w:bottom w:type="dxa" w:w="140"/>
              <w:right w:type="dxa" w:w="160"/>
            </w:tcMar>
            <w:vAlign w:val="top"/>
          </w:tcPr>
          <w:p>
            <w:pPr>
              <w:spacing w:after="80" w:line="260"/>
            </w:pPr>
            <w:r>
              <w:rPr>
                <w:b/>
                <w:bCs/>
                <w:color w:val="1F3A5F"/>
                <w:sz w:val="20"/>
                <w:szCs w:val="20"/>
              </w:rPr>
              <w:t xml:space="preserve">Market Size</w:t>
            </w:r>
          </w:p>
          <w:p>
            <w:pPr>
              <w:spacing w:after="60" w:line="260"/>
            </w:pPr>
            <w:r>
              <w:rPr>
                <w:sz w:val="18"/>
                <w:szCs w:val="18"/>
              </w:rPr>
              <w:t xml:space="preserve">~$60B in 2026E.</w:t>
            </w:r>
          </w:p>
          <w:p>
            <w:pPr>
              <w:spacing w:after="60" w:line="260"/>
            </w:pPr>
            <w:r>
              <w:rPr>
                <w:sz w:val="18"/>
                <w:szCs w:val="18"/>
              </w:rPr>
              <w:t xml:space="preserve">Ethernet DC switching ~$60-65B (2025).</w:t>
            </w:r>
          </w:p>
          <w:p>
            <w:pPr>
              <w:spacing w:after="60" w:line="260"/>
            </w:pPr>
            <w:r>
              <w:rPr>
                <w:sz w:val="18"/>
                <w:szCs w:val="18"/>
              </w:rPr>
              <w:t xml:space="preserve">Optics market ~$22B with 25%+ CAGR.</w:t>
            </w:r>
          </w:p>
          <w:p>
            <w:pPr>
              <w:spacing w:after="60" w:line="260"/>
            </w:pPr>
            <w:r>
              <w:rPr>
                <w:sz w:val="18"/>
                <w:szCs w:val="18"/>
              </w:rPr>
              <w:t xml:space="preserve">Silicon photonics $2.6B → $22B by 2034 (26% CAGR).</w:t>
            </w:r>
          </w:p>
          <w:p>
            <w:pPr>
              <w:spacing w:after="60" w:line="260"/>
            </w:pPr>
            <w:r>
              <w:rPr>
                <w:sz w:val="18"/>
                <w:szCs w:val="18"/>
              </w:rPr>
              <w:t xml:space="preserve">AI-RAN cumulative TAM &gt;$200B by 2030 (Omdia).</w:t>
            </w:r>
          </w:p>
        </w:tc>
        <w:tc>
          <w:tcPr>
            <w:tcW w:type="dxa" w:w="3480"/>
            <w:tcBorders>
              <w:top w:val="single" w:color="BFBFBF" w:sz="4"/>
              <w:left w:val="single" w:color="BFBFBF" w:sz="4"/>
              <w:bottom w:val="single" w:color="BFBFBF" w:sz="4"/>
              <w:right w:val="single" w:color="BFBFBF" w:sz="4"/>
            </w:tcBorders>
            <w:shd w:fill="ECF7EC" w:val="clear"/>
            <w:tcMar>
              <w:top w:type="dxa" w:w="140"/>
              <w:left w:type="dxa" w:w="160"/>
              <w:bottom w:type="dxa" w:w="140"/>
              <w:right w:type="dxa" w:w="160"/>
            </w:tcMar>
            <w:vAlign w:val="top"/>
          </w:tcPr>
          <w:p>
            <w:pPr>
              <w:spacing w:after="80" w:line="260"/>
            </w:pPr>
            <w:r>
              <w:rPr>
                <w:b/>
                <w:bCs/>
                <w:color w:val="1F3A5F"/>
                <w:sz w:val="20"/>
                <w:szCs w:val="20"/>
              </w:rPr>
              <w:t xml:space="preserve">Value Added &amp; Margins</w:t>
            </w:r>
          </w:p>
          <w:p>
            <w:pPr>
              <w:spacing w:after="60" w:line="260"/>
            </w:pPr>
            <w:r>
              <w:rPr>
                <w:sz w:val="18"/>
                <w:szCs w:val="18"/>
              </w:rPr>
              <w:t xml:space="preserve">VERY HIGH for optics specialists.</w:t>
            </w:r>
          </w:p>
          <w:p>
            <w:pPr>
              <w:spacing w:after="60" w:line="260"/>
            </w:pPr>
            <w:r>
              <w:rPr>
                <w:sz w:val="18"/>
                <w:szCs w:val="18"/>
              </w:rPr>
              <w:t xml:space="preserve">ANET 41% op margin.</w:t>
            </w:r>
          </w:p>
          <w:p>
            <w:pPr>
              <w:spacing w:after="60" w:line="260"/>
            </w:pPr>
            <w:r>
              <w:rPr>
                <w:sz w:val="18"/>
                <w:szCs w:val="18"/>
              </w:rPr>
              <w:t xml:space="preserve">LITE 32% op margin.</w:t>
            </w:r>
          </w:p>
          <w:p>
            <w:pPr>
              <w:spacing w:after="60" w:line="260"/>
            </w:pPr>
            <w:r>
              <w:rPr>
                <w:sz w:val="18"/>
                <w:szCs w:val="18"/>
              </w:rPr>
              <w:t xml:space="preserve">COHR ~25% op margin.</w:t>
            </w:r>
          </w:p>
          <w:p>
            <w:pPr>
              <w:spacing w:after="60" w:line="260"/>
            </w:pPr>
            <w:r>
              <w:rPr>
                <w:sz w:val="18"/>
                <w:szCs w:val="18"/>
              </w:rPr>
              <w:t xml:space="preserve">AVGO networking ~50% op margin.</w:t>
            </w:r>
          </w:p>
          <w:p>
            <w:pPr>
              <w:spacing w:after="60" w:line="260"/>
            </w:pPr>
            <w:r>
              <w:rPr>
                <w:sz w:val="18"/>
                <w:szCs w:val="18"/>
              </w:rPr>
              <w:t xml:space="preserve">Fiber (GLW) ~20% group GM but rising on AI mix.</w:t>
            </w:r>
          </w:p>
        </w:tc>
      </w:tr>
    </w:tbl>
    <w:p>
      <w:pPr>
        <w:spacing w:after="80" w:before="160"/>
      </w:pPr>
      <w:r>
        <w:rPr>
          <w:b/>
          <w:bCs/>
          <w:color w:val="1F3A5F"/>
          <w:sz w:val="21"/>
          <w:szCs w:val="21"/>
        </w:rPr>
        <w:t xml:space="preserve">What this layer does</w:t>
      </w:r>
    </w:p>
    <w:p>
      <w:pPr>
        <w:spacing w:after="100" w:before="0" w:line="300"/>
        <w:jc w:val="left"/>
      </w:pPr>
      <w:r>
        <w:rPr>
          <w:b w:val="false"/>
          <w:bCs w:val="false"/>
          <w:i w:val="false"/>
          <w:iCs w:val="false"/>
          <w:color w:val="000000"/>
          <w:sz w:val="22"/>
          <w:szCs w:val="22"/>
        </w:rPr>
        <w:t xml:space="preserve">AI training requires thousands of GPUs to communicate at low latency. Networking is ~10-15% of total cluster cost but mission-critical. Four major sub-segments: (a) DC Ethernet switching, (b) optical transceivers + components, (c) silicon photonics, (d) optical fiber. AI-RAN is an emerging fifth sub-segment bridging telecom and AI.</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BFBFBF" w:sz="4"/>
              <w:left w:val="single" w:color="BFBFBF" w:sz="4"/>
              <w:bottom w:val="single" w:color="BFBFBF" w:sz="4"/>
              <w:right w:val="single" w:color="BFBFBF" w:sz="4"/>
            </w:tcBorders>
            <w:shd w:fill="FFF8E1" w:val="clear"/>
            <w:tcMar>
              <w:top w:type="dxa" w:w="100"/>
              <w:left w:type="dxa" w:w="160"/>
              <w:bottom w:type="dxa" w:w="100"/>
              <w:right w:type="dxa" w:w="160"/>
            </w:tcMar>
          </w:tcPr>
          <w:p>
            <w:pPr>
              <w:spacing w:after="60" w:line="280"/>
            </w:pPr>
            <w:r>
              <w:rPr>
                <w:b/>
                <w:bCs/>
                <w:color w:val="1F3A5F"/>
                <w:sz w:val="20"/>
                <w:szCs w:val="20"/>
              </w:rPr>
              <w:t xml:space="preserve">Ethernet switching</w:t>
            </w:r>
            <w:r>
              <w:rPr>
                <w:color w:val="1F3A5F"/>
                <w:sz w:val="20"/>
                <w:szCs w:val="20"/>
              </w:rPr>
              <w:t xml:space="preserve"> — </w:t>
            </w:r>
            <w:r>
              <w:rPr>
                <w:sz w:val="20"/>
                <w:szCs w:val="20"/>
              </w:rPr>
              <w:t xml:space="preserve">An Ethernet 'switch' routes network traffic between servers. Arista (ANET) and Cisco (CSCO) are the leaders. Inside training clusters, NVIDIA's InfiniBand competes with Ethernet.</w:t>
            </w:r>
          </w:p>
        </w:tc>
      </w:tr>
      <w:tr>
        <w:tc>
          <w:tcPr>
            <w:tcW w:type="dxa" w:w="10440"/>
            <w:tcBorders>
              <w:top w:val="single" w:color="BFBFBF" w:sz="4"/>
              <w:left w:val="single" w:color="BFBFBF" w:sz="4"/>
              <w:bottom w:val="single" w:color="BFBFBF" w:sz="4"/>
              <w:right w:val="single" w:color="BFBFBF" w:sz="4"/>
            </w:tcBorders>
            <w:shd w:fill="FFF8E1" w:val="clear"/>
            <w:tcMar>
              <w:top w:type="dxa" w:w="100"/>
              <w:left w:type="dxa" w:w="160"/>
              <w:bottom w:type="dxa" w:w="100"/>
              <w:right w:type="dxa" w:w="160"/>
            </w:tcMar>
          </w:tcPr>
          <w:p>
            <w:pPr>
              <w:spacing w:after="60" w:line="280"/>
            </w:pPr>
            <w:r>
              <w:rPr>
                <w:b/>
                <w:bCs/>
                <w:color w:val="1F3A5F"/>
                <w:sz w:val="20"/>
                <w:szCs w:val="20"/>
              </w:rPr>
              <w:t xml:space="preserve">Optical transceiver / pluggable</w:t>
            </w:r>
            <w:r>
              <w:rPr>
                <w:color w:val="1F3A5F"/>
                <w:sz w:val="20"/>
                <w:szCs w:val="20"/>
              </w:rPr>
              <w:t xml:space="preserve"> — </w:t>
            </w:r>
            <w:r>
              <w:rPr>
                <w:sz w:val="20"/>
                <w:szCs w:val="20"/>
              </w:rPr>
              <w:t xml:space="preserve">Small modules that convert electrical signals to light pulses for fiber transmission. Modern AI clusters use 800G (gigabit) modules → 1.6T (terabit). Coherent and Lumentum are leaders.</w:t>
            </w:r>
          </w:p>
        </w:tc>
      </w:tr>
      <w:tr>
        <w:tc>
          <w:tcPr>
            <w:tcW w:type="dxa" w:w="10440"/>
            <w:tcBorders>
              <w:top w:val="single" w:color="BFBFBF" w:sz="4"/>
              <w:left w:val="single" w:color="BFBFBF" w:sz="4"/>
              <w:bottom w:val="single" w:color="BFBFBF" w:sz="4"/>
              <w:right w:val="single" w:color="BFBFBF" w:sz="4"/>
            </w:tcBorders>
            <w:shd w:fill="FFF8E1" w:val="clear"/>
            <w:tcMar>
              <w:top w:type="dxa" w:w="100"/>
              <w:left w:type="dxa" w:w="160"/>
              <w:bottom w:type="dxa" w:w="100"/>
              <w:right w:type="dxa" w:w="160"/>
            </w:tcMar>
          </w:tcPr>
          <w:p>
            <w:pPr>
              <w:spacing w:after="60" w:line="280"/>
            </w:pPr>
            <w:r>
              <w:rPr>
                <w:b/>
                <w:bCs/>
                <w:color w:val="1F3A5F"/>
                <w:sz w:val="20"/>
                <w:szCs w:val="20"/>
              </w:rPr>
              <w:t xml:space="preserve">EML (Externally Modulated Laser)</w:t>
            </w:r>
            <w:r>
              <w:rPr>
                <w:color w:val="1F3A5F"/>
                <w:sz w:val="20"/>
                <w:szCs w:val="20"/>
              </w:rPr>
              <w:t xml:space="preserve"> — </w:t>
            </w:r>
            <w:r>
              <w:rPr>
                <w:sz w:val="20"/>
                <w:szCs w:val="20"/>
              </w:rPr>
              <w:t xml:space="preserve">A laser type used inside high-speed optical transceivers. Critical for 200G-per-lane transmission → enables 1.6T modules. Lumentum has 50-60% global share.</w:t>
            </w:r>
          </w:p>
        </w:tc>
      </w:tr>
      <w:tr>
        <w:tc>
          <w:tcPr>
            <w:tcW w:type="dxa" w:w="10440"/>
            <w:tcBorders>
              <w:top w:val="single" w:color="BFBFBF" w:sz="4"/>
              <w:left w:val="single" w:color="BFBFBF" w:sz="4"/>
              <w:bottom w:val="single" w:color="BFBFBF" w:sz="4"/>
              <w:right w:val="single" w:color="BFBFBF" w:sz="4"/>
            </w:tcBorders>
            <w:shd w:fill="FFF8E1" w:val="clear"/>
            <w:tcMar>
              <w:top w:type="dxa" w:w="100"/>
              <w:left w:type="dxa" w:w="160"/>
              <w:bottom w:type="dxa" w:w="100"/>
              <w:right w:type="dxa" w:w="160"/>
            </w:tcMar>
          </w:tcPr>
          <w:p>
            <w:pPr>
              <w:spacing w:after="60" w:line="280"/>
            </w:pPr>
            <w:r>
              <w:rPr>
                <w:b/>
                <w:bCs/>
                <w:color w:val="1F3A5F"/>
                <w:sz w:val="20"/>
                <w:szCs w:val="20"/>
              </w:rPr>
              <w:t xml:space="preserve">OCS (Optical Circuit Switch)</w:t>
            </w:r>
            <w:r>
              <w:rPr>
                <w:color w:val="1F3A5F"/>
                <w:sz w:val="20"/>
                <w:szCs w:val="20"/>
              </w:rPr>
              <w:t xml:space="preserve"> — </w:t>
            </w:r>
            <w:r>
              <w:rPr>
                <w:sz w:val="20"/>
                <w:szCs w:val="20"/>
              </w:rPr>
              <w:t xml:space="preserve">A switch that routes light directly without converting to electrons. Major power-efficiency advantage for AI training. Lumentum is the leader; Google deployed OCS at scale in TPU pods.</w:t>
            </w:r>
          </w:p>
        </w:tc>
      </w:tr>
      <w:tr>
        <w:tc>
          <w:tcPr>
            <w:tcW w:type="dxa" w:w="10440"/>
            <w:tcBorders>
              <w:top w:val="single" w:color="BFBFBF" w:sz="4"/>
              <w:left w:val="single" w:color="BFBFBF" w:sz="4"/>
              <w:bottom w:val="single" w:color="BFBFBF" w:sz="4"/>
              <w:right w:val="single" w:color="BFBFBF" w:sz="4"/>
            </w:tcBorders>
            <w:shd w:fill="FFF8E1" w:val="clear"/>
            <w:tcMar>
              <w:top w:type="dxa" w:w="100"/>
              <w:left w:type="dxa" w:w="160"/>
              <w:bottom w:type="dxa" w:w="100"/>
              <w:right w:type="dxa" w:w="160"/>
            </w:tcMar>
          </w:tcPr>
          <w:p>
            <w:pPr>
              <w:spacing w:after="60" w:line="280"/>
            </w:pPr>
            <w:r>
              <w:rPr>
                <w:b/>
                <w:bCs/>
                <w:color w:val="1F3A5F"/>
                <w:sz w:val="20"/>
                <w:szCs w:val="20"/>
              </w:rPr>
              <w:t xml:space="preserve">DSP (Digital Signal Processor)</w:t>
            </w:r>
            <w:r>
              <w:rPr>
                <w:color w:val="1F3A5F"/>
                <w:sz w:val="20"/>
                <w:szCs w:val="20"/>
              </w:rPr>
              <w:t xml:space="preserve"> — </w:t>
            </w:r>
            <w:r>
              <w:rPr>
                <w:sz w:val="20"/>
                <w:szCs w:val="20"/>
              </w:rPr>
              <w:t xml:space="preserve">The chip inside optical transceivers that processes data. Marvell is the leader.</w:t>
            </w:r>
          </w:p>
        </w:tc>
      </w:tr>
      <w:tr>
        <w:tc>
          <w:tcPr>
            <w:tcW w:type="dxa" w:w="10440"/>
            <w:tcBorders>
              <w:top w:val="single" w:color="BFBFBF" w:sz="4"/>
              <w:left w:val="single" w:color="BFBFBF" w:sz="4"/>
              <w:bottom w:val="single" w:color="BFBFBF" w:sz="4"/>
              <w:right w:val="single" w:color="BFBFBF" w:sz="4"/>
            </w:tcBorders>
            <w:shd w:fill="FFF8E1" w:val="clear"/>
            <w:tcMar>
              <w:top w:type="dxa" w:w="100"/>
              <w:left w:type="dxa" w:w="160"/>
              <w:bottom w:type="dxa" w:w="100"/>
              <w:right w:type="dxa" w:w="160"/>
            </w:tcMar>
          </w:tcPr>
          <w:p>
            <w:pPr>
              <w:spacing w:after="60" w:line="280"/>
            </w:pPr>
            <w:r>
              <w:rPr>
                <w:b/>
                <w:bCs/>
                <w:color w:val="1F3A5F"/>
                <w:sz w:val="20"/>
                <w:szCs w:val="20"/>
              </w:rPr>
              <w:t xml:space="preserve">PCIe / CXL</w:t>
            </w:r>
            <w:r>
              <w:rPr>
                <w:color w:val="1F3A5F"/>
                <w:sz w:val="20"/>
                <w:szCs w:val="20"/>
              </w:rPr>
              <w:t xml:space="preserve"> — </w:t>
            </w:r>
            <w:r>
              <w:rPr>
                <w:sz w:val="20"/>
                <w:szCs w:val="20"/>
              </w:rPr>
              <w:t xml:space="preserve">PCIe = standard wire protocol connecting devices inside a server. CXL = newer protocol allowing shared memory between devices. Astera Labs (ALAB) is a pure-play in PCIe/CXL ICs.</w:t>
            </w:r>
          </w:p>
        </w:tc>
      </w:tr>
      <w:tr>
        <w:tc>
          <w:tcPr>
            <w:tcW w:type="dxa" w:w="10440"/>
            <w:tcBorders>
              <w:top w:val="single" w:color="BFBFBF" w:sz="4"/>
              <w:left w:val="single" w:color="BFBFBF" w:sz="4"/>
              <w:bottom w:val="single" w:color="BFBFBF" w:sz="4"/>
              <w:right w:val="single" w:color="BFBFBF" w:sz="4"/>
            </w:tcBorders>
            <w:shd w:fill="FFF8E1" w:val="clear"/>
            <w:tcMar>
              <w:top w:type="dxa" w:w="100"/>
              <w:left w:type="dxa" w:w="160"/>
              <w:bottom w:type="dxa" w:w="100"/>
              <w:right w:type="dxa" w:w="160"/>
            </w:tcMar>
          </w:tcPr>
          <w:p>
            <w:pPr>
              <w:spacing w:after="60" w:line="280"/>
            </w:pPr>
            <w:r>
              <w:rPr>
                <w:b/>
                <w:bCs/>
                <w:color w:val="1F3A5F"/>
                <w:sz w:val="20"/>
                <w:szCs w:val="20"/>
              </w:rPr>
              <w:t xml:space="preserve">Silicon Photonics (SiPho)</w:t>
            </w:r>
            <w:r>
              <w:rPr>
                <w:color w:val="1F3A5F"/>
                <w:sz w:val="20"/>
                <w:szCs w:val="20"/>
              </w:rPr>
              <w:t xml:space="preserve"> — </w:t>
            </w:r>
            <w:r>
              <w:rPr>
                <w:sz w:val="20"/>
                <w:szCs w:val="20"/>
              </w:rPr>
              <w:t xml:space="preserve">Integrating optical functions onto silicon chips. Reduces power vs traditional optics.</w:t>
            </w:r>
          </w:p>
        </w:tc>
      </w:tr>
      <w:tr>
        <w:tc>
          <w:tcPr>
            <w:tcW w:type="dxa" w:w="10440"/>
            <w:tcBorders>
              <w:top w:val="single" w:color="BFBFBF" w:sz="4"/>
              <w:left w:val="single" w:color="BFBFBF" w:sz="4"/>
              <w:bottom w:val="single" w:color="BFBFBF" w:sz="4"/>
              <w:right w:val="single" w:color="BFBFBF" w:sz="4"/>
            </w:tcBorders>
            <w:shd w:fill="FFF8E1" w:val="clear"/>
            <w:tcMar>
              <w:top w:type="dxa" w:w="100"/>
              <w:left w:type="dxa" w:w="160"/>
              <w:bottom w:type="dxa" w:w="100"/>
              <w:right w:type="dxa" w:w="160"/>
            </w:tcMar>
          </w:tcPr>
          <w:p>
            <w:pPr>
              <w:spacing w:after="60" w:line="280"/>
            </w:pPr>
            <w:r>
              <w:rPr>
                <w:b/>
                <w:bCs/>
                <w:color w:val="1F3A5F"/>
                <w:sz w:val="20"/>
                <w:szCs w:val="20"/>
              </w:rPr>
              <w:t xml:space="preserve">CPO (Co-Packaged Optics)</w:t>
            </w:r>
            <w:r>
              <w:rPr>
                <w:color w:val="1F3A5F"/>
                <w:sz w:val="20"/>
                <w:szCs w:val="20"/>
              </w:rPr>
              <w:t xml:space="preserve"> — </w:t>
            </w:r>
            <w:r>
              <w:rPr>
                <w:sz w:val="20"/>
                <w:szCs w:val="20"/>
              </w:rPr>
              <w:t xml:space="preserve">Putting optical modules in same package as switch ASIC or GPU. Cuts power ~40% vs pluggable. NVIDIA demonstrated SiPho CPO switches at GTC 2025.</w:t>
            </w:r>
          </w:p>
        </w:tc>
      </w:tr>
      <w:tr>
        <w:tc>
          <w:tcPr>
            <w:tcW w:type="dxa" w:w="10440"/>
            <w:tcBorders>
              <w:top w:val="single" w:color="BFBFBF" w:sz="4"/>
              <w:left w:val="single" w:color="BFBFBF" w:sz="4"/>
              <w:bottom w:val="single" w:color="BFBFBF" w:sz="4"/>
              <w:right w:val="single" w:color="BFBFBF" w:sz="4"/>
            </w:tcBorders>
            <w:shd w:fill="FFF8E1" w:val="clear"/>
            <w:tcMar>
              <w:top w:type="dxa" w:w="100"/>
              <w:left w:type="dxa" w:w="160"/>
              <w:bottom w:type="dxa" w:w="100"/>
              <w:right w:type="dxa" w:w="160"/>
            </w:tcMar>
          </w:tcPr>
          <w:p>
            <w:pPr>
              <w:spacing w:after="60" w:line="280"/>
            </w:pPr>
            <w:r>
              <w:rPr>
                <w:b/>
                <w:bCs/>
                <w:color w:val="1F3A5F"/>
                <w:sz w:val="20"/>
                <w:szCs w:val="20"/>
              </w:rPr>
              <w:t xml:space="preserve">AI-RAN</w:t>
            </w:r>
            <w:r>
              <w:rPr>
                <w:color w:val="1F3A5F"/>
                <w:sz w:val="20"/>
                <w:szCs w:val="20"/>
              </w:rPr>
              <w:t xml:space="preserve"> — </w:t>
            </w:r>
            <w:r>
              <w:rPr>
                <w:sz w:val="20"/>
                <w:szCs w:val="20"/>
              </w:rPr>
              <w:t xml:space="preserve">AI-empowered Radio Access Network. AI inference compute INSIDE telecom base stations. NVIDIA + Nokia partnership Oct 2025.</w:t>
            </w:r>
          </w:p>
        </w:tc>
      </w:tr>
    </w:tbl>
    <w:p>
      <w:pPr>
        <w:spacing w:after="80" w:before="160"/>
      </w:pPr>
      <w:r>
        <w:rPr>
          <w:b/>
          <w:bCs/>
          <w:color w:val="1F3A5F"/>
          <w:sz w:val="21"/>
          <w:szCs w:val="21"/>
        </w:rPr>
        <w:t xml:space="preserve">Who pays whom</w:t>
      </w:r>
    </w:p>
    <w:p>
      <w:pPr>
        <w:spacing w:after="100" w:before="0" w:line="300"/>
        <w:jc w:val="left"/>
      </w:pPr>
      <w:r>
        <w:rPr>
          <w:b w:val="false"/>
          <w:bCs w:val="false"/>
          <w:i w:val="false"/>
          <w:iCs w:val="false"/>
          <w:color w:val="000000"/>
          <w:sz w:val="22"/>
          <w:szCs w:val="22"/>
        </w:rPr>
        <w:t xml:space="preserve">Hyperscalers and neoclouds (L8) are the primary buyers — they need switches, transceivers, and fiber for every new GPU cluster. Networking silicon (Broadcom, Marvell) flows through OEMs and ODMs to the cluster integrator.</w:t>
      </w:r>
    </w:p>
    <w:p>
      <w:pPr>
        <w:spacing w:after="80" w:before="160"/>
      </w:pPr>
      <w:r>
        <w:rPr>
          <w:b/>
          <w:bCs/>
          <w:color w:val="1F3A5F"/>
          <w:sz w:val="21"/>
          <w:szCs w:val="21"/>
        </w:rPr>
        <w:t xml:space="preserve">Sub-segments</w:t>
      </w:r>
    </w:p>
    <w:p>
      <w:pPr>
        <w:pStyle w:val="Heading3"/>
        <w:spacing w:after="100" w:before="200"/>
      </w:pPr>
      <w:r>
        <w:rPr>
          <w:b/>
          <w:bCs/>
          <w:color w:val="2E75B6"/>
          <w:sz w:val="22"/>
          <w:szCs w:val="22"/>
        </w:rPr>
        <w:t xml:space="preserve">(a) DC Ethernet Switching</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900"/>
        <w:gridCol w:w="5600"/>
      </w:tblGrid>
      <w:tr>
        <w:trPr>
          <w:tblHeader/>
        </w:trPr>
        <w:tc>
          <w:tcPr>
            <w:tcW w:type="dxa" w:w="9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Ticker</w:t>
            </w:r>
          </w:p>
        </w:tc>
        <w:tc>
          <w:tcPr>
            <w:tcW w:type="dxa" w:w="20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Company</w:t>
            </w:r>
          </w:p>
        </w:tc>
        <w:tc>
          <w:tcPr>
            <w:tcW w:type="dxa" w:w="19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DC Switch Share</w:t>
            </w:r>
          </w:p>
        </w:tc>
        <w:tc>
          <w:tcPr>
            <w:tcW w:type="dxa" w:w="56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Position</w:t>
            </w:r>
          </w:p>
        </w:tc>
      </w:tr>
      <w:tr>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ANET</w:t>
            </w:r>
          </w:p>
        </w:tc>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Arista Networks</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19% (DC)</w:t>
            </w:r>
          </w:p>
        </w:tc>
        <w:tc>
          <w:tcPr>
            <w:tcW w:type="dxa" w:w="56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Meta + MSFT anchors; &gt;92% DC focus</w:t>
            </w:r>
          </w:p>
        </w:tc>
      </w:tr>
      <w:tr>
        <w:tc>
          <w:tcPr>
            <w:tcW w:type="dxa" w:w="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NVDA</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NVIDIA Networking</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15.2% DC Ethernet</w:t>
            </w:r>
          </w:p>
        </w:tc>
        <w:tc>
          <w:tcPr>
            <w:tcW w:type="dxa" w:w="5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Spectrum-X + InfiniBand</w:t>
            </w:r>
          </w:p>
        </w:tc>
      </w:tr>
      <w:tr>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CSCO</w:t>
            </w:r>
          </w:p>
        </w:tc>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Cisco</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14% DC</w:t>
            </w:r>
          </w:p>
        </w:tc>
        <w:tc>
          <w:tcPr>
            <w:tcW w:type="dxa" w:w="56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29.8% total Ethernet</w:t>
            </w:r>
          </w:p>
        </w:tc>
      </w:tr>
      <w:tr>
        <w:tc>
          <w:tcPr>
            <w:tcW w:type="dxa" w:w="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AVGO</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Broadcom</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ASIC supplier</w:t>
            </w:r>
          </w:p>
        </w:tc>
        <w:tc>
          <w:tcPr>
            <w:tcW w:type="dxa" w:w="5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Tomahawk 5 powers third-party switches</w:t>
            </w:r>
          </w:p>
        </w:tc>
      </w:tr>
    </w:tbl>
    <w:p>
      <w:pPr>
        <w:pStyle w:val="Heading3"/>
        <w:spacing w:after="100" w:before="200"/>
      </w:pPr>
      <w:r>
        <w:rPr>
          <w:b/>
          <w:bCs/>
          <w:color w:val="2E75B6"/>
          <w:sz w:val="22"/>
          <w:szCs w:val="22"/>
        </w:rPr>
        <w:t xml:space="preserve">(b) Optical Components &amp; Transceivers — highest-returning sub-segment in 2025-26</w:t>
      </w:r>
    </w:p>
    <w:p>
      <w:pPr>
        <w:spacing w:after="100" w:before="0" w:line="300"/>
        <w:jc w:val="left"/>
      </w:pPr>
      <w:r>
        <w:rPr>
          <w:b w:val="false"/>
          <w:bCs w:val="false"/>
          <w:i w:val="false"/>
          <w:iCs w:val="false"/>
          <w:color w:val="000000"/>
          <w:sz w:val="22"/>
          <w:szCs w:val="22"/>
        </w:rPr>
        <w:t xml:space="preserve">AI clusters need MORE optical interconnect at every GPU upgrade cycle (Blackwell → Rubin doubles bandwidth). Coherent's InP laser capacity sold out through 2027; Lumentum under-shipping demand by ~30%.</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900"/>
        <w:gridCol w:w="5700"/>
      </w:tblGrid>
      <w:tr>
        <w:trPr>
          <w:tblHeader/>
        </w:trPr>
        <w:tc>
          <w:tcPr>
            <w:tcW w:type="dxa" w:w="9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Ticker</w:t>
            </w:r>
          </w:p>
        </w:tc>
        <w:tc>
          <w:tcPr>
            <w:tcW w:type="dxa" w:w="19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Company</w:t>
            </w:r>
          </w:p>
        </w:tc>
        <w:tc>
          <w:tcPr>
            <w:tcW w:type="dxa" w:w="19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Focus</w:t>
            </w:r>
          </w:p>
        </w:tc>
        <w:tc>
          <w:tcPr>
            <w:tcW w:type="dxa" w:w="57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Position</w:t>
            </w:r>
          </w:p>
        </w:tc>
      </w:tr>
      <w:tr>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LITE</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Lumentum</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EMLs + 1.6T + OCS</w:t>
            </w:r>
          </w:p>
        </w:tc>
        <w:tc>
          <w:tcPr>
            <w:tcW w:type="dxa" w:w="5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+1,474% LTM; NVDA $2B; 50-60% EML share</w:t>
            </w:r>
          </w:p>
        </w:tc>
      </w:tr>
      <w:tr>
        <w:tc>
          <w:tcPr>
            <w:tcW w:type="dxa" w:w="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COHR</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Coherent</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Transceivers + SiPho</w:t>
            </w:r>
          </w:p>
        </w:tc>
        <w:tc>
          <w:tcPr>
            <w:tcW w:type="dxa" w:w="5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+97% YTD; NVDA $2B; InP sold out 2027</w:t>
            </w:r>
          </w:p>
        </w:tc>
      </w:tr>
      <w:tr>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AAOI</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Applied Optoelectronics</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800G transceivers</w:t>
            </w:r>
          </w:p>
        </w:tc>
        <w:tc>
          <w:tcPr>
            <w:tcW w:type="dxa" w:w="5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+441% YTD; explosive growth</w:t>
            </w:r>
          </w:p>
        </w:tc>
      </w:tr>
      <w:tr>
        <w:tc>
          <w:tcPr>
            <w:tcW w:type="dxa" w:w="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MRVL</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Marvell</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Optical DSPs + custom ASICs</w:t>
            </w:r>
          </w:p>
        </w:tc>
        <w:tc>
          <w:tcPr>
            <w:tcW w:type="dxa" w:w="5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AWS Trainium silicon</w:t>
            </w:r>
          </w:p>
        </w:tc>
      </w:tr>
      <w:tr>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ALAB</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Astera Labs</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PCIe/CXL ICs</w:t>
            </w:r>
          </w:p>
        </w:tc>
        <w:tc>
          <w:tcPr>
            <w:tcW w:type="dxa" w:w="5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AI rack-scale interconnect</w:t>
            </w:r>
          </w:p>
        </w:tc>
      </w:tr>
      <w:tr>
        <w:tc>
          <w:tcPr>
            <w:tcW w:type="dxa" w:w="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CRDO</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Credo Technology</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Active Electrical Cables</w:t>
            </w:r>
          </w:p>
        </w:tc>
        <w:tc>
          <w:tcPr>
            <w:tcW w:type="dxa" w:w="5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Hyperscaler-direct</w:t>
            </w:r>
          </w:p>
        </w:tc>
      </w:tr>
    </w:tbl>
    <w:p>
      <w:pPr>
        <w:pStyle w:val="Heading3"/>
        <w:spacing w:after="100" w:before="200"/>
      </w:pPr>
      <w:r>
        <w:rPr>
          <w:b/>
          <w:bCs/>
          <w:color w:val="2E75B6"/>
          <w:sz w:val="22"/>
          <w:szCs w:val="22"/>
        </w:rPr>
        <w:t xml:space="preserve">(c) Silicon Photonics — Top 5 = 58.6% Share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500"/>
        <w:gridCol w:w="6100"/>
      </w:tblGrid>
      <w:tr>
        <w:trPr>
          <w:tblHeader/>
        </w:trPr>
        <w:tc>
          <w:tcPr>
            <w:tcW w:type="dxa" w:w="9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Ticker</w:t>
            </w:r>
          </w:p>
        </w:tc>
        <w:tc>
          <w:tcPr>
            <w:tcW w:type="dxa" w:w="19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Company</w:t>
            </w:r>
          </w:p>
        </w:tc>
        <w:tc>
          <w:tcPr>
            <w:tcW w:type="dxa" w:w="15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SiPho Share</w:t>
            </w:r>
          </w:p>
        </w:tc>
        <w:tc>
          <w:tcPr>
            <w:tcW w:type="dxa" w:w="61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Position</w:t>
            </w:r>
          </w:p>
        </w:tc>
      </w:tr>
      <w:tr>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INTC</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Intel</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21.5% (#1)</w:t>
            </w:r>
          </w:p>
        </w:tc>
        <w:tc>
          <w:tcPr>
            <w:tcW w:type="dxa" w:w="6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SiPho platform; foundry for partners</w:t>
            </w:r>
          </w:p>
        </w:tc>
      </w:tr>
      <w:tr>
        <w:tc>
          <w:tcPr>
            <w:tcW w:type="dxa" w:w="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CSCO</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Cisco</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Top 5</w:t>
            </w:r>
          </w:p>
        </w:tc>
        <w:tc>
          <w:tcPr>
            <w:tcW w:type="dxa" w:w="61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Acquired Acacia 2021</w:t>
            </w:r>
          </w:p>
        </w:tc>
      </w:tr>
      <w:tr>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AVGO</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Broadcom</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Top 5</w:t>
            </w:r>
          </w:p>
        </w:tc>
        <w:tc>
          <w:tcPr>
            <w:tcW w:type="dxa" w:w="6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SiPho transceivers + switching</w:t>
            </w:r>
          </w:p>
        </w:tc>
      </w:tr>
      <w:tr>
        <w:tc>
          <w:tcPr>
            <w:tcW w:type="dxa" w:w="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LITE</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Lumentum</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Top 5</w:t>
            </w:r>
          </w:p>
        </w:tc>
        <w:tc>
          <w:tcPr>
            <w:tcW w:type="dxa" w:w="61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Co-packaged optics + 1.6T pluggables</w:t>
            </w:r>
          </w:p>
        </w:tc>
      </w:tr>
      <w:tr>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NVDA</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NVIDIA</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Emerging</w:t>
            </w:r>
          </w:p>
        </w:tc>
        <w:tc>
          <w:tcPr>
            <w:tcW w:type="dxa" w:w="6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CPO switches announced GTC 2025</w:t>
            </w:r>
          </w:p>
        </w:tc>
      </w:tr>
    </w:tbl>
    <w:p>
      <w:pPr>
        <w:pStyle w:val="Heading3"/>
        <w:spacing w:after="100" w:before="200"/>
      </w:pPr>
      <w:r>
        <w:rPr>
          <w:b/>
          <w:bCs/>
          <w:color w:val="2E75B6"/>
          <w:sz w:val="22"/>
          <w:szCs w:val="22"/>
        </w:rPr>
        <w:t xml:space="preserve">(d) Optical Fiber</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2700"/>
        <w:gridCol w:w="4900"/>
      </w:tblGrid>
      <w:tr>
        <w:trPr>
          <w:tblHeader/>
        </w:trPr>
        <w:tc>
          <w:tcPr>
            <w:tcW w:type="dxa" w:w="9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Ticker</w:t>
            </w:r>
          </w:p>
        </w:tc>
        <w:tc>
          <w:tcPr>
            <w:tcW w:type="dxa" w:w="19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Company</w:t>
            </w:r>
          </w:p>
        </w:tc>
        <w:tc>
          <w:tcPr>
            <w:tcW w:type="dxa" w:w="27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Position</w:t>
            </w:r>
          </w:p>
        </w:tc>
        <w:tc>
          <w:tcPr>
            <w:tcW w:type="dxa" w:w="49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AI Disclosure</w:t>
            </w:r>
          </w:p>
        </w:tc>
      </w:tr>
      <w:tr>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GLW</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Corning</w:t>
            </w:r>
          </w:p>
        </w:tc>
        <w:tc>
          <w:tcPr>
            <w:tcW w:type="dxa" w:w="2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#1 global optical fiber</w:t>
            </w:r>
          </w:p>
        </w:tc>
        <w:tc>
          <w:tcPr>
            <w:tcW w:type="dxa" w:w="4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Meta $6B multi-yr deal Jan 26; Q1 26 optical comm $1.8B (+36%); +50% YTD</w:t>
            </w:r>
          </w:p>
        </w:tc>
      </w:tr>
    </w:tbl>
    <w:p>
      <w:pPr>
        <w:pStyle w:val="Heading3"/>
        <w:spacing w:after="100" w:before="200"/>
      </w:pPr>
      <w:r>
        <w:rPr>
          <w:b/>
          <w:bCs/>
          <w:color w:val="2E75B6"/>
          <w:sz w:val="22"/>
          <w:szCs w:val="22"/>
        </w:rPr>
        <w:t xml:space="preserve">(e) AI-RAN</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700"/>
        <w:gridCol w:w="5900"/>
      </w:tblGrid>
      <w:tr>
        <w:trPr>
          <w:tblHeader/>
        </w:trPr>
        <w:tc>
          <w:tcPr>
            <w:tcW w:type="dxa" w:w="9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Ticker</w:t>
            </w:r>
          </w:p>
        </w:tc>
        <w:tc>
          <w:tcPr>
            <w:tcW w:type="dxa" w:w="19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Company</w:t>
            </w:r>
          </w:p>
        </w:tc>
        <w:tc>
          <w:tcPr>
            <w:tcW w:type="dxa" w:w="17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RAN Share Q3 25</w:t>
            </w:r>
          </w:p>
        </w:tc>
        <w:tc>
          <w:tcPr>
            <w:tcW w:type="dxa" w:w="59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AI-RAN Position</w:t>
            </w:r>
          </w:p>
        </w:tc>
      </w:tr>
      <w:tr>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NOK</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Nokia</w:t>
            </w:r>
          </w:p>
        </w:tc>
        <w:tc>
          <w:tcPr>
            <w:tcW w:type="dxa" w:w="1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Top 3; #2 ex-China</w:t>
            </w:r>
          </w:p>
        </w:tc>
        <w:tc>
          <w:tcPr>
            <w:tcW w:type="dxa" w:w="5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NVIDIA $1B equity Oct 25; 2.9% stake; T-Mobile USA pilot; Q1 26 AI &amp; Cloud +49%</w:t>
            </w:r>
          </w:p>
        </w:tc>
      </w:tr>
      <w:tr>
        <w:tc>
          <w:tcPr>
            <w:tcW w:type="dxa" w:w="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ERIC</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Ericsson</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Top 3; #1 ex-China</w:t>
            </w:r>
          </w:p>
        </w:tc>
        <w:tc>
          <w:tcPr>
            <w:tcW w:type="dxa" w:w="5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Founding AI-RAN Alliance; no NVIDIA partnership; flat 2026 RAN outlook</w:t>
            </w:r>
          </w:p>
        </w:tc>
      </w:tr>
      <w:tr>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Huawei</w:t>
            </w:r>
          </w:p>
        </w:tc>
        <w:tc>
          <w:tcPr>
            <w:tcW w:type="dxa" w:w="1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#1 globally</w:t>
            </w:r>
          </w:p>
        </w:tc>
        <w:tc>
          <w:tcPr>
            <w:tcW w:type="dxa" w:w="5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Excluded from Western markets</w:t>
            </w:r>
          </w:p>
        </w:tc>
      </w:tr>
      <w:tr>
        <w:tc>
          <w:tcPr>
            <w:tcW w:type="dxa" w:w="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005930.KS</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Samsung</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Top 5</w:t>
            </w:r>
          </w:p>
        </w:tc>
        <w:tc>
          <w:tcPr>
            <w:tcW w:type="dxa" w:w="5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Smaller AI-RAN role</w:t>
            </w:r>
          </w:p>
        </w:tc>
      </w:tr>
    </w:tbl>
    <w:p>
      <w:pPr>
        <w:spacing w:after="80" w:before="160"/>
      </w:pPr>
      <w:r>
        <w:rPr>
          <w:b/>
          <w:bCs/>
          <w:color w:val="1F3A5F"/>
          <w:sz w:val="21"/>
          <w:szCs w:val="21"/>
        </w:rPr>
        <w:t xml:space="preserve">How to analyze this layer</w:t>
      </w:r>
    </w:p>
    <w:p>
      <w:pPr>
        <w:spacing w:after="100" w:before="0" w:line="300"/>
        <w:jc w:val="left"/>
      </w:pPr>
      <w:r>
        <w:rPr>
          <w:b w:val="false"/>
          <w:bCs w:val="false"/>
          <w:i w:val="false"/>
          <w:iCs w:val="false"/>
          <w:color w:val="000000"/>
          <w:sz w:val="22"/>
          <w:szCs w:val="22"/>
        </w:rPr>
        <w:t xml:space="preserve">Different metrics per sub-segment. Switching (ANET, CSCO): hyperscaler design wins. Optics (LITE, COHR, AAOI): capacity utilization, LTA coverage, EML/InP supply. Caveat: LITE traded up 1,474% LTM with P/E ~308x — momentum-driven; slight execution misses compress valuations sharply. SiPho: still emerging — Intel foundry win pipeline is its only realistic path back. Fiber: Corning is the clean play — track optical comm segment YoY + new Meta-style announcements. AI-RAN: Nokia is the NVIDIA-aligned bet; Ericsson is higher-quality core but no equivalent NVIDIA tie-in.</w:t>
      </w:r>
    </w:p>
    <w:p>
      <w:r>
        <w:br w:type="page"/>
      </w:r>
    </w:p>
    <w:p>
      <w:pPr>
        <w:pStyle w:val="Heading2"/>
        <w:spacing w:after="140" w:before="280"/>
      </w:pPr>
      <w:r>
        <w:rPr>
          <w:b/>
          <w:bCs/>
          <w:color w:val="1F3A5F"/>
          <w:sz w:val="26"/>
          <w:szCs w:val="26"/>
        </w:rPr>
        <w:t xml:space="preserve">4.6 Layer 5 — Servers &amp; Power Supplies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480"/>
        <w:gridCol w:w="3480"/>
        <w:gridCol w:w="3480"/>
      </w:tblGrid>
      <w:tr>
        <w:tc>
          <w:tcPr>
            <w:tcW w:type="dxa" w:w="3480"/>
            <w:tcBorders>
              <w:top w:val="single" w:color="BFBFBF" w:sz="4"/>
              <w:left w:val="single" w:color="BFBFBF" w:sz="4"/>
              <w:bottom w:val="single" w:color="BFBFBF" w:sz="4"/>
              <w:right w:val="single" w:color="BFBFBF" w:sz="4"/>
            </w:tcBorders>
            <w:shd w:fill="FEECEC" w:val="clear"/>
            <w:tcMar>
              <w:top w:type="dxa" w:w="140"/>
              <w:left w:type="dxa" w:w="160"/>
              <w:bottom w:type="dxa" w:w="140"/>
              <w:right w:type="dxa" w:w="160"/>
            </w:tcMar>
            <w:vAlign w:val="top"/>
          </w:tcPr>
          <w:p>
            <w:pPr>
              <w:spacing w:after="80" w:line="260"/>
            </w:pPr>
            <w:r>
              <w:rPr>
                <w:b/>
                <w:bCs/>
                <w:color w:val="1F3A5F"/>
                <w:sz w:val="20"/>
                <w:szCs w:val="20"/>
              </w:rPr>
              <w:t xml:space="preserve">Bottleneck</w:t>
            </w:r>
          </w:p>
          <w:p>
            <w:pPr>
              <w:spacing w:after="60" w:line="260"/>
            </w:pPr>
            <w:r>
              <w:rPr>
                <w:sz w:val="18"/>
                <w:szCs w:val="18"/>
              </w:rPr>
              <w:t xml:space="preserve">MEDIUM. Constrained by upstream chips (L4 GPUs) + memory (L3 HBM) + CoWoS (L2). Once those clear, server assembly is not the bottleneck.</w:t>
            </w:r>
          </w:p>
          <w:p>
            <w:pPr>
              <w:spacing w:after="60" w:line="260"/>
            </w:pPr>
            <w:r>
              <w:rPr>
                <w:sz w:val="18"/>
                <w:szCs w:val="18"/>
              </w:rPr>
              <w:t xml:space="preserve">Resolution: Foxconn already assembling GB200 at scale; multiple ODMs available; not a structural limit.</w:t>
            </w:r>
          </w:p>
        </w:tc>
        <w:tc>
          <w:tcPr>
            <w:tcW w:type="dxa" w:w="3480"/>
            <w:tcBorders>
              <w:top w:val="single" w:color="BFBFBF" w:sz="4"/>
              <w:left w:val="single" w:color="BFBFBF" w:sz="4"/>
              <w:bottom w:val="single" w:color="BFBFBF" w:sz="4"/>
              <w:right w:val="single" w:color="BFBFBF" w:sz="4"/>
            </w:tcBorders>
            <w:shd w:fill="EDF4FF" w:val="clear"/>
            <w:tcMar>
              <w:top w:type="dxa" w:w="140"/>
              <w:left w:type="dxa" w:w="160"/>
              <w:bottom w:type="dxa" w:w="140"/>
              <w:right w:type="dxa" w:w="160"/>
            </w:tcMar>
            <w:vAlign w:val="top"/>
          </w:tcPr>
          <w:p>
            <w:pPr>
              <w:spacing w:after="80" w:line="260"/>
            </w:pPr>
            <w:r>
              <w:rPr>
                <w:b/>
                <w:bCs/>
                <w:color w:val="1F3A5F"/>
                <w:sz w:val="20"/>
                <w:szCs w:val="20"/>
              </w:rPr>
              <w:t xml:space="preserve">Market Size</w:t>
            </w:r>
          </w:p>
          <w:p>
            <w:pPr>
              <w:spacing w:after="60" w:line="260"/>
            </w:pPr>
            <w:r>
              <w:rPr>
                <w:sz w:val="18"/>
                <w:szCs w:val="18"/>
              </w:rPr>
              <w:t xml:space="preserve">$444B in 2025 (IDC, +80% YoY).</w:t>
            </w:r>
          </w:p>
          <w:p>
            <w:pPr>
              <w:spacing w:after="60" w:line="260"/>
            </w:pPr>
            <w:r>
              <w:rPr>
                <w:sz w:val="18"/>
                <w:szCs w:val="18"/>
              </w:rPr>
              <w:t xml:space="preserve">GPU-embedded &gt;50% of revenue.</w:t>
            </w:r>
          </w:p>
          <w:p>
            <w:pPr>
              <w:spacing w:after="60" w:line="260"/>
            </w:pPr>
            <w:r>
              <w:rPr>
                <w:sz w:val="18"/>
                <w:szCs w:val="18"/>
              </w:rPr>
              <w:t xml:space="preserve">ODM Direct = 59.4% of market.</w:t>
            </w:r>
          </w:p>
          <w:p>
            <w:pPr>
              <w:spacing w:after="60" w:line="260"/>
            </w:pPr>
            <w:r>
              <w:rPr>
                <w:sz w:val="18"/>
                <w:szCs w:val="18"/>
              </w:rPr>
              <w:t xml:space="preserve">2026E ~$650-700B.</w:t>
            </w:r>
          </w:p>
        </w:tc>
        <w:tc>
          <w:tcPr>
            <w:tcW w:type="dxa" w:w="3480"/>
            <w:tcBorders>
              <w:top w:val="single" w:color="BFBFBF" w:sz="4"/>
              <w:left w:val="single" w:color="BFBFBF" w:sz="4"/>
              <w:bottom w:val="single" w:color="BFBFBF" w:sz="4"/>
              <w:right w:val="single" w:color="BFBFBF" w:sz="4"/>
            </w:tcBorders>
            <w:shd w:fill="ECF7EC" w:val="clear"/>
            <w:tcMar>
              <w:top w:type="dxa" w:w="140"/>
              <w:left w:type="dxa" w:w="160"/>
              <w:bottom w:type="dxa" w:w="140"/>
              <w:right w:type="dxa" w:w="160"/>
            </w:tcMar>
            <w:vAlign w:val="top"/>
          </w:tcPr>
          <w:p>
            <w:pPr>
              <w:spacing w:after="80" w:line="260"/>
            </w:pPr>
            <w:r>
              <w:rPr>
                <w:b/>
                <w:bCs/>
                <w:color w:val="1F3A5F"/>
                <w:sz w:val="20"/>
                <w:szCs w:val="20"/>
              </w:rPr>
              <w:t xml:space="preserve">Value Added &amp; Margins</w:t>
            </w:r>
          </w:p>
          <w:p>
            <w:pPr>
              <w:spacing w:after="60" w:line="260"/>
            </w:pPr>
            <w:r>
              <w:rPr>
                <w:sz w:val="18"/>
                <w:szCs w:val="18"/>
              </w:rPr>
              <w:t xml:space="preserve">VERY LOW.</w:t>
            </w:r>
          </w:p>
          <w:p>
            <w:pPr>
              <w:spacing w:after="60" w:line="260"/>
            </w:pPr>
            <w:r>
              <w:rPr>
                <w:sz w:val="18"/>
                <w:szCs w:val="18"/>
              </w:rPr>
              <w:t xml:space="preserve">Foxconn AI servers: 5-7% GM.</w:t>
            </w:r>
          </w:p>
          <w:p>
            <w:pPr>
              <w:spacing w:after="60" w:line="260"/>
            </w:pPr>
            <w:r>
              <w:rPr>
                <w:sz w:val="18"/>
                <w:szCs w:val="18"/>
              </w:rPr>
              <w:t xml:space="preserve">DELL Q3 FY26: 22.2% GM, 12.5% op margin (group; AI server margin is lower).</w:t>
            </w:r>
          </w:p>
          <w:p>
            <w:pPr>
              <w:spacing w:after="60" w:line="260"/>
            </w:pPr>
            <w:r>
              <w:rPr>
                <w:sz w:val="18"/>
                <w:szCs w:val="18"/>
              </w:rPr>
              <w:t xml:space="preserve">SMCI Q4 25: 9.7% GM, ~3% net margin.</w:t>
            </w:r>
          </w:p>
          <w:p>
            <w:pPr>
              <w:spacing w:after="60" w:line="260"/>
            </w:pPr>
            <w:r>
              <w:rPr>
                <w:sz w:val="18"/>
                <w:szCs w:val="18"/>
              </w:rPr>
              <w:t xml:space="preserve">HPE server segment GM dropped to 5.9% Q2 25.</w:t>
            </w:r>
          </w:p>
          <w:p>
            <w:pPr>
              <w:spacing w:after="60" w:line="260"/>
            </w:pPr>
            <w:r>
              <w:rPr>
                <w:sz w:val="18"/>
                <w:szCs w:val="18"/>
              </w:rPr>
              <w:t xml:space="preserve">Volume game, no pricing power.</w:t>
            </w:r>
          </w:p>
        </w:tc>
      </w:tr>
    </w:tbl>
    <w:p>
      <w:pPr>
        <w:spacing w:after="80" w:before="160"/>
      </w:pPr>
      <w:r>
        <w:rPr>
          <w:b/>
          <w:bCs/>
          <w:color w:val="1F3A5F"/>
          <w:sz w:val="21"/>
          <w:szCs w:val="21"/>
        </w:rPr>
        <w:t xml:space="preserve">What this layer does</w:t>
      </w:r>
    </w:p>
    <w:p>
      <w:pPr>
        <w:spacing w:after="100" w:before="0" w:line="300"/>
        <w:jc w:val="left"/>
      </w:pPr>
      <w:r>
        <w:rPr>
          <w:b w:val="false"/>
          <w:bCs w:val="false"/>
          <w:i w:val="false"/>
          <w:iCs w:val="false"/>
          <w:color w:val="000000"/>
          <w:sz w:val="22"/>
          <w:szCs w:val="22"/>
        </w:rPr>
        <w:t xml:space="preserve">Server makers physically assemble GPUs, CPUs, memory, networking, and power supplies into rack systems. Distinct from chip makers (L4) — server makers don't design silicon, they integrate it. NVIDIA's flagship product is the GB200 NVL72 rack: 72 Blackwell GPUs wired together as a single unit. Someone has to physically build those racks.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BFBFBF" w:sz="4"/>
              <w:left w:val="single" w:color="BFBFBF" w:sz="4"/>
              <w:bottom w:val="single" w:color="BFBFBF" w:sz="4"/>
              <w:right w:val="single" w:color="BFBFBF" w:sz="4"/>
            </w:tcBorders>
            <w:shd w:fill="FFF8E1" w:val="clear"/>
            <w:tcMar>
              <w:top w:type="dxa" w:w="100"/>
              <w:left w:type="dxa" w:w="160"/>
              <w:bottom w:type="dxa" w:w="100"/>
              <w:right w:type="dxa" w:w="160"/>
            </w:tcMar>
          </w:tcPr>
          <w:p>
            <w:pPr>
              <w:spacing w:after="60" w:line="280"/>
            </w:pPr>
            <w:r>
              <w:rPr>
                <w:b/>
                <w:bCs/>
                <w:color w:val="1F3A5F"/>
                <w:sz w:val="20"/>
                <w:szCs w:val="20"/>
              </w:rPr>
              <w:t xml:space="preserve">ODM (Original Design Manufacturer)</w:t>
            </w:r>
            <w:r>
              <w:rPr>
                <w:color w:val="1F3A5F"/>
                <w:sz w:val="20"/>
                <w:szCs w:val="20"/>
              </w:rPr>
              <w:t xml:space="preserve"> — </w:t>
            </w:r>
            <w:r>
              <w:rPr>
                <w:sz w:val="20"/>
                <w:szCs w:val="20"/>
              </w:rPr>
              <w:t xml:space="preserve">Designs AND builds hardware on contract for someone else (typically hyperscalers). Foxconn, Quanta, Wistron, Inventec are Taiwan-based ODMs that assemble most NVIDIA GB200 racks. ODMs = 59.4% of global server market — hyperscalers buy direct.</w:t>
            </w:r>
          </w:p>
        </w:tc>
      </w:tr>
      <w:tr>
        <w:tc>
          <w:tcPr>
            <w:tcW w:type="dxa" w:w="10440"/>
            <w:tcBorders>
              <w:top w:val="single" w:color="BFBFBF" w:sz="4"/>
              <w:left w:val="single" w:color="BFBFBF" w:sz="4"/>
              <w:bottom w:val="single" w:color="BFBFBF" w:sz="4"/>
              <w:right w:val="single" w:color="BFBFBF" w:sz="4"/>
            </w:tcBorders>
            <w:shd w:fill="FFF8E1" w:val="clear"/>
            <w:tcMar>
              <w:top w:type="dxa" w:w="100"/>
              <w:left w:type="dxa" w:w="160"/>
              <w:bottom w:type="dxa" w:w="100"/>
              <w:right w:type="dxa" w:w="160"/>
            </w:tcMar>
          </w:tcPr>
          <w:p>
            <w:pPr>
              <w:spacing w:after="60" w:line="280"/>
            </w:pPr>
            <w:r>
              <w:rPr>
                <w:b/>
                <w:bCs/>
                <w:color w:val="1F3A5F"/>
                <w:sz w:val="20"/>
                <w:szCs w:val="20"/>
              </w:rPr>
              <w:t xml:space="preserve">OEM (Original Equipment Manufacturer)</w:t>
            </w:r>
            <w:r>
              <w:rPr>
                <w:color w:val="1F3A5F"/>
                <w:sz w:val="20"/>
                <w:szCs w:val="20"/>
              </w:rPr>
              <w:t xml:space="preserve"> — </w:t>
            </w:r>
            <w:r>
              <w:rPr>
                <w:sz w:val="20"/>
                <w:szCs w:val="20"/>
              </w:rPr>
              <w:t xml:space="preserve">Branded computer makers — Dell, HPE, Supermicro. Sell branded servers to enterprises, often built by ODMs underneath.</w:t>
            </w:r>
          </w:p>
        </w:tc>
      </w:tr>
      <w:tr>
        <w:tc>
          <w:tcPr>
            <w:tcW w:type="dxa" w:w="10440"/>
            <w:tcBorders>
              <w:top w:val="single" w:color="BFBFBF" w:sz="4"/>
              <w:left w:val="single" w:color="BFBFBF" w:sz="4"/>
              <w:bottom w:val="single" w:color="BFBFBF" w:sz="4"/>
              <w:right w:val="single" w:color="BFBFBF" w:sz="4"/>
            </w:tcBorders>
            <w:shd w:fill="FFF8E1" w:val="clear"/>
            <w:tcMar>
              <w:top w:type="dxa" w:w="100"/>
              <w:left w:type="dxa" w:w="160"/>
              <w:bottom w:type="dxa" w:w="100"/>
              <w:right w:type="dxa" w:w="160"/>
            </w:tcMar>
          </w:tcPr>
          <w:p>
            <w:pPr>
              <w:spacing w:after="60" w:line="280"/>
            </w:pPr>
            <w:r>
              <w:rPr>
                <w:b/>
                <w:bCs/>
                <w:color w:val="1F3A5F"/>
                <w:sz w:val="20"/>
                <w:szCs w:val="20"/>
              </w:rPr>
              <w:t xml:space="preserve">PSU (Power Supply Unit)</w:t>
            </w:r>
            <w:r>
              <w:rPr>
                <w:color w:val="1F3A5F"/>
                <w:sz w:val="20"/>
                <w:szCs w:val="20"/>
              </w:rPr>
              <w:t xml:space="preserve"> — </w:t>
            </w:r>
            <w:r>
              <w:rPr>
                <w:sz w:val="20"/>
                <w:szCs w:val="20"/>
              </w:rPr>
              <w:t xml:space="preserve">Converts wall AC power into the DC voltages servers need. Delta Electronics (2308.TW) is #1 globally for AI server PSUs.</w:t>
            </w:r>
          </w:p>
        </w:tc>
      </w:tr>
    </w:tbl>
    <w:p>
      <w:pPr>
        <w:spacing w:after="80" w:before="160"/>
      </w:pPr>
      <w:r>
        <w:rPr>
          <w:b/>
          <w:bCs/>
          <w:color w:val="1F3A5F"/>
          <w:sz w:val="21"/>
          <w:szCs w:val="21"/>
        </w:rPr>
        <w:t xml:space="preserve">Who pays whom</w:t>
      </w:r>
    </w:p>
    <w:p>
      <w:pPr>
        <w:spacing w:after="100" w:before="0" w:line="300"/>
        <w:jc w:val="left"/>
      </w:pPr>
      <w:r>
        <w:rPr>
          <w:b w:val="false"/>
          <w:bCs w:val="false"/>
          <w:i w:val="false"/>
          <w:iCs w:val="false"/>
          <w:color w:val="000000"/>
          <w:sz w:val="22"/>
          <w:szCs w:val="22"/>
        </w:rPr>
        <w:t xml:space="preserve">Hyperscalers (L8) buy directly from ODMs (Foxconn et al.) and bypass branded OEMs. ODMs buy GPUs from NVIDIA / AMD (L4), HBM-stacked on the GPU package (L3 via L2), CPUs from Intel/AMD, memory from SK Hynix/Micron/Samsung, networking from L6, and PSUs from Delta. Branded OEMs (DELL, SMCI, HPE) dominate enterprise AI deployments where customers aren't sophisticated enough to deal with ODMs directly.</w:t>
      </w:r>
    </w:p>
    <w:p>
      <w:pPr>
        <w:spacing w:after="80" w:before="160"/>
      </w:pPr>
      <w:r>
        <w:rPr>
          <w:b/>
          <w:bCs/>
          <w:color w:val="1F3A5F"/>
          <w:sz w:val="21"/>
          <w:szCs w:val="21"/>
        </w:rPr>
        <w:t xml:space="preserve">Sub-segments</w:t>
      </w:r>
    </w:p>
    <w:p>
      <w:pPr>
        <w:pStyle w:val="ListParagraph"/>
        <w:numPr>
          <w:ilvl w:val="0"/>
          <w:numId w:val="2"/>
        </w:numPr>
        <w:spacing w:after="80" w:line="300"/>
      </w:pPr>
      <w:r>
        <w:rPr>
          <w:sz w:val="22"/>
          <w:szCs w:val="22"/>
        </w:rPr>
        <w:t xml:space="preserve">ODMs (Foxconn, Quanta, Wistron, Inventec) — 59.4% of global server market. Lower margin, higher volume.</w:t>
      </w:r>
    </w:p>
    <w:p>
      <w:pPr>
        <w:pStyle w:val="ListParagraph"/>
        <w:numPr>
          <w:ilvl w:val="0"/>
          <w:numId w:val="2"/>
        </w:numPr>
        <w:spacing w:after="80" w:line="300"/>
      </w:pPr>
      <w:r>
        <w:rPr>
          <w:sz w:val="22"/>
          <w:szCs w:val="22"/>
        </w:rPr>
        <w:t xml:space="preserve">Branded OEMs (DELL, SMCI, HPE, Lenovo) — serve enterprises + non-hyperscaler cloud + government.</w:t>
      </w:r>
    </w:p>
    <w:p>
      <w:pPr>
        <w:pStyle w:val="ListParagraph"/>
        <w:numPr>
          <w:ilvl w:val="0"/>
          <w:numId w:val="2"/>
        </w:numPr>
        <w:spacing w:after="80" w:line="300"/>
      </w:pPr>
      <w:r>
        <w:rPr>
          <w:sz w:val="22"/>
          <w:szCs w:val="22"/>
        </w:rPr>
        <w:t xml:space="preserve">Power supply specialists (Delta Electronics) — PSUs inside racks. Critical for high-density AI racks (100+ kW each).</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200"/>
        <w:gridCol w:w="2100"/>
        <w:gridCol w:w="1900"/>
        <w:gridCol w:w="5200"/>
      </w:tblGrid>
      <w:tr>
        <w:trPr>
          <w:tblHeader/>
        </w:trPr>
        <w:tc>
          <w:tcPr>
            <w:tcW w:type="dxa" w:w="12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Ticker</w:t>
            </w:r>
          </w:p>
        </w:tc>
        <w:tc>
          <w:tcPr>
            <w:tcW w:type="dxa" w:w="21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Company</w:t>
            </w:r>
          </w:p>
        </w:tc>
        <w:tc>
          <w:tcPr>
            <w:tcW w:type="dxa" w:w="19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2025 Share</w:t>
            </w:r>
          </w:p>
        </w:tc>
        <w:tc>
          <w:tcPr>
            <w:tcW w:type="dxa" w:w="52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AI Position</w:t>
            </w:r>
          </w:p>
        </w:tc>
      </w:tr>
      <w:tr>
        <w:tc>
          <w:tcPr>
            <w:tcW w:type="dxa" w:w="1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2317.TW</w:t>
            </w:r>
          </w:p>
        </w:tc>
        <w:tc>
          <w:tcPr>
            <w:tcW w:type="dxa" w:w="2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Foxconn</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Lead ODM (59.4% combined)</w:t>
            </w:r>
          </w:p>
        </w:tc>
        <w:tc>
          <w:tcPr>
            <w:tcW w:type="dxa" w:w="5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Primary NVIDIA rack ODM; ~$200B group</w:t>
            </w:r>
          </w:p>
        </w:tc>
      </w:tr>
      <w:tr>
        <w:tc>
          <w:tcPr>
            <w:tcW w:type="dxa" w:w="1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DELL</w:t>
            </w:r>
          </w:p>
        </w:tc>
        <w:tc>
          <w:tcPr>
            <w:tcW w:type="dxa" w:w="21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Dell</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10%</w:t>
            </w:r>
          </w:p>
        </w:tc>
        <w:tc>
          <w:tcPr>
            <w:tcW w:type="dxa" w:w="5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AI server $25B+ FY26 (+150%); $14B backlog</w:t>
            </w:r>
          </w:p>
        </w:tc>
      </w:tr>
      <w:tr>
        <w:tc>
          <w:tcPr>
            <w:tcW w:type="dxa" w:w="1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SMCI</w:t>
            </w:r>
          </w:p>
        </w:tc>
        <w:tc>
          <w:tcPr>
            <w:tcW w:type="dxa" w:w="2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Supermicro</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9.5%</w:t>
            </w:r>
          </w:p>
        </w:tc>
        <w:tc>
          <w:tcPr>
            <w:tcW w:type="dxa" w:w="5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$11.7B Q4 (+134%); pure-play AI server</w:t>
            </w:r>
          </w:p>
        </w:tc>
      </w:tr>
      <w:tr>
        <w:tc>
          <w:tcPr>
            <w:tcW w:type="dxa" w:w="1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2308.TW</w:t>
            </w:r>
          </w:p>
        </w:tc>
        <w:tc>
          <w:tcPr>
            <w:tcW w:type="dxa" w:w="21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Delta Electronics</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#1 DC PSU</w:t>
            </w:r>
          </w:p>
        </w:tc>
        <w:tc>
          <w:tcPr>
            <w:tcW w:type="dxa" w:w="5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PSU for NVIDIA racks; ~$13B group</w:t>
            </w:r>
          </w:p>
        </w:tc>
      </w:tr>
    </w:tbl>
    <w:p>
      <w:pPr>
        <w:spacing w:after="80" w:before="160"/>
      </w:pPr>
      <w:r>
        <w:rPr>
          <w:b/>
          <w:bCs/>
          <w:color w:val="1F3A5F"/>
          <w:sz w:val="21"/>
          <w:szCs w:val="21"/>
        </w:rPr>
        <w:t xml:space="preserve">How to analyze this layer</w:t>
      </w:r>
    </w:p>
    <w:p>
      <w:pPr>
        <w:spacing w:after="100" w:before="0" w:line="300"/>
        <w:jc w:val="left"/>
      </w:pPr>
      <w:r>
        <w:rPr>
          <w:b w:val="false"/>
          <w:bCs w:val="false"/>
          <w:i w:val="false"/>
          <w:iCs w:val="false"/>
          <w:color w:val="000000"/>
          <w:sz w:val="22"/>
          <w:szCs w:val="22"/>
        </w:rPr>
        <w:t xml:space="preserve">Margin compression is the key risk. ODMs run on 3-5% GM; Dell's AI server business runs at lower margins than traditional server. The market has priced this in — Foxconn trades at discount to NVIDIA on a P/E basis. For ODMs: unit volume share of NVIDIA GB200/Rubin racks. For Dell: AI server backlog conversion ($14B+); what comes after xAI mega-deal. Supermicro: pure-play AI server upside but ongoing accounting overhang from 2024 SEC investigation. Delta Electronics is the cleanest mid-cap AI play if you can stomach the Taiwan listing — PSUs are a structural growth area as rack density rises 30 kW → 130 kW → 1 MW (Rubin).</w:t>
      </w:r>
    </w:p>
    <w:p>
      <w:r>
        <w:br w:type="page"/>
      </w:r>
    </w:p>
    <w:p>
      <w:pPr>
        <w:pStyle w:val="Heading2"/>
        <w:spacing w:after="140" w:before="280"/>
      </w:pPr>
      <w:r>
        <w:rPr>
          <w:b/>
          <w:bCs/>
          <w:color w:val="1F3A5F"/>
          <w:sz w:val="26"/>
          <w:szCs w:val="26"/>
        </w:rPr>
        <w:t xml:space="preserve">4.7 Layer 4 — AI Accelerators (Chips)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480"/>
        <w:gridCol w:w="3480"/>
        <w:gridCol w:w="3480"/>
      </w:tblGrid>
      <w:tr>
        <w:tc>
          <w:tcPr>
            <w:tcW w:type="dxa" w:w="3480"/>
            <w:tcBorders>
              <w:top w:val="single" w:color="BFBFBF" w:sz="4"/>
              <w:left w:val="single" w:color="BFBFBF" w:sz="4"/>
              <w:bottom w:val="single" w:color="BFBFBF" w:sz="4"/>
              <w:right w:val="single" w:color="BFBFBF" w:sz="4"/>
            </w:tcBorders>
            <w:shd w:fill="FEECEC" w:val="clear"/>
            <w:tcMar>
              <w:top w:type="dxa" w:w="140"/>
              <w:left w:type="dxa" w:w="160"/>
              <w:bottom w:type="dxa" w:w="140"/>
              <w:right w:type="dxa" w:w="160"/>
            </w:tcMar>
            <w:vAlign w:val="top"/>
          </w:tcPr>
          <w:p>
            <w:pPr>
              <w:spacing w:after="80" w:line="260"/>
            </w:pPr>
            <w:r>
              <w:rPr>
                <w:b/>
                <w:bCs/>
                <w:color w:val="1F3A5F"/>
                <w:sz w:val="20"/>
                <w:szCs w:val="20"/>
              </w:rPr>
              <w:t xml:space="preserve">Bottleneck</w:t>
            </w:r>
          </w:p>
          <w:p>
            <w:pPr>
              <w:spacing w:after="60" w:line="260"/>
            </w:pPr>
            <w:r>
              <w:rPr>
                <w:sz w:val="18"/>
                <w:szCs w:val="18"/>
              </w:rPr>
              <w:t xml:space="preserve">EXTREME (THE bottleneck).</w:t>
            </w:r>
          </w:p>
          <w:p>
            <w:pPr>
              <w:spacing w:after="60" w:line="260"/>
            </w:pPr>
            <w:r>
              <w:rPr>
                <w:sz w:val="18"/>
                <w:szCs w:val="18"/>
              </w:rPr>
              <w:t xml:space="preserve">NVIDIA Blackwell sold out 12+ months ahead; Rubin already booked.</w:t>
            </w:r>
          </w:p>
          <w:p>
            <w:pPr>
              <w:spacing w:after="60" w:line="260"/>
            </w:pPr>
            <w:r>
              <w:rPr>
                <w:sz w:val="18"/>
                <w:szCs w:val="18"/>
              </w:rPr>
              <w:t xml:space="preserve">Resolution: Constrained by Layer 3 HBM + Layer 2 CoWoS, not chip design. As those scale through 2026-27, bottleneck eases.</w:t>
            </w:r>
          </w:p>
        </w:tc>
        <w:tc>
          <w:tcPr>
            <w:tcW w:type="dxa" w:w="3480"/>
            <w:tcBorders>
              <w:top w:val="single" w:color="BFBFBF" w:sz="4"/>
              <w:left w:val="single" w:color="BFBFBF" w:sz="4"/>
              <w:bottom w:val="single" w:color="BFBFBF" w:sz="4"/>
              <w:right w:val="single" w:color="BFBFBF" w:sz="4"/>
            </w:tcBorders>
            <w:shd w:fill="EDF4FF" w:val="clear"/>
            <w:tcMar>
              <w:top w:type="dxa" w:w="140"/>
              <w:left w:type="dxa" w:w="160"/>
              <w:bottom w:type="dxa" w:w="140"/>
              <w:right w:type="dxa" w:w="160"/>
            </w:tcMar>
            <w:vAlign w:val="top"/>
          </w:tcPr>
          <w:p>
            <w:pPr>
              <w:spacing w:after="80" w:line="260"/>
            </w:pPr>
            <w:r>
              <w:rPr>
                <w:b/>
                <w:bCs/>
                <w:color w:val="1F3A5F"/>
                <w:sz w:val="20"/>
                <w:szCs w:val="20"/>
              </w:rPr>
              <w:t xml:space="preserve">Market Size</w:t>
            </w:r>
          </w:p>
          <w:p>
            <w:pPr>
              <w:spacing w:after="60" w:line="260"/>
            </w:pPr>
            <w:r>
              <w:rPr>
                <w:sz w:val="18"/>
                <w:szCs w:val="18"/>
              </w:rPr>
              <w:t xml:space="preserve">~$300B in 2026E.</w:t>
            </w:r>
          </w:p>
          <w:p>
            <w:pPr>
              <w:spacing w:after="60" w:line="260"/>
            </w:pPr>
            <w:r>
              <w:rPr>
                <w:sz w:val="18"/>
                <w:szCs w:val="18"/>
              </w:rPr>
              <w:t xml:space="preserve">BofA TAM: $1.2T by 2030.</w:t>
            </w:r>
          </w:p>
          <w:p>
            <w:pPr>
              <w:spacing w:after="60" w:line="260"/>
            </w:pPr>
            <w:r>
              <w:rPr>
                <w:sz w:val="18"/>
                <w:szCs w:val="18"/>
              </w:rPr>
              <w:t xml:space="preserve">NVIDIA FY26 DC revenue $193.7B (~90% of total $215.9B).</w:t>
            </w:r>
          </w:p>
          <w:p>
            <w:pPr>
              <w:spacing w:after="60" w:line="260"/>
            </w:pPr>
            <w:r>
              <w:rPr>
                <w:sz w:val="18"/>
                <w:szCs w:val="18"/>
              </w:rPr>
              <w:t xml:space="preserve">AVGO custom AI segment ~$28B.</w:t>
            </w:r>
          </w:p>
          <w:p>
            <w:pPr>
              <w:spacing w:after="60" w:line="260"/>
            </w:pPr>
            <w:r>
              <w:rPr>
                <w:sz w:val="18"/>
                <w:szCs w:val="18"/>
              </w:rPr>
              <w:t xml:space="preserve">AMD MI series ~$16.6B FY25.</w:t>
            </w:r>
          </w:p>
        </w:tc>
        <w:tc>
          <w:tcPr>
            <w:tcW w:type="dxa" w:w="3480"/>
            <w:tcBorders>
              <w:top w:val="single" w:color="BFBFBF" w:sz="4"/>
              <w:left w:val="single" w:color="BFBFBF" w:sz="4"/>
              <w:bottom w:val="single" w:color="BFBFBF" w:sz="4"/>
              <w:right w:val="single" w:color="BFBFBF" w:sz="4"/>
            </w:tcBorders>
            <w:shd w:fill="ECF7EC" w:val="clear"/>
            <w:tcMar>
              <w:top w:type="dxa" w:w="140"/>
              <w:left w:type="dxa" w:w="160"/>
              <w:bottom w:type="dxa" w:w="140"/>
              <w:right w:type="dxa" w:w="160"/>
            </w:tcMar>
            <w:vAlign w:val="top"/>
          </w:tcPr>
          <w:p>
            <w:pPr>
              <w:spacing w:after="80" w:line="260"/>
            </w:pPr>
            <w:r>
              <w:rPr>
                <w:b/>
                <w:bCs/>
                <w:color w:val="1F3A5F"/>
                <w:sz w:val="20"/>
                <w:szCs w:val="20"/>
              </w:rPr>
              <w:t xml:space="preserve">Value Added &amp; Margins</w:t>
            </w:r>
          </w:p>
          <w:p>
            <w:pPr>
              <w:spacing w:after="60" w:line="260"/>
            </w:pPr>
            <w:r>
              <w:rPr>
                <w:sz w:val="18"/>
                <w:szCs w:val="18"/>
              </w:rPr>
              <w:t xml:space="preserve">EXTREME (highest in chain).</w:t>
            </w:r>
          </w:p>
          <w:p>
            <w:pPr>
              <w:spacing w:after="60" w:line="260"/>
            </w:pPr>
            <w:r>
              <w:rPr>
                <w:sz w:val="18"/>
                <w:szCs w:val="18"/>
              </w:rPr>
              <w:t xml:space="preserve">NVIDIA Q4 FY26 (Jan 26): 73.4% GAAP GM, 75% op margin.</w:t>
            </w:r>
          </w:p>
          <w:p>
            <w:pPr>
              <w:spacing w:after="60" w:line="260"/>
            </w:pPr>
            <w:r>
              <w:rPr>
                <w:sz w:val="18"/>
                <w:szCs w:val="18"/>
              </w:rPr>
              <w:t xml:space="preserve">NVIDIA FY26 net income $120B (+65%).</w:t>
            </w:r>
          </w:p>
          <w:p>
            <w:pPr>
              <w:spacing w:after="60" w:line="260"/>
            </w:pPr>
            <w:r>
              <w:rPr>
                <w:sz w:val="18"/>
                <w:szCs w:val="18"/>
              </w:rPr>
              <w:t xml:space="preserve">AVGO ~50% op margin on AI.</w:t>
            </w:r>
          </w:p>
          <w:p>
            <w:pPr>
              <w:spacing w:after="60" w:line="260"/>
            </w:pPr>
            <w:r>
              <w:rPr>
                <w:sz w:val="18"/>
                <w:szCs w:val="18"/>
              </w:rPr>
              <w:t xml:space="preserve">AMD: lower margins, CoWoS-gated.</w:t>
            </w:r>
          </w:p>
          <w:p>
            <w:pPr>
              <w:spacing w:after="60" w:line="260"/>
            </w:pPr>
            <w:r>
              <w:rPr>
                <w:sz w:val="18"/>
                <w:szCs w:val="18"/>
              </w:rPr>
              <w:t xml:space="preserve">NVIDIA single-handedly captures ~30% of all AI capex as profit.</w:t>
            </w:r>
          </w:p>
        </w:tc>
      </w:tr>
    </w:tbl>
    <w:p>
      <w:pPr>
        <w:spacing w:after="80" w:before="160"/>
      </w:pPr>
      <w:r>
        <w:rPr>
          <w:b/>
          <w:bCs/>
          <w:color w:val="1F3A5F"/>
          <w:sz w:val="21"/>
          <w:szCs w:val="21"/>
        </w:rPr>
        <w:t xml:space="preserve">What this layer does</w:t>
      </w:r>
    </w:p>
    <w:p>
      <w:pPr>
        <w:spacing w:after="100" w:before="0" w:line="300"/>
        <w:jc w:val="left"/>
      </w:pPr>
      <w:r>
        <w:rPr>
          <w:b w:val="false"/>
          <w:bCs w:val="false"/>
          <w:i w:val="false"/>
          <w:iCs w:val="false"/>
          <w:color w:val="000000"/>
          <w:sz w:val="22"/>
          <w:szCs w:val="22"/>
        </w:rPr>
        <w:t xml:space="preserve">The chips that actually do AI math. Every other layer ultimately exists to feed these chips with power, cooling, memory, and data. The most concentrated and most valuable layer in the stack — NVIDIA alone generated $193.7B in FY26 data-center revenue (90% of total $215.9B) at 71% group GM and $120B net income (FY26).</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BFBFBF" w:sz="4"/>
              <w:left w:val="single" w:color="BFBFBF" w:sz="4"/>
              <w:bottom w:val="single" w:color="BFBFBF" w:sz="4"/>
              <w:right w:val="single" w:color="BFBFBF" w:sz="4"/>
            </w:tcBorders>
            <w:shd w:fill="FFF8E1" w:val="clear"/>
            <w:tcMar>
              <w:top w:type="dxa" w:w="100"/>
              <w:left w:type="dxa" w:w="160"/>
              <w:bottom w:type="dxa" w:w="100"/>
              <w:right w:type="dxa" w:w="160"/>
            </w:tcMar>
          </w:tcPr>
          <w:p>
            <w:pPr>
              <w:spacing w:after="60" w:line="280"/>
            </w:pPr>
            <w:r>
              <w:rPr>
                <w:b/>
                <w:bCs/>
                <w:color w:val="1F3A5F"/>
                <w:sz w:val="20"/>
                <w:szCs w:val="20"/>
              </w:rPr>
              <w:t xml:space="preserve">GPU (Graphics Processing Unit)</w:t>
            </w:r>
            <w:r>
              <w:rPr>
                <w:color w:val="1F3A5F"/>
                <w:sz w:val="20"/>
                <w:szCs w:val="20"/>
              </w:rPr>
              <w:t xml:space="preserve"> — </w:t>
            </w:r>
            <w:r>
              <w:rPr>
                <w:sz w:val="20"/>
                <w:szCs w:val="20"/>
              </w:rPr>
              <w:t xml:space="preserve">Originally for video games; turned out to be excellent at the parallel math AI needs. NVIDIA (NVDA) and AMD make general-purpose GPUs that can train ANY AI model.</w:t>
            </w:r>
          </w:p>
        </w:tc>
      </w:tr>
      <w:tr>
        <w:tc>
          <w:tcPr>
            <w:tcW w:type="dxa" w:w="10440"/>
            <w:tcBorders>
              <w:top w:val="single" w:color="BFBFBF" w:sz="4"/>
              <w:left w:val="single" w:color="BFBFBF" w:sz="4"/>
              <w:bottom w:val="single" w:color="BFBFBF" w:sz="4"/>
              <w:right w:val="single" w:color="BFBFBF" w:sz="4"/>
            </w:tcBorders>
            <w:shd w:fill="FFF8E1" w:val="clear"/>
            <w:tcMar>
              <w:top w:type="dxa" w:w="100"/>
              <w:left w:type="dxa" w:w="160"/>
              <w:bottom w:type="dxa" w:w="100"/>
              <w:right w:type="dxa" w:w="160"/>
            </w:tcMar>
          </w:tcPr>
          <w:p>
            <w:pPr>
              <w:spacing w:after="60" w:line="280"/>
            </w:pPr>
            <w:r>
              <w:rPr>
                <w:b/>
                <w:bCs/>
                <w:color w:val="1F3A5F"/>
                <w:sz w:val="20"/>
                <w:szCs w:val="20"/>
              </w:rPr>
              <w:t xml:space="preserve">ASIC (Application-Specific Integrated Circuit)</w:t>
            </w:r>
            <w:r>
              <w:rPr>
                <w:color w:val="1F3A5F"/>
                <w:sz w:val="20"/>
                <w:szCs w:val="20"/>
              </w:rPr>
              <w:t xml:space="preserve"> — </w:t>
            </w:r>
            <w:r>
              <w:rPr>
                <w:sz w:val="20"/>
                <w:szCs w:val="20"/>
              </w:rPr>
              <w:t xml:space="preserve">A chip designed for ONE specific purpose. Google TPU, AWS Trainium, Meta MTIA, Microsoft Maia are all ASICs — custom AI chips designed by hyperscalers, manufactured by TSMC, often co-designed with Broadcom or Marvell. 30-50% cheaper per workload than GPUs but lose flexibility.</w:t>
            </w:r>
          </w:p>
        </w:tc>
      </w:tr>
      <w:tr>
        <w:tc>
          <w:tcPr>
            <w:tcW w:type="dxa" w:w="10440"/>
            <w:tcBorders>
              <w:top w:val="single" w:color="BFBFBF" w:sz="4"/>
              <w:left w:val="single" w:color="BFBFBF" w:sz="4"/>
              <w:bottom w:val="single" w:color="BFBFBF" w:sz="4"/>
              <w:right w:val="single" w:color="BFBFBF" w:sz="4"/>
            </w:tcBorders>
            <w:shd w:fill="FFF8E1" w:val="clear"/>
            <w:tcMar>
              <w:top w:type="dxa" w:w="100"/>
              <w:left w:type="dxa" w:w="160"/>
              <w:bottom w:type="dxa" w:w="100"/>
              <w:right w:type="dxa" w:w="160"/>
            </w:tcMar>
          </w:tcPr>
          <w:p>
            <w:pPr>
              <w:spacing w:after="60" w:line="280"/>
            </w:pPr>
            <w:r>
              <w:rPr>
                <w:b/>
                <w:bCs/>
                <w:color w:val="1F3A5F"/>
                <w:sz w:val="20"/>
                <w:szCs w:val="20"/>
              </w:rPr>
              <w:t xml:space="preserve">Blackwell / Rubin</w:t>
            </w:r>
            <w:r>
              <w:rPr>
                <w:color w:val="1F3A5F"/>
                <w:sz w:val="20"/>
                <w:szCs w:val="20"/>
              </w:rPr>
              <w:t xml:space="preserve"> — </w:t>
            </w:r>
            <w:r>
              <w:rPr>
                <w:sz w:val="20"/>
                <w:szCs w:val="20"/>
              </w:rPr>
              <w:t xml:space="preserve">NVIDIA's GPU generations. Blackwell (B200, GB200) shipped 2025. Rubin shipping late 2026 — the basis of OpenAI's $100B 10 GW deal. Each generation roughly doubles AI performance.</w:t>
            </w:r>
          </w:p>
        </w:tc>
      </w:tr>
      <w:tr>
        <w:tc>
          <w:tcPr>
            <w:tcW w:type="dxa" w:w="10440"/>
            <w:tcBorders>
              <w:top w:val="single" w:color="BFBFBF" w:sz="4"/>
              <w:left w:val="single" w:color="BFBFBF" w:sz="4"/>
              <w:bottom w:val="single" w:color="BFBFBF" w:sz="4"/>
              <w:right w:val="single" w:color="BFBFBF" w:sz="4"/>
            </w:tcBorders>
            <w:shd w:fill="FFF8E1" w:val="clear"/>
            <w:tcMar>
              <w:top w:type="dxa" w:w="100"/>
              <w:left w:type="dxa" w:w="160"/>
              <w:bottom w:type="dxa" w:w="100"/>
              <w:right w:type="dxa" w:w="160"/>
            </w:tcMar>
          </w:tcPr>
          <w:p>
            <w:pPr>
              <w:spacing w:after="60" w:line="280"/>
            </w:pPr>
            <w:r>
              <w:rPr>
                <w:b/>
                <w:bCs/>
                <w:color w:val="1F3A5F"/>
                <w:sz w:val="20"/>
                <w:szCs w:val="20"/>
              </w:rPr>
              <w:t xml:space="preserve">Wafer-scale</w:t>
            </w:r>
            <w:r>
              <w:rPr>
                <w:color w:val="1F3A5F"/>
                <w:sz w:val="20"/>
                <w:szCs w:val="20"/>
              </w:rPr>
              <w:t xml:space="preserve"> — </w:t>
            </w:r>
            <w:r>
              <w:rPr>
                <w:sz w:val="20"/>
                <w:szCs w:val="20"/>
              </w:rPr>
              <w:t xml:space="preserve">Using an ENTIRE silicon wafer as one chip. Only Cerebras (CBRS) does this. WSE-3 has 4 trillion transistors, 900,000 cores — 57x larger than NVIDIA H100. Focus is inference, not training.</w:t>
            </w:r>
          </w:p>
        </w:tc>
      </w:tr>
    </w:tbl>
    <w:p>
      <w:pPr>
        <w:spacing w:after="80" w:before="160"/>
      </w:pPr>
      <w:r>
        <w:rPr>
          <w:b/>
          <w:bCs/>
          <w:color w:val="1F3A5F"/>
          <w:sz w:val="21"/>
          <w:szCs w:val="21"/>
        </w:rPr>
        <w:t xml:space="preserve">Who pays whom</w:t>
      </w:r>
    </w:p>
    <w:p>
      <w:pPr>
        <w:spacing w:after="100" w:before="0" w:line="300"/>
        <w:jc w:val="left"/>
      </w:pPr>
      <w:r>
        <w:rPr>
          <w:b w:val="false"/>
          <w:bCs w:val="false"/>
          <w:i w:val="false"/>
          <w:iCs w:val="false"/>
          <w:color w:val="000000"/>
          <w:sz w:val="22"/>
          <w:szCs w:val="22"/>
        </w:rPr>
        <w:t xml:space="preserve">Hyperscalers (L8), neoclouds, and L5 server ODMs buy GPUs and ASICs from this layer. NVIDIA pays TSMC (L2) for manufacturing + advanced packaging, SK Hynix/Micron/Samsung (L3) for HBM, and Synopsys + Cadence (L1) for design software. NVIDIA's 73% GM captures the bulk of every chip dollar because the value-add is overwhelmingly the design IP, not the physical manufacturing.</w:t>
      </w:r>
    </w:p>
    <w:p>
      <w:pPr>
        <w:spacing w:after="80" w:before="160"/>
      </w:pPr>
      <w:r>
        <w:rPr>
          <w:b/>
          <w:bCs/>
          <w:color w:val="1F3A5F"/>
          <w:sz w:val="21"/>
          <w:szCs w:val="21"/>
        </w:rPr>
        <w:t xml:space="preserve">Sub-segments</w:t>
      </w:r>
    </w:p>
    <w:p>
      <w:pPr>
        <w:pStyle w:val="ListParagraph"/>
        <w:numPr>
          <w:ilvl w:val="0"/>
          <w:numId w:val="2"/>
        </w:numPr>
        <w:spacing w:after="80" w:line="300"/>
      </w:pPr>
      <w:r>
        <w:rPr>
          <w:sz w:val="22"/>
          <w:szCs w:val="22"/>
        </w:rPr>
        <w:t xml:space="preserve">Merchant GPUs (sold to anyone) — NVIDIA 86-90%; AMD distant #2 at 5-7%.</w:t>
      </w:r>
    </w:p>
    <w:p>
      <w:pPr>
        <w:pStyle w:val="ListParagraph"/>
        <w:numPr>
          <w:ilvl w:val="0"/>
          <w:numId w:val="2"/>
        </w:numPr>
        <w:spacing w:after="80" w:line="300"/>
      </w:pPr>
      <w:r>
        <w:rPr>
          <w:sz w:val="22"/>
          <w:szCs w:val="22"/>
        </w:rPr>
        <w:t xml:space="preserve">Custom ASICs for hyperscalers — Broadcom (Google TPU, Meta MTIA, JADE) and Marvell (AWS Trainium). Counted at hyperscaler cloud; counted at Broadcom AI segment (~$28B FY25).</w:t>
      </w:r>
    </w:p>
    <w:p>
      <w:pPr>
        <w:pStyle w:val="ListParagraph"/>
        <w:numPr>
          <w:ilvl w:val="0"/>
          <w:numId w:val="2"/>
        </w:numPr>
        <w:spacing w:after="80" w:line="300"/>
      </w:pPr>
      <w:r>
        <w:rPr>
          <w:sz w:val="22"/>
          <w:szCs w:val="22"/>
        </w:rPr>
        <w:t xml:space="preserve">Wafer-scale (Cerebras) — niche inference; IPO'd May 2026 with $510M FY25 revenue and 47% net margin.</w:t>
      </w:r>
    </w:p>
    <w:p>
      <w:pPr>
        <w:pStyle w:val="ListParagraph"/>
        <w:numPr>
          <w:ilvl w:val="0"/>
          <w:numId w:val="2"/>
        </w:numPr>
        <w:spacing w:after="80" w:line="300"/>
      </w:pPr>
      <w:r>
        <w:rPr>
          <w:sz w:val="22"/>
          <w:szCs w:val="22"/>
        </w:rPr>
        <w:t xml:space="preserve">Power management ICs (MPWR) — adjacent but critical. Every GPU rack needs precise voltage regulation.</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500"/>
        <w:gridCol w:w="6000"/>
      </w:tblGrid>
      <w:tr>
        <w:trPr>
          <w:tblHeader/>
        </w:trPr>
        <w:tc>
          <w:tcPr>
            <w:tcW w:type="dxa" w:w="9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Ticker</w:t>
            </w:r>
          </w:p>
        </w:tc>
        <w:tc>
          <w:tcPr>
            <w:tcW w:type="dxa" w:w="20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Company</w:t>
            </w:r>
          </w:p>
        </w:tc>
        <w:tc>
          <w:tcPr>
            <w:tcW w:type="dxa" w:w="15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AI Share / Niche</w:t>
            </w:r>
          </w:p>
        </w:tc>
        <w:tc>
          <w:tcPr>
            <w:tcW w:type="dxa" w:w="60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Position</w:t>
            </w:r>
          </w:p>
        </w:tc>
      </w:tr>
      <w:tr>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NVDA</w:t>
            </w:r>
          </w:p>
        </w:tc>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NVIDIA</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~86–90%</w:t>
            </w:r>
          </w:p>
        </w:tc>
        <w:tc>
          <w:tcPr>
            <w:tcW w:type="dxa" w:w="6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$193.7B FY26 DC; 73% GM</w:t>
            </w:r>
          </w:p>
        </w:tc>
      </w:tr>
      <w:tr>
        <w:tc>
          <w:tcPr>
            <w:tcW w:type="dxa" w:w="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AMD</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AMD</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~5–7%</w:t>
            </w:r>
          </w:p>
        </w:tc>
        <w:tc>
          <w:tcPr>
            <w:tcW w:type="dxa" w:w="6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MI300X → MI355X → MI400; OpenAI 6 GW + 10% warrant</w:t>
            </w:r>
          </w:p>
        </w:tc>
      </w:tr>
      <w:tr>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AVGO</w:t>
            </w:r>
          </w:p>
        </w:tc>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Broadcom (custom)</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Custom leader</w:t>
            </w:r>
          </w:p>
        </w:tc>
        <w:tc>
          <w:tcPr>
            <w:tcW w:type="dxa" w:w="6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Google TPU, Meta MTIA; ~$28B AI segment</w:t>
            </w:r>
          </w:p>
        </w:tc>
      </w:tr>
      <w:tr>
        <w:tc>
          <w:tcPr>
            <w:tcW w:type="dxa" w:w="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MRVL</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Marvell</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Smaller custom + optics</w:t>
            </w:r>
          </w:p>
        </w:tc>
        <w:tc>
          <w:tcPr>
            <w:tcW w:type="dxa" w:w="6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AWS Trainium; optical DSPs</w:t>
            </w:r>
          </w:p>
        </w:tc>
      </w:tr>
      <w:tr>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CBRS</w:t>
            </w:r>
          </w:p>
        </w:tc>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Cerebras</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Wafer-scale inference</w:t>
            </w:r>
          </w:p>
        </w:tc>
        <w:tc>
          <w:tcPr>
            <w:tcW w:type="dxa" w:w="6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May 2026 IPO; +68% day 1; $10B OpenAI</w:t>
            </w:r>
          </w:p>
        </w:tc>
      </w:tr>
      <w:tr>
        <w:tc>
          <w:tcPr>
            <w:tcW w:type="dxa" w:w="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INTC</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Intel</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~1–2%</w:t>
            </w:r>
          </w:p>
        </w:tc>
        <w:tc>
          <w:tcPr>
            <w:tcW w:type="dxa" w:w="6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Gaudi 3</w:t>
            </w:r>
          </w:p>
        </w:tc>
      </w:tr>
      <w:tr>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MPWR</w:t>
            </w:r>
          </w:p>
        </w:tc>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Monolithic Power</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GPU power mgmt IC</w:t>
            </w:r>
          </w:p>
        </w:tc>
        <w:tc>
          <w:tcPr>
            <w:tcW w:type="dxa" w:w="6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Critical IC for GPUs</w:t>
            </w:r>
          </w:p>
        </w:tc>
      </w:tr>
    </w:tbl>
    <w:p>
      <w:pPr>
        <w:spacing w:after="80" w:before="160"/>
      </w:pPr>
      <w:r>
        <w:rPr>
          <w:b/>
          <w:bCs/>
          <w:color w:val="1F3A5F"/>
          <w:sz w:val="21"/>
          <w:szCs w:val="21"/>
        </w:rPr>
        <w:t xml:space="preserve">How to analyze this layer</w:t>
      </w:r>
    </w:p>
    <w:p>
      <w:pPr>
        <w:spacing w:after="100" w:before="0" w:line="300"/>
        <w:jc w:val="left"/>
      </w:pPr>
      <w:r>
        <w:rPr>
          <w:b w:val="false"/>
          <w:bCs w:val="false"/>
          <w:i w:val="false"/>
          <w:iCs w:val="false"/>
          <w:color w:val="000000"/>
          <w:sz w:val="22"/>
          <w:szCs w:val="22"/>
        </w:rPr>
        <w:t xml:space="preserve">NVIDIA is the master variable. Bull case: continued GPU dominance — Rubin late 2026, post-Rubin generations through 2028, $200B+/yr DC revenue plus margin expansion. Bear case has three parts: (1) hyperscaler ASIC substitution (TPU + Trainium + MTIA + Maia all in production; AVGO custom alone ~$28B), (2) circular financing (Section 7), (3) buildout delays — Bernstein's Stacy Rasgon: 'the infrastructure bottleneck is the single biggest risk to NVIDIA's forward revenue estimates.' For AMD: TSMC CoWoS allocation is the swing factor. For Broadcom: track custom-AI segment growth — anything above $30B run rate by end-2026 confirms ASIC thesis. For Cerebras: customer concentration (OpenAI ~80%) is the dominant risk.</w:t>
      </w:r>
    </w:p>
    <w:p>
      <w:r>
        <w:br w:type="page"/>
      </w:r>
    </w:p>
    <w:p>
      <w:pPr>
        <w:pStyle w:val="Heading2"/>
        <w:spacing w:after="140" w:before="280"/>
      </w:pPr>
      <w:r>
        <w:rPr>
          <w:b/>
          <w:bCs/>
          <w:color w:val="1F3A5F"/>
          <w:sz w:val="26"/>
          <w:szCs w:val="26"/>
        </w:rPr>
        <w:t xml:space="preserve">4.8 Layer 3 — Memory + Storage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480"/>
        <w:gridCol w:w="3480"/>
        <w:gridCol w:w="3480"/>
      </w:tblGrid>
      <w:tr>
        <w:tc>
          <w:tcPr>
            <w:tcW w:type="dxa" w:w="3480"/>
            <w:tcBorders>
              <w:top w:val="single" w:color="BFBFBF" w:sz="4"/>
              <w:left w:val="single" w:color="BFBFBF" w:sz="4"/>
              <w:bottom w:val="single" w:color="BFBFBF" w:sz="4"/>
              <w:right w:val="single" w:color="BFBFBF" w:sz="4"/>
            </w:tcBorders>
            <w:shd w:fill="FEECEC" w:val="clear"/>
            <w:tcMar>
              <w:top w:type="dxa" w:w="140"/>
              <w:left w:type="dxa" w:w="160"/>
              <w:bottom w:type="dxa" w:w="140"/>
              <w:right w:type="dxa" w:w="160"/>
            </w:tcMar>
            <w:vAlign w:val="top"/>
          </w:tcPr>
          <w:p>
            <w:pPr>
              <w:spacing w:after="80" w:line="260"/>
            </w:pPr>
            <w:r>
              <w:rPr>
                <w:b/>
                <w:bCs/>
                <w:color w:val="1F3A5F"/>
                <w:sz w:val="20"/>
                <w:szCs w:val="20"/>
              </w:rPr>
              <w:t xml:space="preserve">Bottleneck</w:t>
            </w:r>
          </w:p>
          <w:p>
            <w:pPr>
              <w:spacing w:after="60" w:line="260"/>
            </w:pPr>
            <w:r>
              <w:rPr>
                <w:sz w:val="18"/>
                <w:szCs w:val="18"/>
              </w:rPr>
              <w:t xml:space="preserve">EXTREME (tied with L4 as binding constraint).</w:t>
            </w:r>
          </w:p>
          <w:p>
            <w:pPr>
              <w:spacing w:after="60" w:line="260"/>
            </w:pPr>
            <w:r>
              <w:rPr>
                <w:sz w:val="18"/>
                <w:szCs w:val="18"/>
              </w:rPr>
              <w:t xml:space="preserve">SK Hynix DRAM + NAND + HBM SOLD OUT through 2026.</w:t>
            </w:r>
          </w:p>
          <w:p>
            <w:pPr>
              <w:spacing w:after="60" w:line="260"/>
            </w:pPr>
            <w:r>
              <w:rPr>
                <w:sz w:val="18"/>
                <w:szCs w:val="18"/>
              </w:rPr>
              <w:t xml:space="preserve">Resolution: Capex from all 3 memory makers; HBM4 ramp 2026-27. Tight through 2027 per SK Hynix. Samsung/Micron HBM4 qualifications could ease.</w:t>
            </w:r>
          </w:p>
        </w:tc>
        <w:tc>
          <w:tcPr>
            <w:tcW w:type="dxa" w:w="3480"/>
            <w:tcBorders>
              <w:top w:val="single" w:color="BFBFBF" w:sz="4"/>
              <w:left w:val="single" w:color="BFBFBF" w:sz="4"/>
              <w:bottom w:val="single" w:color="BFBFBF" w:sz="4"/>
              <w:right w:val="single" w:color="BFBFBF" w:sz="4"/>
            </w:tcBorders>
            <w:shd w:fill="EDF4FF" w:val="clear"/>
            <w:tcMar>
              <w:top w:type="dxa" w:w="140"/>
              <w:left w:type="dxa" w:w="160"/>
              <w:bottom w:type="dxa" w:w="140"/>
              <w:right w:type="dxa" w:w="160"/>
            </w:tcMar>
            <w:vAlign w:val="top"/>
          </w:tcPr>
          <w:p>
            <w:pPr>
              <w:spacing w:after="80" w:line="260"/>
            </w:pPr>
            <w:r>
              <w:rPr>
                <w:b/>
                <w:bCs/>
                <w:color w:val="1F3A5F"/>
                <w:sz w:val="20"/>
                <w:szCs w:val="20"/>
              </w:rPr>
              <w:t xml:space="preserve">Market Size</w:t>
            </w:r>
          </w:p>
          <w:p>
            <w:pPr>
              <w:spacing w:after="60" w:line="260"/>
            </w:pPr>
            <w:r>
              <w:rPr>
                <w:sz w:val="18"/>
                <w:szCs w:val="18"/>
              </w:rPr>
              <w:t xml:space="preserve">Memory total ~$300B+ in 2026E.</w:t>
            </w:r>
          </w:p>
          <w:p>
            <w:pPr>
              <w:spacing w:after="60" w:line="260"/>
            </w:pPr>
            <w:r>
              <w:rPr>
                <w:sz w:val="18"/>
                <w:szCs w:val="18"/>
              </w:rPr>
              <w:t xml:space="preserve">HBM: $35B (2025) → $58B (2026) → $100B (2028).</w:t>
            </w:r>
          </w:p>
          <w:p>
            <w:pPr>
              <w:spacing w:after="60" w:line="260"/>
            </w:pPr>
            <w:r>
              <w:rPr>
                <w:sz w:val="18"/>
                <w:szCs w:val="18"/>
              </w:rPr>
              <w:t xml:space="preserve">DC consumes &gt;50% of industry DRAM + NAND for first time.</w:t>
            </w:r>
          </w:p>
          <w:p>
            <w:pPr>
              <w:spacing w:after="60" w:line="260"/>
            </w:pPr>
            <w:r>
              <w:rPr>
                <w:sz w:val="18"/>
                <w:szCs w:val="18"/>
              </w:rPr>
              <w:t xml:space="preserve">NAND prices +246% in 2025.</w:t>
            </w:r>
          </w:p>
        </w:tc>
        <w:tc>
          <w:tcPr>
            <w:tcW w:type="dxa" w:w="3480"/>
            <w:tcBorders>
              <w:top w:val="single" w:color="BFBFBF" w:sz="4"/>
              <w:left w:val="single" w:color="BFBFBF" w:sz="4"/>
              <w:bottom w:val="single" w:color="BFBFBF" w:sz="4"/>
              <w:right w:val="single" w:color="BFBFBF" w:sz="4"/>
            </w:tcBorders>
            <w:shd w:fill="ECF7EC" w:val="clear"/>
            <w:tcMar>
              <w:top w:type="dxa" w:w="140"/>
              <w:left w:type="dxa" w:w="160"/>
              <w:bottom w:type="dxa" w:w="140"/>
              <w:right w:type="dxa" w:w="160"/>
            </w:tcMar>
            <w:vAlign w:val="top"/>
          </w:tcPr>
          <w:p>
            <w:pPr>
              <w:spacing w:after="80" w:line="260"/>
            </w:pPr>
            <w:r>
              <w:rPr>
                <w:b/>
                <w:bCs/>
                <w:color w:val="1F3A5F"/>
                <w:sz w:val="20"/>
                <w:szCs w:val="20"/>
              </w:rPr>
              <w:t xml:space="preserve">Value Added &amp; Margins</w:t>
            </w:r>
          </w:p>
          <w:p>
            <w:pPr>
              <w:spacing w:after="60" w:line="260"/>
            </w:pPr>
            <w:r>
              <w:rPr>
                <w:sz w:val="18"/>
                <w:szCs w:val="18"/>
              </w:rPr>
              <w:t xml:space="preserve">HIGH and rising.</w:t>
            </w:r>
          </w:p>
          <w:p>
            <w:pPr>
              <w:spacing w:after="60" w:line="260"/>
            </w:pPr>
            <w:r>
              <w:rPr>
                <w:sz w:val="18"/>
                <w:szCs w:val="18"/>
              </w:rPr>
              <w:t xml:space="preserve">SK Hynix Q4 25: 58% op margin.</w:t>
            </w:r>
          </w:p>
          <w:p>
            <w:pPr>
              <w:spacing w:after="60" w:line="260"/>
            </w:pPr>
            <w:r>
              <w:rPr>
                <w:sz w:val="18"/>
                <w:szCs w:val="18"/>
              </w:rPr>
              <w:t xml:space="preserve">Micron HBM gross margin pushed group to ~70%.</w:t>
            </w:r>
          </w:p>
          <w:p>
            <w:pPr>
              <w:spacing w:after="60" w:line="260"/>
            </w:pPr>
            <w:r>
              <w:rPr>
                <w:sz w:val="18"/>
                <w:szCs w:val="18"/>
              </w:rPr>
              <w:t xml:space="preserve">Samsung memory recovering.</w:t>
            </w:r>
          </w:p>
          <w:p>
            <w:pPr>
              <w:spacing w:after="60" w:line="260"/>
            </w:pPr>
            <w:r>
              <w:rPr>
                <w:sz w:val="18"/>
                <w:szCs w:val="18"/>
              </w:rPr>
              <w:t xml:space="preserve">NAND/HDD: SNDK 78% GM (likely unsustainable peak).</w:t>
            </w:r>
          </w:p>
          <w:p>
            <w:pPr>
              <w:spacing w:after="60" w:line="260"/>
            </w:pPr>
            <w:r>
              <w:rPr>
                <w:sz w:val="18"/>
                <w:szCs w:val="18"/>
              </w:rPr>
              <w:t xml:space="preserve">Long cyclicals briefly priced like monopolies.</w:t>
            </w:r>
          </w:p>
        </w:tc>
      </w:tr>
    </w:tbl>
    <w:p>
      <w:pPr>
        <w:spacing w:after="80" w:before="160"/>
      </w:pPr>
      <w:r>
        <w:rPr>
          <w:b/>
          <w:bCs/>
          <w:color w:val="1F3A5F"/>
          <w:sz w:val="21"/>
          <w:szCs w:val="21"/>
        </w:rPr>
        <w:t xml:space="preserve">What this layer does</w:t>
      </w:r>
    </w:p>
    <w:p>
      <w:pPr>
        <w:spacing w:after="100" w:before="0" w:line="300"/>
        <w:jc w:val="left"/>
      </w:pPr>
      <w:r>
        <w:rPr>
          <w:b w:val="false"/>
          <w:bCs w:val="false"/>
          <w:i w:val="false"/>
          <w:iCs w:val="false"/>
          <w:color w:val="000000"/>
          <w:sz w:val="22"/>
          <w:szCs w:val="22"/>
        </w:rPr>
        <w:t xml:space="preserve">Memory and storage hold the data AI chips work on. The closer to the GPU, the faster and more expensive: HBM sits on the GPU package; DRAM sits on the motherboard; NAND flash and HDD sit in storage racks. Data centers now consume &gt;50% of industry DRAM and NAND for the first time.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BFBFBF" w:sz="4"/>
              <w:left w:val="single" w:color="BFBFBF" w:sz="4"/>
              <w:bottom w:val="single" w:color="BFBFBF" w:sz="4"/>
              <w:right w:val="single" w:color="BFBFBF" w:sz="4"/>
            </w:tcBorders>
            <w:shd w:fill="FFF8E1" w:val="clear"/>
            <w:tcMar>
              <w:top w:type="dxa" w:w="100"/>
              <w:left w:type="dxa" w:w="160"/>
              <w:bottom w:type="dxa" w:w="100"/>
              <w:right w:type="dxa" w:w="160"/>
            </w:tcMar>
          </w:tcPr>
          <w:p>
            <w:pPr>
              <w:spacing w:after="60" w:line="280"/>
            </w:pPr>
            <w:r>
              <w:rPr>
                <w:b/>
                <w:bCs/>
                <w:color w:val="1F3A5F"/>
                <w:sz w:val="20"/>
                <w:szCs w:val="20"/>
              </w:rPr>
              <w:t xml:space="preserve">HBM (High Bandwidth Memory)</w:t>
            </w:r>
            <w:r>
              <w:rPr>
                <w:color w:val="1F3A5F"/>
                <w:sz w:val="20"/>
                <w:szCs w:val="20"/>
              </w:rPr>
              <w:t xml:space="preserve"> — </w:t>
            </w:r>
            <w:r>
              <w:rPr>
                <w:sz w:val="20"/>
                <w:szCs w:val="20"/>
              </w:rPr>
              <w:t xml:space="preserve">Stacked memory chips placed RIGHT NEXT TO the GPU on the same package. Much faster than regular memory because wires are much shorter. Every modern AI accelerator needs HBM. SK Hynix 57%; Micron 21%; Samsung 22%.</w:t>
            </w:r>
          </w:p>
        </w:tc>
      </w:tr>
      <w:tr>
        <w:tc>
          <w:tcPr>
            <w:tcW w:type="dxa" w:w="10440"/>
            <w:tcBorders>
              <w:top w:val="single" w:color="BFBFBF" w:sz="4"/>
              <w:left w:val="single" w:color="BFBFBF" w:sz="4"/>
              <w:bottom w:val="single" w:color="BFBFBF" w:sz="4"/>
              <w:right w:val="single" w:color="BFBFBF" w:sz="4"/>
            </w:tcBorders>
            <w:shd w:fill="FFF8E1" w:val="clear"/>
            <w:tcMar>
              <w:top w:type="dxa" w:w="100"/>
              <w:left w:type="dxa" w:w="160"/>
              <w:bottom w:type="dxa" w:w="100"/>
              <w:right w:type="dxa" w:w="160"/>
            </w:tcMar>
          </w:tcPr>
          <w:p>
            <w:pPr>
              <w:spacing w:after="60" w:line="280"/>
            </w:pPr>
            <w:r>
              <w:rPr>
                <w:b/>
                <w:bCs/>
                <w:color w:val="1F3A5F"/>
                <w:sz w:val="20"/>
                <w:szCs w:val="20"/>
              </w:rPr>
              <w:t xml:space="preserve">DRAM (Dynamic Random Access Memory)</w:t>
            </w:r>
            <w:r>
              <w:rPr>
                <w:color w:val="1F3A5F"/>
                <w:sz w:val="20"/>
                <w:szCs w:val="20"/>
              </w:rPr>
              <w:t xml:space="preserve"> — </w:t>
            </w:r>
            <w:r>
              <w:rPr>
                <w:sz w:val="20"/>
                <w:szCs w:val="20"/>
              </w:rPr>
              <w:t xml:space="preserve">Standard computer memory. SK Hynix, Samsung, Micron are the only three players globally. HBM is a specialized form of DRAM.</w:t>
            </w:r>
          </w:p>
        </w:tc>
      </w:tr>
      <w:tr>
        <w:tc>
          <w:tcPr>
            <w:tcW w:type="dxa" w:w="10440"/>
            <w:tcBorders>
              <w:top w:val="single" w:color="BFBFBF" w:sz="4"/>
              <w:left w:val="single" w:color="BFBFBF" w:sz="4"/>
              <w:bottom w:val="single" w:color="BFBFBF" w:sz="4"/>
              <w:right w:val="single" w:color="BFBFBF" w:sz="4"/>
            </w:tcBorders>
            <w:shd w:fill="FFF8E1" w:val="clear"/>
            <w:tcMar>
              <w:top w:type="dxa" w:w="100"/>
              <w:left w:type="dxa" w:w="160"/>
              <w:bottom w:type="dxa" w:w="100"/>
              <w:right w:type="dxa" w:w="160"/>
            </w:tcMar>
          </w:tcPr>
          <w:p>
            <w:pPr>
              <w:spacing w:after="60" w:line="280"/>
            </w:pPr>
            <w:r>
              <w:rPr>
                <w:b/>
                <w:bCs/>
                <w:color w:val="1F3A5F"/>
                <w:sz w:val="20"/>
                <w:szCs w:val="20"/>
              </w:rPr>
              <w:t xml:space="preserve">NAND Flash</w:t>
            </w:r>
            <w:r>
              <w:rPr>
                <w:color w:val="1F3A5F"/>
                <w:sz w:val="20"/>
                <w:szCs w:val="20"/>
              </w:rPr>
              <w:t xml:space="preserve"> — </w:t>
            </w:r>
            <w:r>
              <w:rPr>
                <w:sz w:val="20"/>
                <w:szCs w:val="20"/>
              </w:rPr>
              <w:t xml:space="preserve">Chip technology inside SSDs (Solid State Drives). Stores data persistently when powered off. Sandisk (SNDK) is the largest pure-play NAND maker.</w:t>
            </w:r>
          </w:p>
        </w:tc>
      </w:tr>
      <w:tr>
        <w:tc>
          <w:tcPr>
            <w:tcW w:type="dxa" w:w="10440"/>
            <w:tcBorders>
              <w:top w:val="single" w:color="BFBFBF" w:sz="4"/>
              <w:left w:val="single" w:color="BFBFBF" w:sz="4"/>
              <w:bottom w:val="single" w:color="BFBFBF" w:sz="4"/>
              <w:right w:val="single" w:color="BFBFBF" w:sz="4"/>
            </w:tcBorders>
            <w:shd w:fill="FFF8E1" w:val="clear"/>
            <w:tcMar>
              <w:top w:type="dxa" w:w="100"/>
              <w:left w:type="dxa" w:w="160"/>
              <w:bottom w:type="dxa" w:w="100"/>
              <w:right w:type="dxa" w:w="160"/>
            </w:tcMar>
          </w:tcPr>
          <w:p>
            <w:pPr>
              <w:spacing w:after="60" w:line="280"/>
            </w:pPr>
            <w:r>
              <w:rPr>
                <w:b/>
                <w:bCs/>
                <w:color w:val="1F3A5F"/>
                <w:sz w:val="20"/>
                <w:szCs w:val="20"/>
              </w:rPr>
              <w:t xml:space="preserve">HDD (Hard Disk Drive)</w:t>
            </w:r>
            <w:r>
              <w:rPr>
                <w:color w:val="1F3A5F"/>
                <w:sz w:val="20"/>
                <w:szCs w:val="20"/>
              </w:rPr>
              <w:t xml:space="preserve"> — </w:t>
            </w:r>
            <w:r>
              <w:rPr>
                <w:sz w:val="20"/>
                <w:szCs w:val="20"/>
              </w:rPr>
              <w:t xml:space="preserve">Older spinning-disk storage. Now an oligopoly of just 3 players (Seagate, Western Digital, Toshiba). Used as cheap mass storage for AI 'data lakes'.</w:t>
            </w:r>
          </w:p>
        </w:tc>
      </w:tr>
      <w:tr>
        <w:tc>
          <w:tcPr>
            <w:tcW w:type="dxa" w:w="10440"/>
            <w:tcBorders>
              <w:top w:val="single" w:color="BFBFBF" w:sz="4"/>
              <w:left w:val="single" w:color="BFBFBF" w:sz="4"/>
              <w:bottom w:val="single" w:color="BFBFBF" w:sz="4"/>
              <w:right w:val="single" w:color="BFBFBF" w:sz="4"/>
            </w:tcBorders>
            <w:shd w:fill="FFF8E1" w:val="clear"/>
            <w:tcMar>
              <w:top w:type="dxa" w:w="100"/>
              <w:left w:type="dxa" w:w="160"/>
              <w:bottom w:type="dxa" w:w="100"/>
              <w:right w:type="dxa" w:w="160"/>
            </w:tcMar>
          </w:tcPr>
          <w:p>
            <w:pPr>
              <w:spacing w:after="60" w:line="280"/>
            </w:pPr>
            <w:r>
              <w:rPr>
                <w:b/>
                <w:bCs/>
                <w:color w:val="1F3A5F"/>
                <w:sz w:val="20"/>
                <w:szCs w:val="20"/>
              </w:rPr>
              <w:t xml:space="preserve">HBF (High Bandwidth Flash)</w:t>
            </w:r>
            <w:r>
              <w:rPr>
                <w:color w:val="1F3A5F"/>
                <w:sz w:val="20"/>
                <w:szCs w:val="20"/>
              </w:rPr>
              <w:t xml:space="preserve"> — </w:t>
            </w:r>
            <w:r>
              <w:rPr>
                <w:sz w:val="20"/>
                <w:szCs w:val="20"/>
              </w:rPr>
              <w:t xml:space="preserve">A new Sandisk-developed architecture — NAND flash organized like HBM, intended as a complement for AI inference. Still emerging.</w:t>
            </w:r>
          </w:p>
        </w:tc>
      </w:tr>
    </w:tbl>
    <w:p>
      <w:pPr>
        <w:spacing w:after="80" w:before="160"/>
      </w:pPr>
      <w:r>
        <w:rPr>
          <w:b/>
          <w:bCs/>
          <w:color w:val="1F3A5F"/>
          <w:sz w:val="21"/>
          <w:szCs w:val="21"/>
        </w:rPr>
        <w:t xml:space="preserve">Who pays whom</w:t>
      </w:r>
    </w:p>
    <w:p>
      <w:pPr>
        <w:spacing w:after="100" w:before="0" w:line="300"/>
        <w:jc w:val="left"/>
      </w:pPr>
      <w:r>
        <w:rPr>
          <w:b w:val="false"/>
          <w:bCs w:val="false"/>
          <w:i w:val="false"/>
          <w:iCs w:val="false"/>
          <w:color w:val="000000"/>
          <w:sz w:val="22"/>
          <w:szCs w:val="22"/>
        </w:rPr>
        <w:t xml:space="preserve">Chip makers (L4) buy HBM directly to package next to GPUs. Server makers (L5) buy DRAM and storage. Memory makers in turn buy capital equipment from L1 (ASML, Lam, AMAT, etch + deposition) — unlike fabless chip designers, they manufacture their own wafers.</w:t>
      </w:r>
    </w:p>
    <w:p>
      <w:pPr>
        <w:spacing w:after="80" w:before="160"/>
      </w:pPr>
      <w:r>
        <w:rPr>
          <w:b/>
          <w:bCs/>
          <w:color w:val="1F3A5F"/>
          <w:sz w:val="21"/>
          <w:szCs w:val="21"/>
        </w:rPr>
        <w:t xml:space="preserve">Sub-segments — each with different dynamics</w:t>
      </w:r>
    </w:p>
    <w:p>
      <w:pPr>
        <w:pStyle w:val="Heading3"/>
        <w:spacing w:after="100" w:before="200"/>
      </w:pPr>
      <w:r>
        <w:rPr>
          <w:b/>
          <w:bCs/>
          <w:color w:val="2E75B6"/>
          <w:sz w:val="22"/>
          <w:szCs w:val="22"/>
        </w:rPr>
        <w:t xml:space="preserve">(a) HBM — Q3 2025 (Counterpoint)</w:t>
      </w:r>
    </w:p>
    <w:p>
      <w:pPr>
        <w:spacing w:after="100" w:before="0" w:line="300"/>
        <w:jc w:val="left"/>
      </w:pPr>
      <w:r>
        <w:rPr>
          <w:b w:val="false"/>
          <w:bCs w:val="false"/>
          <w:i w:val="false"/>
          <w:iCs w:val="false"/>
          <w:color w:val="000000"/>
          <w:sz w:val="22"/>
          <w:szCs w:val="22"/>
        </w:rPr>
        <w:t xml:space="preserve">HBM grew 130% in 2025; forecast +70% in 2026. Sold out across all three suppliers into 2027. TAM $35B (2025) → $100B (2028). SK Hynix dominant share anchored by NVIDIA — sole HBM3E supplier for H100/H200; per UBS sole-sourced ~70% of HBM4 for Rubin.</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1500"/>
        <w:gridCol w:w="5800"/>
      </w:tblGrid>
      <w:tr>
        <w:trPr>
          <w:tblHeader/>
        </w:trPr>
        <w:tc>
          <w:tcPr>
            <w:tcW w:type="dxa" w:w="12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Ticker</w:t>
            </w:r>
          </w:p>
        </w:tc>
        <w:tc>
          <w:tcPr>
            <w:tcW w:type="dxa" w:w="19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Company</w:t>
            </w:r>
          </w:p>
        </w:tc>
        <w:tc>
          <w:tcPr>
            <w:tcW w:type="dxa" w:w="15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HBM Share</w:t>
            </w:r>
          </w:p>
        </w:tc>
        <w:tc>
          <w:tcPr>
            <w:tcW w:type="dxa" w:w="58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Position</w:t>
            </w:r>
          </w:p>
        </w:tc>
      </w:tr>
      <w:tr>
        <w:tc>
          <w:tcPr>
            <w:tcW w:type="dxa" w:w="1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000660.KS</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SK Hynix</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57%</w:t>
            </w:r>
          </w:p>
        </w:tc>
        <w:tc>
          <w:tcPr>
            <w:tcW w:type="dxa" w:w="58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Sole NVIDIA H100/H200 HBM3E; ~70% HBM4 for Rubin</w:t>
            </w:r>
          </w:p>
        </w:tc>
      </w:tr>
      <w:tr>
        <w:tc>
          <w:tcPr>
            <w:tcW w:type="dxa" w:w="1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005930.KS</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Samsung</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22%</w:t>
            </w:r>
          </w:p>
        </w:tc>
        <w:tc>
          <w:tcPr>
            <w:tcW w:type="dxa" w:w="5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HBM3E recovery; HBM4 sampling</w:t>
            </w:r>
          </w:p>
        </w:tc>
      </w:tr>
      <w:tr>
        <w:tc>
          <w:tcPr>
            <w:tcW w:type="dxa" w:w="1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MU</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Micron</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21%</w:t>
            </w:r>
          </w:p>
        </w:tc>
        <w:tc>
          <w:tcPr>
            <w:tcW w:type="dxa" w:w="58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12-Hi HBM3E; sold out 2026</w:t>
            </w:r>
          </w:p>
        </w:tc>
      </w:tr>
    </w:tbl>
    <w:p>
      <w:pPr>
        <w:pStyle w:val="Heading3"/>
        <w:spacing w:after="100" w:before="200"/>
      </w:pPr>
      <w:r>
        <w:rPr>
          <w:b/>
          <w:bCs/>
          <w:color w:val="2E75B6"/>
          <w:sz w:val="22"/>
          <w:szCs w:val="22"/>
        </w:rPr>
        <w:t xml:space="preserve">(b) DRAM — Q3 2025</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1500"/>
        <w:gridCol w:w="5800"/>
      </w:tblGrid>
      <w:tr>
        <w:trPr>
          <w:tblHeader/>
        </w:trPr>
        <w:tc>
          <w:tcPr>
            <w:tcW w:type="dxa" w:w="12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Ticker</w:t>
            </w:r>
          </w:p>
        </w:tc>
        <w:tc>
          <w:tcPr>
            <w:tcW w:type="dxa" w:w="19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Company</w:t>
            </w:r>
          </w:p>
        </w:tc>
        <w:tc>
          <w:tcPr>
            <w:tcW w:type="dxa" w:w="15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DRAM Share</w:t>
            </w:r>
          </w:p>
        </w:tc>
        <w:tc>
          <w:tcPr>
            <w:tcW w:type="dxa" w:w="58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FY25 DRAM Revenue</w:t>
            </w:r>
          </w:p>
        </w:tc>
      </w:tr>
      <w:tr>
        <w:tc>
          <w:tcPr>
            <w:tcW w:type="dxa" w:w="1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000660.KS</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SK Hynix</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34%</w:t>
            </w:r>
          </w:p>
        </w:tc>
        <w:tc>
          <w:tcPr>
            <w:tcW w:type="dxa" w:w="58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~$55–60B</w:t>
            </w:r>
          </w:p>
        </w:tc>
      </w:tr>
      <w:tr>
        <w:tc>
          <w:tcPr>
            <w:tcW w:type="dxa" w:w="1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005930.KS</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Samsung</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33%</w:t>
            </w:r>
          </w:p>
        </w:tc>
        <w:tc>
          <w:tcPr>
            <w:tcW w:type="dxa" w:w="5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~$55B</w:t>
            </w:r>
          </w:p>
        </w:tc>
      </w:tr>
      <w:tr>
        <w:tc>
          <w:tcPr>
            <w:tcW w:type="dxa" w:w="1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MU</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Micron</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26%</w:t>
            </w:r>
          </w:p>
        </w:tc>
        <w:tc>
          <w:tcPr>
            <w:tcW w:type="dxa" w:w="58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~$26B</w:t>
            </w:r>
          </w:p>
        </w:tc>
      </w:tr>
    </w:tbl>
    <w:p>
      <w:pPr>
        <w:pStyle w:val="Heading3"/>
        <w:spacing w:after="100" w:before="200"/>
      </w:pPr>
      <w:r>
        <w:rPr>
          <w:b/>
          <w:bCs/>
          <w:color w:val="2E75B6"/>
          <w:sz w:val="22"/>
          <w:szCs w:val="22"/>
        </w:rPr>
        <w:t xml:space="preserve">(c) NAND Flash + Storage — the cycle surprise</w:t>
      </w:r>
    </w:p>
    <w:p>
      <w:pPr>
        <w:spacing w:after="100" w:before="0" w:line="300"/>
        <w:jc w:val="left"/>
      </w:pPr>
      <w:r>
        <w:rPr>
          <w:b w:val="false"/>
          <w:bCs w:val="false"/>
          <w:i w:val="false"/>
          <w:iCs w:val="false"/>
          <w:color w:val="000000"/>
          <w:sz w:val="22"/>
          <w:szCs w:val="22"/>
        </w:rPr>
        <w:t xml:space="preserve">Through 2024 storage was sleepy cyclical. Through 2025-26 it's been one of the strongest AI performers. AI inference creates 'data lakes' — petabytes of training data, vector DBs for RAG, agent memory. HDD industry consolidated to 3 players (oligopoly pricing power). Sandisk developing HBF as complement to HBM. Caveat: moves are extreme — 78.4% GM at Sandisk historically unsustainable for NAND.</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5200"/>
        <w:gridCol w:w="2200"/>
      </w:tblGrid>
      <w:tr>
        <w:trPr>
          <w:tblHeader/>
        </w:trPr>
        <w:tc>
          <w:tcPr>
            <w:tcW w:type="dxa" w:w="11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Ticker</w:t>
            </w:r>
          </w:p>
        </w:tc>
        <w:tc>
          <w:tcPr>
            <w:tcW w:type="dxa" w:w="19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Company</w:t>
            </w:r>
          </w:p>
        </w:tc>
        <w:tc>
          <w:tcPr>
            <w:tcW w:type="dxa" w:w="52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Position</w:t>
            </w:r>
          </w:p>
        </w:tc>
        <w:tc>
          <w:tcPr>
            <w:tcW w:type="dxa" w:w="22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Stock YTD 26</w:t>
            </w:r>
          </w:p>
        </w:tc>
      </w:tr>
      <w:tr>
        <w:tc>
          <w:tcPr>
            <w:tcW w:type="dxa" w:w="1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SNDK</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Sandisk</w:t>
            </w:r>
          </w:p>
        </w:tc>
        <w:tc>
          <w:tcPr>
            <w:tcW w:type="dxa" w:w="5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#1 pure-play NAND; HBF AI thesis</w:t>
            </w:r>
          </w:p>
        </w:tc>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+492%</w:t>
            </w:r>
          </w:p>
        </w:tc>
      </w:tr>
      <w:tr>
        <w:tc>
          <w:tcPr>
            <w:tcW w:type="dxa" w:w="11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WDC</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Western Digital</w:t>
            </w:r>
          </w:p>
        </w:tc>
        <w:tc>
          <w:tcPr>
            <w:tcW w:type="dxa" w:w="5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HDD + storage; sold out 2026</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+77% / +850% LTM</w:t>
            </w:r>
          </w:p>
        </w:tc>
      </w:tr>
      <w:tr>
        <w:tc>
          <w:tcPr>
            <w:tcW w:type="dxa" w:w="1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STX</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Seagate</w:t>
            </w:r>
          </w:p>
        </w:tc>
        <w:tc>
          <w:tcPr>
            <w:tcW w:type="dxa" w:w="5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HDD (Mozaic); only 3 HDD players</w:t>
            </w:r>
          </w:p>
        </w:tc>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+65% / +600% LTM</w:t>
            </w:r>
          </w:p>
        </w:tc>
      </w:tr>
    </w:tbl>
    <w:p>
      <w:pPr>
        <w:spacing w:after="80" w:before="160"/>
      </w:pPr>
      <w:r>
        <w:rPr>
          <w:b/>
          <w:bCs/>
          <w:color w:val="1F3A5F"/>
          <w:sz w:val="21"/>
          <w:szCs w:val="21"/>
        </w:rPr>
        <w:t xml:space="preserve">How to analyze this layer</w:t>
      </w:r>
    </w:p>
    <w:p>
      <w:pPr>
        <w:spacing w:after="100" w:before="0" w:line="300"/>
        <w:jc w:val="left"/>
      </w:pPr>
      <w:r>
        <w:rPr>
          <w:b w:val="false"/>
          <w:bCs w:val="false"/>
          <w:i w:val="false"/>
          <w:iCs w:val="false"/>
          <w:color w:val="000000"/>
          <w:sz w:val="22"/>
          <w:szCs w:val="22"/>
        </w:rPr>
        <w:t xml:space="preserve">For HBM: SK Hynix is the purest pure-play and clearest NVIDIA derivative — track HBM3E shipments, HBM4 qualification (sole vs dual-source matters enormously). Micron is the highest-beta US-listed play; margins expanded from ~22% to &gt;50% in 24 months. Samsung is the contrarian recovery trade — Q3 25 jump from 17% to 22% HBM share shows real progress; HBM4 second-source qualification = ~$50B market cap upside. For total DRAM: same names, but watch BROADER server build — DRAM ASPs rising on AI server unit growth. For storage (SNDK, WDC, STX): structural thesis competes with 40 years of cyclicality. 78% GM cannot persist forever — position sizing critical at these levels.</w:t>
      </w:r>
    </w:p>
    <w:p>
      <w:r>
        <w:br w:type="page"/>
      </w:r>
    </w:p>
    <w:p>
      <w:pPr>
        <w:pStyle w:val="Heading2"/>
        <w:spacing w:after="140" w:before="280"/>
      </w:pPr>
      <w:r>
        <w:rPr>
          <w:b/>
          <w:bCs/>
          <w:color w:val="1F3A5F"/>
          <w:sz w:val="26"/>
          <w:szCs w:val="26"/>
        </w:rPr>
        <w:t xml:space="preserve">4.9 Layer 2 — Foundry &amp; Advanced Packaging</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480"/>
        <w:gridCol w:w="3480"/>
        <w:gridCol w:w="3480"/>
      </w:tblGrid>
      <w:tr>
        <w:tc>
          <w:tcPr>
            <w:tcW w:type="dxa" w:w="3480"/>
            <w:tcBorders>
              <w:top w:val="single" w:color="BFBFBF" w:sz="4"/>
              <w:left w:val="single" w:color="BFBFBF" w:sz="4"/>
              <w:bottom w:val="single" w:color="BFBFBF" w:sz="4"/>
              <w:right w:val="single" w:color="BFBFBF" w:sz="4"/>
            </w:tcBorders>
            <w:shd w:fill="FEECEC" w:val="clear"/>
            <w:tcMar>
              <w:top w:type="dxa" w:w="140"/>
              <w:left w:type="dxa" w:w="160"/>
              <w:bottom w:type="dxa" w:w="140"/>
              <w:right w:type="dxa" w:w="160"/>
            </w:tcMar>
            <w:vAlign w:val="top"/>
          </w:tcPr>
          <w:p>
            <w:pPr>
              <w:spacing w:after="80" w:line="260"/>
            </w:pPr>
            <w:r>
              <w:rPr>
                <w:b/>
                <w:bCs/>
                <w:color w:val="1F3A5F"/>
                <w:sz w:val="20"/>
                <w:szCs w:val="20"/>
              </w:rPr>
              <w:t xml:space="preserve">Bottleneck</w:t>
            </w:r>
          </w:p>
          <w:p>
            <w:pPr>
              <w:spacing w:after="60" w:line="260"/>
            </w:pPr>
            <w:r>
              <w:rPr>
                <w:sz w:val="18"/>
                <w:szCs w:val="18"/>
              </w:rPr>
              <w:t xml:space="preserve">EXTREME for advanced packaging.</w:t>
            </w:r>
          </w:p>
          <w:p>
            <w:pPr>
              <w:spacing w:after="60" w:line="260"/>
            </w:pPr>
            <w:r>
              <w:rPr>
                <w:sz w:val="18"/>
                <w:szCs w:val="18"/>
              </w:rPr>
              <w:t xml:space="preserve">TSMC CoWoS sold out through 2027 despite tripling capacity (35K→130K wafers/mo).</w:t>
            </w:r>
          </w:p>
          <w:p>
            <w:pPr>
              <w:spacing w:after="60" w:line="260"/>
            </w:pPr>
            <w:r>
              <w:rPr>
                <w:sz w:val="18"/>
                <w:szCs w:val="18"/>
              </w:rPr>
              <w:t xml:space="preserve">Resolution: TSMC expanding to 170K wafers/mo by 2027; AMD/AVGO get rationed allocation. No competitive substitute.</w:t>
            </w:r>
          </w:p>
        </w:tc>
        <w:tc>
          <w:tcPr>
            <w:tcW w:type="dxa" w:w="3480"/>
            <w:tcBorders>
              <w:top w:val="single" w:color="BFBFBF" w:sz="4"/>
              <w:left w:val="single" w:color="BFBFBF" w:sz="4"/>
              <w:bottom w:val="single" w:color="BFBFBF" w:sz="4"/>
              <w:right w:val="single" w:color="BFBFBF" w:sz="4"/>
            </w:tcBorders>
            <w:shd w:fill="EDF4FF" w:val="clear"/>
            <w:tcMar>
              <w:top w:type="dxa" w:w="140"/>
              <w:left w:type="dxa" w:w="160"/>
              <w:bottom w:type="dxa" w:w="140"/>
              <w:right w:type="dxa" w:w="160"/>
            </w:tcMar>
            <w:vAlign w:val="top"/>
          </w:tcPr>
          <w:p>
            <w:pPr>
              <w:spacing w:after="80" w:line="260"/>
            </w:pPr>
            <w:r>
              <w:rPr>
                <w:b/>
                <w:bCs/>
                <w:color w:val="1F3A5F"/>
                <w:sz w:val="20"/>
                <w:szCs w:val="20"/>
              </w:rPr>
              <w:t xml:space="preserve">Market Size</w:t>
            </w:r>
          </w:p>
          <w:p>
            <w:pPr>
              <w:spacing w:after="60" w:line="260"/>
            </w:pPr>
            <w:r>
              <w:rPr>
                <w:sz w:val="18"/>
                <w:szCs w:val="18"/>
              </w:rPr>
              <w:t xml:space="preserve">Pure-play foundry $175B (2025).</w:t>
            </w:r>
          </w:p>
          <w:p>
            <w:pPr>
              <w:spacing w:after="60" w:line="260"/>
            </w:pPr>
            <w:r>
              <w:rPr>
                <w:sz w:val="18"/>
                <w:szCs w:val="18"/>
              </w:rPr>
              <w:t xml:space="preserve">TSMC alone $122.5B FY25 → ~$160B 2026E.</w:t>
            </w:r>
          </w:p>
          <w:p>
            <w:pPr>
              <w:spacing w:after="60" w:line="260"/>
            </w:pPr>
            <w:r>
              <w:rPr>
                <w:sz w:val="18"/>
                <w:szCs w:val="18"/>
              </w:rPr>
              <w:t xml:space="preserve">HPC % of TSMC mix: 52% (2024) → 65% (2027E).</w:t>
            </w:r>
          </w:p>
          <w:p>
            <w:pPr>
              <w:spacing w:after="60" w:line="260"/>
            </w:pPr>
            <w:r>
              <w:rPr>
                <w:sz w:val="18"/>
                <w:szCs w:val="18"/>
              </w:rPr>
              <w:t xml:space="preserve">CoWoS capacity 35K → 130K → 170K wafers/mo.</w:t>
            </w:r>
          </w:p>
        </w:tc>
        <w:tc>
          <w:tcPr>
            <w:tcW w:type="dxa" w:w="3480"/>
            <w:tcBorders>
              <w:top w:val="single" w:color="BFBFBF" w:sz="4"/>
              <w:left w:val="single" w:color="BFBFBF" w:sz="4"/>
              <w:bottom w:val="single" w:color="BFBFBF" w:sz="4"/>
              <w:right w:val="single" w:color="BFBFBF" w:sz="4"/>
            </w:tcBorders>
            <w:shd w:fill="ECF7EC" w:val="clear"/>
            <w:tcMar>
              <w:top w:type="dxa" w:w="140"/>
              <w:left w:type="dxa" w:w="160"/>
              <w:bottom w:type="dxa" w:w="140"/>
              <w:right w:type="dxa" w:w="160"/>
            </w:tcMar>
            <w:vAlign w:val="top"/>
          </w:tcPr>
          <w:p>
            <w:pPr>
              <w:spacing w:after="80" w:line="260"/>
            </w:pPr>
            <w:r>
              <w:rPr>
                <w:b/>
                <w:bCs/>
                <w:color w:val="1F3A5F"/>
                <w:sz w:val="20"/>
                <w:szCs w:val="20"/>
              </w:rPr>
              <w:t xml:space="preserve">Value Added &amp; Margins</w:t>
            </w:r>
          </w:p>
          <w:p>
            <w:pPr>
              <w:spacing w:after="60" w:line="260"/>
            </w:pPr>
            <w:r>
              <w:rPr>
                <w:sz w:val="18"/>
                <w:szCs w:val="18"/>
              </w:rPr>
              <w:t xml:space="preserve">EXTREME.</w:t>
            </w:r>
          </w:p>
          <w:p>
            <w:pPr>
              <w:spacing w:after="60" w:line="260"/>
            </w:pPr>
            <w:r>
              <w:rPr>
                <w:sz w:val="18"/>
                <w:szCs w:val="18"/>
              </w:rPr>
              <w:t xml:space="preserve">TSMC Q1 26 GM 66.2% (record).</w:t>
            </w:r>
          </w:p>
          <w:p>
            <w:pPr>
              <w:spacing w:after="60" w:line="260"/>
            </w:pPr>
            <w:r>
              <w:rPr>
                <w:sz w:val="18"/>
                <w:szCs w:val="18"/>
              </w:rPr>
              <w:t xml:space="preserve">TSMC 49% net margin = $16B profit per quarter.</w:t>
            </w:r>
          </w:p>
          <w:p>
            <w:pPr>
              <w:spacing w:after="60" w:line="260"/>
            </w:pPr>
            <w:r>
              <w:rPr>
                <w:sz w:val="18"/>
                <w:szCs w:val="18"/>
              </w:rPr>
              <w:t xml:space="preserve">Net income $63B FY25.</w:t>
            </w:r>
          </w:p>
          <w:p>
            <w:pPr>
              <w:spacing w:after="60" w:line="260"/>
            </w:pPr>
            <w:r>
              <w:rPr>
                <w:sz w:val="18"/>
                <w:szCs w:val="18"/>
              </w:rPr>
              <w:t xml:space="preserve">Samsung Foundry: yield issues, lower margins.</w:t>
            </w:r>
          </w:p>
          <w:p>
            <w:pPr>
              <w:spacing w:after="60" w:line="260"/>
            </w:pPr>
            <w:r>
              <w:rPr>
                <w:sz w:val="18"/>
                <w:szCs w:val="18"/>
              </w:rPr>
              <w:t xml:space="preserve">No other player at leading-edge.</w:t>
            </w:r>
          </w:p>
        </w:tc>
      </w:tr>
    </w:tbl>
    <w:p>
      <w:pPr>
        <w:spacing w:after="80" w:before="160"/>
      </w:pPr>
      <w:r>
        <w:rPr>
          <w:b/>
          <w:bCs/>
          <w:color w:val="1F3A5F"/>
          <w:sz w:val="21"/>
          <w:szCs w:val="21"/>
        </w:rPr>
        <w:t xml:space="preserve">What this layer does</w:t>
      </w:r>
    </w:p>
    <w:p>
      <w:pPr>
        <w:spacing w:after="100" w:before="0" w:line="300"/>
        <w:jc w:val="left"/>
      </w:pPr>
      <w:r>
        <w:rPr>
          <w:b w:val="false"/>
          <w:bCs w:val="false"/>
          <w:i w:val="false"/>
          <w:iCs w:val="false"/>
          <w:color w:val="000000"/>
          <w:sz w:val="22"/>
          <w:szCs w:val="22"/>
        </w:rPr>
        <w:t xml:space="preserve">Foundries physically manufacture chips designed by 'fabless' companies (NVIDIA, AMD, Broadcom design but don't manufacture; TSMC manufactures for them). Most concentrated layer in the chain after AI accelerators themselves. Every leading-edge AI chip — NVIDIA Blackwell/Rubin, AMD MI series, Google TPU, AWS Trainium, Broadcom ASICs — is fabricated by TSMC. Advanced packaging (TSMC's CoWoS) stacks HBM next to the GPU; biggest physical bottleneck on Blackwell/Rubin supply.</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BFBFBF" w:sz="4"/>
              <w:left w:val="single" w:color="BFBFBF" w:sz="4"/>
              <w:bottom w:val="single" w:color="BFBFBF" w:sz="4"/>
              <w:right w:val="single" w:color="BFBFBF" w:sz="4"/>
            </w:tcBorders>
            <w:shd w:fill="FFF8E1" w:val="clear"/>
            <w:tcMar>
              <w:top w:type="dxa" w:w="100"/>
              <w:left w:type="dxa" w:w="160"/>
              <w:bottom w:type="dxa" w:w="100"/>
              <w:right w:type="dxa" w:w="160"/>
            </w:tcMar>
          </w:tcPr>
          <w:p>
            <w:pPr>
              <w:spacing w:after="60" w:line="280"/>
            </w:pPr>
            <w:r>
              <w:rPr>
                <w:b/>
                <w:bCs/>
                <w:color w:val="1F3A5F"/>
                <w:sz w:val="20"/>
                <w:szCs w:val="20"/>
              </w:rPr>
              <w:t xml:space="preserve">Foundry</w:t>
            </w:r>
            <w:r>
              <w:rPr>
                <w:color w:val="1F3A5F"/>
                <w:sz w:val="20"/>
                <w:szCs w:val="20"/>
              </w:rPr>
              <w:t xml:space="preserve"> — </w:t>
            </w:r>
            <w:r>
              <w:rPr>
                <w:sz w:val="20"/>
                <w:szCs w:val="20"/>
              </w:rPr>
              <w:t xml:space="preserve">A factory that manufactures chips for fabless designers. TSMC is the dominant foundry (69.9% pure-play share). Samsung and Intel also operate foundries but at smaller leading-edge scale.</w:t>
            </w:r>
          </w:p>
        </w:tc>
      </w:tr>
      <w:tr>
        <w:tc>
          <w:tcPr>
            <w:tcW w:type="dxa" w:w="10440"/>
            <w:tcBorders>
              <w:top w:val="single" w:color="BFBFBF" w:sz="4"/>
              <w:left w:val="single" w:color="BFBFBF" w:sz="4"/>
              <w:bottom w:val="single" w:color="BFBFBF" w:sz="4"/>
              <w:right w:val="single" w:color="BFBFBF" w:sz="4"/>
            </w:tcBorders>
            <w:shd w:fill="FFF8E1" w:val="clear"/>
            <w:tcMar>
              <w:top w:type="dxa" w:w="100"/>
              <w:left w:type="dxa" w:w="160"/>
              <w:bottom w:type="dxa" w:w="100"/>
              <w:right w:type="dxa" w:w="160"/>
            </w:tcMar>
          </w:tcPr>
          <w:p>
            <w:pPr>
              <w:spacing w:after="60" w:line="280"/>
            </w:pPr>
            <w:r>
              <w:rPr>
                <w:b/>
                <w:bCs/>
                <w:color w:val="1F3A5F"/>
                <w:sz w:val="20"/>
                <w:szCs w:val="20"/>
              </w:rPr>
              <w:t xml:space="preserve">Node (3nm, 5nm, 7nm)</w:t>
            </w:r>
            <w:r>
              <w:rPr>
                <w:color w:val="1F3A5F"/>
                <w:sz w:val="20"/>
                <w:szCs w:val="20"/>
              </w:rPr>
              <w:t xml:space="preserve"> — </w:t>
            </w:r>
            <w:r>
              <w:rPr>
                <w:sz w:val="20"/>
                <w:szCs w:val="20"/>
              </w:rPr>
              <w:t xml:space="preserve">Size of features etched on the chip. Smaller = more performance + lower power. NVIDIA Blackwell uses TSMC's 4nm-class process. AI leading-edge is 3nm in 2026, moving to 2nm 2026-27.</w:t>
            </w:r>
          </w:p>
        </w:tc>
      </w:tr>
      <w:tr>
        <w:tc>
          <w:tcPr>
            <w:tcW w:type="dxa" w:w="10440"/>
            <w:tcBorders>
              <w:top w:val="single" w:color="BFBFBF" w:sz="4"/>
              <w:left w:val="single" w:color="BFBFBF" w:sz="4"/>
              <w:bottom w:val="single" w:color="BFBFBF" w:sz="4"/>
              <w:right w:val="single" w:color="BFBFBF" w:sz="4"/>
            </w:tcBorders>
            <w:shd w:fill="FFF8E1" w:val="clear"/>
            <w:tcMar>
              <w:top w:type="dxa" w:w="100"/>
              <w:left w:type="dxa" w:w="160"/>
              <w:bottom w:type="dxa" w:w="100"/>
              <w:right w:type="dxa" w:w="160"/>
            </w:tcMar>
          </w:tcPr>
          <w:p>
            <w:pPr>
              <w:spacing w:after="60" w:line="280"/>
            </w:pPr>
            <w:r>
              <w:rPr>
                <w:b/>
                <w:bCs/>
                <w:color w:val="1F3A5F"/>
                <w:sz w:val="20"/>
                <w:szCs w:val="20"/>
              </w:rPr>
              <w:t xml:space="preserve">CoWoS (Chip-on-Wafer-on-Substrate)</w:t>
            </w:r>
            <w:r>
              <w:rPr>
                <w:color w:val="1F3A5F"/>
                <w:sz w:val="20"/>
                <w:szCs w:val="20"/>
              </w:rPr>
              <w:t xml:space="preserve"> — </w:t>
            </w:r>
            <w:r>
              <w:rPr>
                <w:sz w:val="20"/>
                <w:szCs w:val="20"/>
              </w:rPr>
              <w:t xml:space="preserve">TSMC's advanced packaging tech for stacking HBM next to GPUs. Effectively a TSMC monopoly. Single biggest constraint on NVIDIA Blackwell/Rubin. Capacity 35K (2024) → 130K (2026E) wafers/mo.</w:t>
            </w:r>
          </w:p>
        </w:tc>
      </w:tr>
      <w:tr>
        <w:tc>
          <w:tcPr>
            <w:tcW w:type="dxa" w:w="10440"/>
            <w:tcBorders>
              <w:top w:val="single" w:color="BFBFBF" w:sz="4"/>
              <w:left w:val="single" w:color="BFBFBF" w:sz="4"/>
              <w:bottom w:val="single" w:color="BFBFBF" w:sz="4"/>
              <w:right w:val="single" w:color="BFBFBF" w:sz="4"/>
            </w:tcBorders>
            <w:shd w:fill="FFF8E1" w:val="clear"/>
            <w:tcMar>
              <w:top w:type="dxa" w:w="100"/>
              <w:left w:type="dxa" w:w="160"/>
              <w:bottom w:type="dxa" w:w="100"/>
              <w:right w:type="dxa" w:w="160"/>
            </w:tcMar>
          </w:tcPr>
          <w:p>
            <w:pPr>
              <w:spacing w:after="60" w:line="280"/>
            </w:pPr>
            <w:r>
              <w:rPr>
                <w:b/>
                <w:bCs/>
                <w:color w:val="1F3A5F"/>
                <w:sz w:val="20"/>
                <w:szCs w:val="20"/>
              </w:rPr>
              <w:t xml:space="preserve">OSAT (Outsourced Semiconductor Assembly &amp; Test)</w:t>
            </w:r>
            <w:r>
              <w:rPr>
                <w:color w:val="1F3A5F"/>
                <w:sz w:val="20"/>
                <w:szCs w:val="20"/>
              </w:rPr>
              <w:t xml:space="preserve"> — </w:t>
            </w:r>
            <w:r>
              <w:rPr>
                <w:sz w:val="20"/>
                <w:szCs w:val="20"/>
              </w:rPr>
              <w:t xml:space="preserve">Specialty companies that do packaging (and sometimes test) for chips. ASE and Amkor are the two largest. Get overflow CoWoS work from TSMC + handle most non-AI packaging.</w:t>
            </w:r>
          </w:p>
        </w:tc>
      </w:tr>
    </w:tbl>
    <w:p>
      <w:pPr>
        <w:spacing w:after="80" w:before="160"/>
      </w:pPr>
      <w:r>
        <w:rPr>
          <w:b/>
          <w:bCs/>
          <w:color w:val="1F3A5F"/>
          <w:sz w:val="21"/>
          <w:szCs w:val="21"/>
        </w:rPr>
        <w:t xml:space="preserve">Who pays whom</w:t>
      </w:r>
    </w:p>
    <w:p>
      <w:pPr>
        <w:spacing w:after="100" w:before="0" w:line="300"/>
        <w:jc w:val="left"/>
      </w:pPr>
      <w:r>
        <w:rPr>
          <w:b w:val="false"/>
          <w:bCs w:val="false"/>
          <w:i w:val="false"/>
          <w:iCs w:val="false"/>
          <w:color w:val="000000"/>
          <w:sz w:val="22"/>
          <w:szCs w:val="22"/>
        </w:rPr>
        <w:t xml:space="preserve">Chip designers (L4) pay foundries for manufacturing. NVIDIA pays TSMC; TSMC pays equipment makers (L1: ASML for EUV, AMAT for deposition, Lam for etch, KLA for metrology, plus Hoya for photomask blanks, Shin-Etsu for silicon wafers, Hanmi/BESI for HBM bonders). TSMC's 66% GM reflects its monopoly position at leading edge.</w:t>
      </w:r>
    </w:p>
    <w:p>
      <w:pPr>
        <w:spacing w:after="80" w:before="160"/>
      </w:pPr>
      <w:r>
        <w:rPr>
          <w:b/>
          <w:bCs/>
          <w:color w:val="1F3A5F"/>
          <w:sz w:val="21"/>
          <w:szCs w:val="21"/>
        </w:rPr>
        <w:t xml:space="preserve">Sub-segments</w:t>
      </w:r>
    </w:p>
    <w:p>
      <w:pPr>
        <w:pStyle w:val="Heading3"/>
        <w:spacing w:after="100" w:before="200"/>
      </w:pPr>
      <w:r>
        <w:rPr>
          <w:b/>
          <w:bCs/>
          <w:color w:val="2E75B6"/>
          <w:sz w:val="22"/>
          <w:szCs w:val="22"/>
        </w:rPr>
        <w:t xml:space="preserve">(a) Pure-play foundry — 2025 (TrendForce)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1500"/>
        <w:gridCol w:w="5900"/>
      </w:tblGrid>
      <w:tr>
        <w:trPr>
          <w:tblHeader/>
        </w:trPr>
        <w:tc>
          <w:tcPr>
            <w:tcW w:type="dxa" w:w="11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Ticker</w:t>
            </w:r>
          </w:p>
        </w:tc>
        <w:tc>
          <w:tcPr>
            <w:tcW w:type="dxa" w:w="19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Foundry</w:t>
            </w:r>
          </w:p>
        </w:tc>
        <w:tc>
          <w:tcPr>
            <w:tcW w:type="dxa" w:w="15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2025 Share</w:t>
            </w:r>
          </w:p>
        </w:tc>
        <w:tc>
          <w:tcPr>
            <w:tcW w:type="dxa" w:w="59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Position</w:t>
            </w:r>
          </w:p>
        </w:tc>
      </w:tr>
      <w:tr>
        <w:tc>
          <w:tcPr>
            <w:tcW w:type="dxa" w:w="1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TSM</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TSMC</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69.9%</w:t>
            </w:r>
          </w:p>
        </w:tc>
        <w:tc>
          <w:tcPr>
            <w:tcW w:type="dxa" w:w="5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Sole leading-edge AI; CoWoS monopoly; $122.5B FY25</w:t>
            </w:r>
          </w:p>
        </w:tc>
      </w:tr>
      <w:tr>
        <w:tc>
          <w:tcPr>
            <w:tcW w:type="dxa" w:w="11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005930.KS</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Samsung Foundry</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7.2%</w:t>
            </w:r>
          </w:p>
        </w:tc>
        <w:tc>
          <w:tcPr>
            <w:tcW w:type="dxa" w:w="5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3nm catching up; HBM4 + 2nm</w:t>
            </w:r>
          </w:p>
        </w:tc>
      </w:tr>
      <w:tr>
        <w:tc>
          <w:tcPr>
            <w:tcW w:type="dxa" w:w="1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688981.SS</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SMIC</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5.32%</w:t>
            </w:r>
          </w:p>
        </w:tc>
        <w:tc>
          <w:tcPr>
            <w:tcW w:type="dxa" w:w="5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China; restricted to 7nm/5nm</w:t>
            </w:r>
          </w:p>
        </w:tc>
      </w:tr>
      <w:tr>
        <w:tc>
          <w:tcPr>
            <w:tcW w:type="dxa" w:w="11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INTC</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Intel Foundry</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Not top 10</w:t>
            </w:r>
          </w:p>
        </w:tc>
        <w:tc>
          <w:tcPr>
            <w:tcW w:type="dxa" w:w="5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18A; US strategic; 10% gov't stake</w:t>
            </w:r>
          </w:p>
        </w:tc>
      </w:tr>
    </w:tbl>
    <w:p>
      <w:pPr>
        <w:pStyle w:val="Heading3"/>
        <w:spacing w:after="100" w:before="200"/>
      </w:pPr>
      <w:r>
        <w:rPr>
          <w:b/>
          <w:bCs/>
          <w:color w:val="2E75B6"/>
          <w:sz w:val="22"/>
          <w:szCs w:val="22"/>
        </w:rPr>
        <w:t xml:space="preserve">(b) OSAT (Advanced Packaging)</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100"/>
        <w:gridCol w:w="2100"/>
        <w:gridCol w:w="3200"/>
        <w:gridCol w:w="4000"/>
      </w:tblGrid>
      <w:tr>
        <w:trPr>
          <w:tblHeader/>
        </w:trPr>
        <w:tc>
          <w:tcPr>
            <w:tcW w:type="dxa" w:w="11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Ticker</w:t>
            </w:r>
          </w:p>
        </w:tc>
        <w:tc>
          <w:tcPr>
            <w:tcW w:type="dxa" w:w="21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Company</w:t>
            </w:r>
          </w:p>
        </w:tc>
        <w:tc>
          <w:tcPr>
            <w:tcW w:type="dxa" w:w="32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Position</w:t>
            </w:r>
          </w:p>
        </w:tc>
        <w:tc>
          <w:tcPr>
            <w:tcW w:type="dxa" w:w="40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FY25 Revenue</w:t>
            </w:r>
          </w:p>
        </w:tc>
      </w:tr>
      <w:tr>
        <w:tc>
          <w:tcPr>
            <w:tcW w:type="dxa" w:w="1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ASX</w:t>
            </w:r>
          </w:p>
        </w:tc>
        <w:tc>
          <w:tcPr>
            <w:tcW w:type="dxa" w:w="2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ASE Technology</w:t>
            </w:r>
          </w:p>
        </w:tc>
        <w:tc>
          <w:tcPr>
            <w:tcW w:type="dxa" w:w="3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#1 OSAT</w:t>
            </w:r>
          </w:p>
        </w:tc>
        <w:tc>
          <w:tcPr>
            <w:tcW w:type="dxa" w:w="4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~$18B</w:t>
            </w:r>
          </w:p>
        </w:tc>
      </w:tr>
      <w:tr>
        <w:tc>
          <w:tcPr>
            <w:tcW w:type="dxa" w:w="11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AMKR</w:t>
            </w:r>
          </w:p>
        </w:tc>
        <w:tc>
          <w:tcPr>
            <w:tcW w:type="dxa" w:w="21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Amkor</w:t>
            </w:r>
          </w:p>
        </w:tc>
        <w:tc>
          <w:tcPr>
            <w:tcW w:type="dxa" w:w="3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#2 OSAT; Arizona TSMC-adjacent</w:t>
            </w:r>
          </w:p>
        </w:tc>
        <w:tc>
          <w:tcPr>
            <w:tcW w:type="dxa" w:w="4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~$7B</w:t>
            </w:r>
          </w:p>
        </w:tc>
      </w:tr>
    </w:tbl>
    <w:p>
      <w:pPr>
        <w:pStyle w:val="Heading3"/>
        <w:spacing w:after="100" w:before="200"/>
      </w:pPr>
      <w:r>
        <w:rPr>
          <w:b/>
          <w:bCs/>
          <w:color w:val="2E75B6"/>
          <w:sz w:val="22"/>
          <w:szCs w:val="22"/>
        </w:rPr>
        <w:t xml:space="preserve">TSMC capacity trajectory</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000"/>
        <w:gridCol w:w="1660"/>
        <w:gridCol w:w="1660"/>
        <w:gridCol w:w="1660"/>
        <w:gridCol w:w="1660"/>
      </w:tblGrid>
      <w:tr>
        <w:trPr>
          <w:tblHeader/>
        </w:trPr>
        <w:tc>
          <w:tcPr>
            <w:tcW w:type="dxa" w:w="30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Metric</w:t>
            </w:r>
          </w:p>
        </w:tc>
        <w:tc>
          <w:tcPr>
            <w:tcW w:type="dxa" w:w="166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2024</w:t>
            </w:r>
          </w:p>
        </w:tc>
        <w:tc>
          <w:tcPr>
            <w:tcW w:type="dxa" w:w="166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2025</w:t>
            </w:r>
          </w:p>
        </w:tc>
        <w:tc>
          <w:tcPr>
            <w:tcW w:type="dxa" w:w="166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2026E</w:t>
            </w:r>
          </w:p>
        </w:tc>
        <w:tc>
          <w:tcPr>
            <w:tcW w:type="dxa" w:w="166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2027E</w:t>
            </w:r>
          </w:p>
        </w:tc>
      </w:tr>
      <w:tr>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TSM revenue</w:t>
            </w:r>
          </w:p>
        </w:tc>
        <w:tc>
          <w:tcPr>
            <w:tcW w:type="dxa" w:w="16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$90B</w:t>
            </w:r>
          </w:p>
        </w:tc>
        <w:tc>
          <w:tcPr>
            <w:tcW w:type="dxa" w:w="16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$122.5B</w:t>
            </w:r>
          </w:p>
        </w:tc>
        <w:tc>
          <w:tcPr>
            <w:tcW w:type="dxa" w:w="16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~$160B</w:t>
            </w:r>
          </w:p>
        </w:tc>
        <w:tc>
          <w:tcPr>
            <w:tcW w:type="dxa" w:w="16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~$190-200B</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HPC % of mix (incl. AI)</w:t>
            </w:r>
          </w:p>
        </w:tc>
        <w:tc>
          <w:tcPr>
            <w:tcW w:type="dxa" w:w="16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~52%</w:t>
            </w:r>
          </w:p>
        </w:tc>
        <w:tc>
          <w:tcPr>
            <w:tcW w:type="dxa" w:w="16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~58%</w:t>
            </w:r>
          </w:p>
        </w:tc>
        <w:tc>
          <w:tcPr>
            <w:tcW w:type="dxa" w:w="16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~61%</w:t>
            </w:r>
          </w:p>
        </w:tc>
        <w:tc>
          <w:tcPr>
            <w:tcW w:type="dxa" w:w="16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~65%</w:t>
            </w:r>
          </w:p>
        </w:tc>
      </w:tr>
      <w:tr>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TSM capex</w:t>
            </w:r>
          </w:p>
        </w:tc>
        <w:tc>
          <w:tcPr>
            <w:tcW w:type="dxa" w:w="16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$32B</w:t>
            </w:r>
          </w:p>
        </w:tc>
        <w:tc>
          <w:tcPr>
            <w:tcW w:type="dxa" w:w="16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$40.5B</w:t>
            </w:r>
          </w:p>
        </w:tc>
        <w:tc>
          <w:tcPr>
            <w:tcW w:type="dxa" w:w="16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$52-56B</w:t>
            </w:r>
          </w:p>
        </w:tc>
        <w:tc>
          <w:tcPr>
            <w:tcW w:type="dxa" w:w="16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$60B+</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CoWoS capacity (w/mo)</w:t>
            </w:r>
          </w:p>
        </w:tc>
        <w:tc>
          <w:tcPr>
            <w:tcW w:type="dxa" w:w="16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35K</w:t>
            </w:r>
          </w:p>
        </w:tc>
        <w:tc>
          <w:tcPr>
            <w:tcW w:type="dxa" w:w="16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75K</w:t>
            </w:r>
          </w:p>
        </w:tc>
        <w:tc>
          <w:tcPr>
            <w:tcW w:type="dxa" w:w="16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120-130K</w:t>
            </w:r>
          </w:p>
        </w:tc>
        <w:tc>
          <w:tcPr>
            <w:tcW w:type="dxa" w:w="16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170K</w:t>
            </w:r>
          </w:p>
        </w:tc>
      </w:tr>
      <w:tr>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Gross margin</w:t>
            </w:r>
          </w:p>
        </w:tc>
        <w:tc>
          <w:tcPr>
            <w:tcW w:type="dxa" w:w="16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~54%</w:t>
            </w:r>
          </w:p>
        </w:tc>
        <w:tc>
          <w:tcPr>
            <w:tcW w:type="dxa" w:w="16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~60%</w:t>
            </w:r>
          </w:p>
        </w:tc>
        <w:tc>
          <w:tcPr>
            <w:tcW w:type="dxa" w:w="16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~66%</w:t>
            </w:r>
          </w:p>
        </w:tc>
        <w:tc>
          <w:tcPr>
            <w:tcW w:type="dxa" w:w="16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~65%+</w:t>
            </w:r>
          </w:p>
        </w:tc>
      </w:tr>
    </w:tbl>
    <w:p>
      <w:pPr>
        <w:spacing w:after="80" w:before="160"/>
      </w:pPr>
      <w:r>
        <w:rPr>
          <w:b/>
          <w:bCs/>
          <w:color w:val="1F3A5F"/>
          <w:sz w:val="21"/>
          <w:szCs w:val="21"/>
        </w:rPr>
        <w:t xml:space="preserve">How to analyze this layer</w:t>
      </w:r>
    </w:p>
    <w:p>
      <w:pPr>
        <w:spacing w:after="100" w:before="0" w:line="300"/>
        <w:jc w:val="left"/>
      </w:pPr>
      <w:r>
        <w:rPr>
          <w:b w:val="false"/>
          <w:bCs w:val="false"/>
          <w:i w:val="false"/>
          <w:iCs w:val="false"/>
          <w:color w:val="000000"/>
          <w:sz w:val="22"/>
          <w:szCs w:val="22"/>
        </w:rPr>
        <w:t xml:space="preserve">TSMC is the highest-quality pick-and-shovels name in the entire AI supply chain. CoWoS expansion at ~80% CAGR is fully spoken-for through 2026; NVIDIA reserved &gt;50% of CoWoS capacity through 2027. Metrics to track: monthly revenue release, quarterly capex guidance, HPC % of revenue mix. Risk: entire layer concentrated in Taiwan — Arizona/Japan/Germany fabs mitigate but at scale only post-2028. Samsung Foundry: whether HBM4 wins + 2nm process maturity arrive together. Intel Foundry: 18A ramp + external customer wins (US gov't has 10% stake aligned to this). OSATs: get overflow when TSMC can't fulfill — Amkor's Arizona fab adjacent to TSMC US is a strategic position.</w:t>
      </w:r>
    </w:p>
    <w:p>
      <w:r>
        <w:br w:type="page"/>
      </w:r>
    </w:p>
    <w:p>
      <w:pPr>
        <w:pStyle w:val="Heading2"/>
        <w:spacing w:after="140" w:before="280"/>
      </w:pPr>
      <w:r>
        <w:rPr>
          <w:b/>
          <w:bCs/>
          <w:color w:val="1F3A5F"/>
          <w:sz w:val="26"/>
          <w:szCs w:val="26"/>
        </w:rPr>
        <w:t xml:space="preserve">4.10 Layer 1 — EDA + Equipment + Materials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480"/>
        <w:gridCol w:w="3480"/>
        <w:gridCol w:w="3480"/>
      </w:tblGrid>
      <w:tr>
        <w:tc>
          <w:tcPr>
            <w:tcW w:type="dxa" w:w="3480"/>
            <w:tcBorders>
              <w:top w:val="single" w:color="BFBFBF" w:sz="4"/>
              <w:left w:val="single" w:color="BFBFBF" w:sz="4"/>
              <w:bottom w:val="single" w:color="BFBFBF" w:sz="4"/>
              <w:right w:val="single" w:color="BFBFBF" w:sz="4"/>
            </w:tcBorders>
            <w:shd w:fill="FEECEC" w:val="clear"/>
            <w:tcMar>
              <w:top w:type="dxa" w:w="140"/>
              <w:left w:type="dxa" w:w="160"/>
              <w:bottom w:type="dxa" w:w="140"/>
              <w:right w:type="dxa" w:w="160"/>
            </w:tcMar>
            <w:vAlign w:val="top"/>
          </w:tcPr>
          <w:p>
            <w:pPr>
              <w:spacing w:after="80" w:line="260"/>
            </w:pPr>
            <w:r>
              <w:rPr>
                <w:b/>
                <w:bCs/>
                <w:color w:val="1F3A5F"/>
                <w:sz w:val="20"/>
                <w:szCs w:val="20"/>
              </w:rPr>
              <w:t xml:space="preserve">Bottleneck</w:t>
            </w:r>
          </w:p>
          <w:p>
            <w:pPr>
              <w:spacing w:after="60" w:line="260"/>
            </w:pPr>
            <w:r>
              <w:rPr>
                <w:sz w:val="18"/>
                <w:szCs w:val="18"/>
              </w:rPr>
              <w:t xml:space="preserve">HIGH but distributed.</w:t>
            </w:r>
          </w:p>
          <w:p>
            <w:pPr>
              <w:spacing w:after="60" w:line="260"/>
            </w:pPr>
            <w:r>
              <w:rPr>
                <w:sz w:val="18"/>
                <w:szCs w:val="18"/>
              </w:rPr>
              <w:t xml:space="preserve">EUV machines (ASML High-NA) have 18-month lead times.</w:t>
            </w:r>
          </w:p>
          <w:p>
            <w:pPr>
              <w:spacing w:after="60" w:line="260"/>
            </w:pPr>
            <w:r>
              <w:rPr>
                <w:sz w:val="18"/>
                <w:szCs w:val="18"/>
              </w:rPr>
              <w:t xml:space="preserve">HBM TC bonders sold out at Hanmi + BESI.</w:t>
            </w:r>
          </w:p>
          <w:p>
            <w:pPr>
              <w:spacing w:after="60" w:line="260"/>
            </w:pPr>
            <w:r>
              <w:rPr>
                <w:sz w:val="18"/>
                <w:szCs w:val="18"/>
              </w:rPr>
              <w:t xml:space="preserve">Resolution: Capacity expansion already underway. ASML projects $71B revenue by 2030 (~20% CAGR).</w:t>
            </w:r>
          </w:p>
        </w:tc>
        <w:tc>
          <w:tcPr>
            <w:tcW w:type="dxa" w:w="3480"/>
            <w:tcBorders>
              <w:top w:val="single" w:color="BFBFBF" w:sz="4"/>
              <w:left w:val="single" w:color="BFBFBF" w:sz="4"/>
              <w:bottom w:val="single" w:color="BFBFBF" w:sz="4"/>
              <w:right w:val="single" w:color="BFBFBF" w:sz="4"/>
            </w:tcBorders>
            <w:shd w:fill="EDF4FF" w:val="clear"/>
            <w:tcMar>
              <w:top w:type="dxa" w:w="140"/>
              <w:left w:type="dxa" w:w="160"/>
              <w:bottom w:type="dxa" w:w="140"/>
              <w:right w:type="dxa" w:w="160"/>
            </w:tcMar>
            <w:vAlign w:val="top"/>
          </w:tcPr>
          <w:p>
            <w:pPr>
              <w:spacing w:after="80" w:line="260"/>
            </w:pPr>
            <w:r>
              <w:rPr>
                <w:b/>
                <w:bCs/>
                <w:color w:val="1F3A5F"/>
                <w:sz w:val="20"/>
                <w:szCs w:val="20"/>
              </w:rPr>
              <w:t xml:space="preserve">Market Size</w:t>
            </w:r>
          </w:p>
          <w:p>
            <w:pPr>
              <w:spacing w:after="60" w:line="260"/>
            </w:pPr>
            <w:r>
              <w:rPr>
                <w:sz w:val="18"/>
                <w:szCs w:val="18"/>
              </w:rPr>
              <w:t xml:space="preserve">Total $140B+ (2026E).</w:t>
            </w:r>
          </w:p>
          <w:p>
            <w:pPr>
              <w:spacing w:after="60" w:line="260"/>
            </w:pPr>
            <w:r>
              <w:rPr>
                <w:sz w:val="18"/>
                <w:szCs w:val="18"/>
              </w:rPr>
              <w:t xml:space="preserve">WFE ~$120B (2025).</w:t>
            </w:r>
          </w:p>
          <w:p>
            <w:pPr>
              <w:spacing w:after="60" w:line="260"/>
            </w:pPr>
            <w:r>
              <w:rPr>
                <w:sz w:val="18"/>
                <w:szCs w:val="18"/>
              </w:rPr>
              <w:t xml:space="preserve">EDA ~$21B.</w:t>
            </w:r>
          </w:p>
          <w:p>
            <w:pPr>
              <w:spacing w:after="60" w:line="260"/>
            </w:pPr>
            <w:r>
              <w:rPr>
                <w:sz w:val="18"/>
                <w:szCs w:val="18"/>
              </w:rPr>
              <w:t xml:space="preserve">Photoresist + silicon wafers ~$15B.</w:t>
            </w:r>
          </w:p>
          <w:p>
            <w:pPr>
              <w:spacing w:after="60" w:line="260"/>
            </w:pPr>
            <w:r>
              <w:rPr>
                <w:sz w:val="18"/>
                <w:szCs w:val="18"/>
              </w:rPr>
              <w:t xml:space="preserve">TC bonders for HBM growing 50%+/yr.</w:t>
            </w:r>
          </w:p>
          <w:p>
            <w:pPr>
              <w:spacing w:after="60" w:line="260"/>
            </w:pPr>
            <w:r>
              <w:rPr>
                <w:sz w:val="18"/>
                <w:szCs w:val="18"/>
              </w:rPr>
              <w:t xml:space="preserve">All sub-segments AI-leveraged.</w:t>
            </w:r>
          </w:p>
        </w:tc>
        <w:tc>
          <w:tcPr>
            <w:tcW w:type="dxa" w:w="3480"/>
            <w:tcBorders>
              <w:top w:val="single" w:color="BFBFBF" w:sz="4"/>
              <w:left w:val="single" w:color="BFBFBF" w:sz="4"/>
              <w:bottom w:val="single" w:color="BFBFBF" w:sz="4"/>
              <w:right w:val="single" w:color="BFBFBF" w:sz="4"/>
            </w:tcBorders>
            <w:shd w:fill="ECF7EC" w:val="clear"/>
            <w:tcMar>
              <w:top w:type="dxa" w:w="140"/>
              <w:left w:type="dxa" w:w="160"/>
              <w:bottom w:type="dxa" w:w="140"/>
              <w:right w:type="dxa" w:w="160"/>
            </w:tcMar>
            <w:vAlign w:val="top"/>
          </w:tcPr>
          <w:p>
            <w:pPr>
              <w:spacing w:after="80" w:line="260"/>
            </w:pPr>
            <w:r>
              <w:rPr>
                <w:b/>
                <w:bCs/>
                <w:color w:val="1F3A5F"/>
                <w:sz w:val="20"/>
                <w:szCs w:val="20"/>
              </w:rPr>
              <w:t xml:space="preserve">Value Added &amp; Margins</w:t>
            </w:r>
          </w:p>
          <w:p>
            <w:pPr>
              <w:spacing w:after="60" w:line="260"/>
            </w:pPr>
            <w:r>
              <w:rPr>
                <w:sz w:val="18"/>
                <w:szCs w:val="18"/>
              </w:rPr>
              <w:t xml:space="preserve">EXTREME at the inputs.</w:t>
            </w:r>
          </w:p>
          <w:p>
            <w:pPr>
              <w:spacing w:after="60" w:line="260"/>
            </w:pPr>
            <w:r>
              <w:rPr>
                <w:sz w:val="18"/>
                <w:szCs w:val="18"/>
              </w:rPr>
              <w:t xml:space="preserve">ASML 51% GM, 35% op margin (EUV monopoly).</w:t>
            </w:r>
          </w:p>
          <w:p>
            <w:pPr>
              <w:spacing w:after="60" w:line="260"/>
            </w:pPr>
            <w:r>
              <w:rPr>
                <w:sz w:val="18"/>
                <w:szCs w:val="18"/>
              </w:rPr>
              <w:t xml:space="preserve">SNPS ~35% op margin (EDA software).</w:t>
            </w:r>
          </w:p>
          <w:p>
            <w:pPr>
              <w:spacing w:after="60" w:line="260"/>
            </w:pPr>
            <w:r>
              <w:rPr>
                <w:sz w:val="18"/>
                <w:szCs w:val="18"/>
              </w:rPr>
              <w:t xml:space="preserve">KLA ~50% segment GM (metrology).</w:t>
            </w:r>
          </w:p>
          <w:p>
            <w:pPr>
              <w:spacing w:after="60" w:line="260"/>
            </w:pPr>
            <w:r>
              <w:rPr>
                <w:sz w:val="18"/>
                <w:szCs w:val="18"/>
              </w:rPr>
              <w:t xml:space="preserve">Hoya 30%+ EBIT on EUV blanks.</w:t>
            </w:r>
          </w:p>
          <w:p>
            <w:pPr>
              <w:spacing w:after="60" w:line="260"/>
            </w:pPr>
            <w:r>
              <w:rPr>
                <w:sz w:val="18"/>
                <w:szCs w:val="18"/>
              </w:rPr>
              <w:t xml:space="preserve">Most durable monopolies in the chain.</w:t>
            </w:r>
          </w:p>
        </w:tc>
      </w:tr>
    </w:tbl>
    <w:p>
      <w:pPr>
        <w:spacing w:after="80" w:before="160"/>
      </w:pPr>
      <w:r>
        <w:rPr>
          <w:b/>
          <w:bCs/>
          <w:color w:val="1F3A5F"/>
          <w:sz w:val="21"/>
          <w:szCs w:val="21"/>
        </w:rPr>
        <w:t xml:space="preserve">What this layer does</w:t>
      </w:r>
    </w:p>
    <w:p>
      <w:pPr>
        <w:spacing w:after="100" w:before="0" w:line="300"/>
        <w:jc w:val="left"/>
      </w:pPr>
      <w:r>
        <w:rPr>
          <w:b w:val="false"/>
          <w:bCs w:val="false"/>
          <w:i w:val="false"/>
          <w:iCs w:val="false"/>
          <w:color w:val="000000"/>
          <w:sz w:val="22"/>
          <w:szCs w:val="22"/>
        </w:rPr>
        <w:t xml:space="preserve">Deepest layer of the supply chain. Three distinct sub-categories that all sit upstream of foundries: (a) EDA software where chips are designed; (b) wafer fab equipment (WFE) — machines inside chip factories; (c) specialty materials and consumables. Without this layer, no chips get designed or built.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BFBFBF" w:sz="4"/>
              <w:left w:val="single" w:color="BFBFBF" w:sz="4"/>
              <w:bottom w:val="single" w:color="BFBFBF" w:sz="4"/>
              <w:right w:val="single" w:color="BFBFBF" w:sz="4"/>
            </w:tcBorders>
            <w:shd w:fill="FFF8E1" w:val="clear"/>
            <w:tcMar>
              <w:top w:type="dxa" w:w="100"/>
              <w:left w:type="dxa" w:w="160"/>
              <w:bottom w:type="dxa" w:w="100"/>
              <w:right w:type="dxa" w:w="160"/>
            </w:tcMar>
          </w:tcPr>
          <w:p>
            <w:pPr>
              <w:spacing w:after="60" w:line="280"/>
            </w:pPr>
            <w:r>
              <w:rPr>
                <w:b/>
                <w:bCs/>
                <w:color w:val="1F3A5F"/>
                <w:sz w:val="20"/>
                <w:szCs w:val="20"/>
              </w:rPr>
              <w:t xml:space="preserve">EDA (Electronic Design Automation)</w:t>
            </w:r>
            <w:r>
              <w:rPr>
                <w:color w:val="1F3A5F"/>
                <w:sz w:val="20"/>
                <w:szCs w:val="20"/>
              </w:rPr>
              <w:t xml:space="preserve"> — </w:t>
            </w:r>
            <w:r>
              <w:rPr>
                <w:sz w:val="20"/>
                <w:szCs w:val="20"/>
              </w:rPr>
              <w:t xml:space="preserve">Software used by chip designers to design chips. Synopsys and Cadence are a duopoly (~65% combined share). Every modern AI chip is designed in their software.</w:t>
            </w:r>
          </w:p>
        </w:tc>
      </w:tr>
      <w:tr>
        <w:tc>
          <w:tcPr>
            <w:tcW w:type="dxa" w:w="10440"/>
            <w:tcBorders>
              <w:top w:val="single" w:color="BFBFBF" w:sz="4"/>
              <w:left w:val="single" w:color="BFBFBF" w:sz="4"/>
              <w:bottom w:val="single" w:color="BFBFBF" w:sz="4"/>
              <w:right w:val="single" w:color="BFBFBF" w:sz="4"/>
            </w:tcBorders>
            <w:shd w:fill="FFF8E1" w:val="clear"/>
            <w:tcMar>
              <w:top w:type="dxa" w:w="100"/>
              <w:left w:type="dxa" w:w="160"/>
              <w:bottom w:type="dxa" w:w="100"/>
              <w:right w:type="dxa" w:w="160"/>
            </w:tcMar>
          </w:tcPr>
          <w:p>
            <w:pPr>
              <w:spacing w:after="60" w:line="280"/>
            </w:pPr>
            <w:r>
              <w:rPr>
                <w:b/>
                <w:bCs/>
                <w:color w:val="1F3A5F"/>
                <w:sz w:val="20"/>
                <w:szCs w:val="20"/>
              </w:rPr>
              <w:t xml:space="preserve">WFE (Wafer Fab Equipment)</w:t>
            </w:r>
            <w:r>
              <w:rPr>
                <w:color w:val="1F3A5F"/>
                <w:sz w:val="20"/>
                <w:szCs w:val="20"/>
              </w:rPr>
              <w:t xml:space="preserve"> — </w:t>
            </w:r>
            <w:r>
              <w:rPr>
                <w:sz w:val="20"/>
                <w:szCs w:val="20"/>
              </w:rPr>
              <w:t xml:space="preserve">Machines inside a chip fab. Big 5: ASML (litho), AMAT (broadest), Lam (etch), Tokyo Electron (coater/etch), KLA (metrology). Combined ~70% of WFE market.</w:t>
            </w:r>
          </w:p>
        </w:tc>
      </w:tr>
      <w:tr>
        <w:tc>
          <w:tcPr>
            <w:tcW w:type="dxa" w:w="10440"/>
            <w:tcBorders>
              <w:top w:val="single" w:color="BFBFBF" w:sz="4"/>
              <w:left w:val="single" w:color="BFBFBF" w:sz="4"/>
              <w:bottom w:val="single" w:color="BFBFBF" w:sz="4"/>
              <w:right w:val="single" w:color="BFBFBF" w:sz="4"/>
            </w:tcBorders>
            <w:shd w:fill="FFF8E1" w:val="clear"/>
            <w:tcMar>
              <w:top w:type="dxa" w:w="100"/>
              <w:left w:type="dxa" w:w="160"/>
              <w:bottom w:type="dxa" w:w="100"/>
              <w:right w:type="dxa" w:w="160"/>
            </w:tcMar>
          </w:tcPr>
          <w:p>
            <w:pPr>
              <w:spacing w:after="60" w:line="280"/>
            </w:pPr>
            <w:r>
              <w:rPr>
                <w:b/>
                <w:bCs/>
                <w:color w:val="1F3A5F"/>
                <w:sz w:val="20"/>
                <w:szCs w:val="20"/>
              </w:rPr>
              <w:t xml:space="preserve">EUV (Extreme Ultraviolet Lithography)</w:t>
            </w:r>
            <w:r>
              <w:rPr>
                <w:color w:val="1F3A5F"/>
                <w:sz w:val="20"/>
                <w:szCs w:val="20"/>
              </w:rPr>
              <w:t xml:space="preserve"> — </w:t>
            </w:r>
            <w:r>
              <w:rPr>
                <w:sz w:val="20"/>
                <w:szCs w:val="20"/>
              </w:rPr>
              <w:t xml:space="preserve">Technology used to print sub-7nm chip features. Only ASML makes EUV machines. Each High-NA EUV machine costs $380M. EUV monopoly is the most defensible position in the entire AI supply chain.</w:t>
            </w:r>
          </w:p>
        </w:tc>
      </w:tr>
      <w:tr>
        <w:tc>
          <w:tcPr>
            <w:tcW w:type="dxa" w:w="10440"/>
            <w:tcBorders>
              <w:top w:val="single" w:color="BFBFBF" w:sz="4"/>
              <w:left w:val="single" w:color="BFBFBF" w:sz="4"/>
              <w:bottom w:val="single" w:color="BFBFBF" w:sz="4"/>
              <w:right w:val="single" w:color="BFBFBF" w:sz="4"/>
            </w:tcBorders>
            <w:shd w:fill="FFF8E1" w:val="clear"/>
            <w:tcMar>
              <w:top w:type="dxa" w:w="100"/>
              <w:left w:type="dxa" w:w="160"/>
              <w:bottom w:type="dxa" w:w="100"/>
              <w:right w:type="dxa" w:w="160"/>
            </w:tcMar>
          </w:tcPr>
          <w:p>
            <w:pPr>
              <w:spacing w:after="60" w:line="280"/>
            </w:pPr>
            <w:r>
              <w:rPr>
                <w:b/>
                <w:bCs/>
                <w:color w:val="1F3A5F"/>
                <w:sz w:val="20"/>
                <w:szCs w:val="20"/>
              </w:rPr>
              <w:t xml:space="preserve">Etch / Deposition</w:t>
            </w:r>
            <w:r>
              <w:rPr>
                <w:color w:val="1F3A5F"/>
                <w:sz w:val="20"/>
                <w:szCs w:val="20"/>
              </w:rPr>
              <w:t xml:space="preserve"> — </w:t>
            </w:r>
            <w:r>
              <w:rPr>
                <w:sz w:val="20"/>
                <w:szCs w:val="20"/>
              </w:rPr>
              <w:t xml:space="preserve">Etch = removing material to create features (Lam Research, AMAT). Deposition = laying down ultra-thin films (AMAT, Tokyo Electron).</w:t>
            </w:r>
          </w:p>
        </w:tc>
      </w:tr>
      <w:tr>
        <w:tc>
          <w:tcPr>
            <w:tcW w:type="dxa" w:w="10440"/>
            <w:tcBorders>
              <w:top w:val="single" w:color="BFBFBF" w:sz="4"/>
              <w:left w:val="single" w:color="BFBFBF" w:sz="4"/>
              <w:bottom w:val="single" w:color="BFBFBF" w:sz="4"/>
              <w:right w:val="single" w:color="BFBFBF" w:sz="4"/>
            </w:tcBorders>
            <w:shd w:fill="FFF8E1" w:val="clear"/>
            <w:tcMar>
              <w:top w:type="dxa" w:w="100"/>
              <w:left w:type="dxa" w:w="160"/>
              <w:bottom w:type="dxa" w:w="100"/>
              <w:right w:type="dxa" w:w="160"/>
            </w:tcMar>
          </w:tcPr>
          <w:p>
            <w:pPr>
              <w:spacing w:after="60" w:line="280"/>
            </w:pPr>
            <w:r>
              <w:rPr>
                <w:b/>
                <w:bCs/>
                <w:color w:val="1F3A5F"/>
                <w:sz w:val="20"/>
                <w:szCs w:val="20"/>
              </w:rPr>
              <w:t xml:space="preserve">Metrology</w:t>
            </w:r>
            <w:r>
              <w:rPr>
                <w:color w:val="1F3A5F"/>
                <w:sz w:val="20"/>
                <w:szCs w:val="20"/>
              </w:rPr>
              <w:t xml:space="preserve"> — </w:t>
            </w:r>
            <w:r>
              <w:rPr>
                <w:sz w:val="20"/>
                <w:szCs w:val="20"/>
              </w:rPr>
              <w:t xml:space="preserve">Measurement and inspection of chips at every step to catch defects. As nodes shrink, metrology becomes critical for yield. KLA has ~50% segment share.</w:t>
            </w:r>
          </w:p>
        </w:tc>
      </w:tr>
      <w:tr>
        <w:tc>
          <w:tcPr>
            <w:tcW w:type="dxa" w:w="10440"/>
            <w:tcBorders>
              <w:top w:val="single" w:color="BFBFBF" w:sz="4"/>
              <w:left w:val="single" w:color="BFBFBF" w:sz="4"/>
              <w:bottom w:val="single" w:color="BFBFBF" w:sz="4"/>
              <w:right w:val="single" w:color="BFBFBF" w:sz="4"/>
            </w:tcBorders>
            <w:shd w:fill="FFF8E1" w:val="clear"/>
            <w:tcMar>
              <w:top w:type="dxa" w:w="100"/>
              <w:left w:type="dxa" w:w="160"/>
              <w:bottom w:type="dxa" w:w="100"/>
              <w:right w:type="dxa" w:w="160"/>
            </w:tcMar>
          </w:tcPr>
          <w:p>
            <w:pPr>
              <w:spacing w:after="60" w:line="280"/>
            </w:pPr>
            <w:r>
              <w:rPr>
                <w:b/>
                <w:bCs/>
                <w:color w:val="1F3A5F"/>
                <w:sz w:val="20"/>
                <w:szCs w:val="20"/>
              </w:rPr>
              <w:t xml:space="preserve">Photomask / Mask Blank</w:t>
            </w:r>
            <w:r>
              <w:rPr>
                <w:color w:val="1F3A5F"/>
                <w:sz w:val="20"/>
                <w:szCs w:val="20"/>
              </w:rPr>
              <w:t xml:space="preserve"> — </w:t>
            </w:r>
            <w:r>
              <w:rPr>
                <w:sz w:val="20"/>
                <w:szCs w:val="20"/>
              </w:rPr>
              <w:t xml:space="preserve">A 'stencil' used to pattern the chip. Mask BLANKS are the raw quartz inputs (Hoya 60%+ global, 75%+ for EUV blanks). Mask INSPECTION (Lasertec monopoly).</w:t>
            </w:r>
          </w:p>
        </w:tc>
      </w:tr>
      <w:tr>
        <w:tc>
          <w:tcPr>
            <w:tcW w:type="dxa" w:w="10440"/>
            <w:tcBorders>
              <w:top w:val="single" w:color="BFBFBF" w:sz="4"/>
              <w:left w:val="single" w:color="BFBFBF" w:sz="4"/>
              <w:bottom w:val="single" w:color="BFBFBF" w:sz="4"/>
              <w:right w:val="single" w:color="BFBFBF" w:sz="4"/>
            </w:tcBorders>
            <w:shd w:fill="FFF8E1" w:val="clear"/>
            <w:tcMar>
              <w:top w:type="dxa" w:w="100"/>
              <w:left w:type="dxa" w:w="160"/>
              <w:bottom w:type="dxa" w:w="100"/>
              <w:right w:type="dxa" w:w="160"/>
            </w:tcMar>
          </w:tcPr>
          <w:p>
            <w:pPr>
              <w:spacing w:after="60" w:line="280"/>
            </w:pPr>
            <w:r>
              <w:rPr>
                <w:b/>
                <w:bCs/>
                <w:color w:val="1F3A5F"/>
                <w:sz w:val="20"/>
                <w:szCs w:val="20"/>
              </w:rPr>
              <w:t xml:space="preserve">TC bonder</w:t>
            </w:r>
            <w:r>
              <w:rPr>
                <w:color w:val="1F3A5F"/>
                <w:sz w:val="20"/>
                <w:szCs w:val="20"/>
              </w:rPr>
              <w:t xml:space="preserve"> — </w:t>
            </w:r>
            <w:r>
              <w:rPr>
                <w:sz w:val="20"/>
                <w:szCs w:val="20"/>
              </w:rPr>
              <w:t xml:space="preserve">A Thermal Compression bonder physically stacks and bonds HBM dies. Hanmi Semiconductor has 71% global share; BESI is Micron's HBM4 sole-source.</w:t>
            </w:r>
          </w:p>
        </w:tc>
      </w:tr>
    </w:tbl>
    <w:p>
      <w:pPr>
        <w:spacing w:after="80" w:before="160"/>
      </w:pPr>
      <w:r>
        <w:rPr>
          <w:b/>
          <w:bCs/>
          <w:color w:val="1F3A5F"/>
          <w:sz w:val="21"/>
          <w:szCs w:val="21"/>
        </w:rPr>
        <w:t xml:space="preserve">Who pays whom</w:t>
      </w:r>
    </w:p>
    <w:p>
      <w:pPr>
        <w:spacing w:after="100" w:before="0" w:line="300"/>
        <w:jc w:val="left"/>
      </w:pPr>
      <w:r>
        <w:rPr>
          <w:b w:val="false"/>
          <w:bCs w:val="false"/>
          <w:i w:val="false"/>
          <w:iCs w:val="false"/>
          <w:color w:val="000000"/>
          <w:sz w:val="22"/>
          <w:szCs w:val="22"/>
        </w:rPr>
        <w:t xml:space="preserve">Chip designers (NVIDIA, AMD, Broadcom, Apple, hyperscalers building custom ASICs) pay Synopsys and Cadence for design tools — every chip starts in their software. Foundries (L2: TSMC, Samsung, Intel, SMIC) pay equipment makers + chemicals + consumables. Memory makers (L3) pay specialty bonder makers (Hanmi, BESI). Most concentrated customer list — TSMC alone is ~30%+ of ASML revenue.</w:t>
      </w:r>
    </w:p>
    <w:p>
      <w:pPr>
        <w:spacing w:after="80" w:before="160"/>
      </w:pPr>
      <w:r>
        <w:rPr>
          <w:b/>
          <w:bCs/>
          <w:color w:val="1F3A5F"/>
          <w:sz w:val="21"/>
          <w:szCs w:val="21"/>
        </w:rPr>
        <w:t xml:space="preserve">Sub-segments</w:t>
      </w:r>
    </w:p>
    <w:p>
      <w:pPr>
        <w:pStyle w:val="Heading3"/>
        <w:spacing w:after="100" w:before="200"/>
      </w:pPr>
      <w:r>
        <w:rPr>
          <w:b/>
          <w:bCs/>
          <w:color w:val="2E75B6"/>
          <w:sz w:val="22"/>
          <w:szCs w:val="22"/>
        </w:rPr>
        <w:t xml:space="preserve">(a) EDA + IP</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2400"/>
        <w:gridCol w:w="5000"/>
      </w:tblGrid>
      <w:tr>
        <w:trPr>
          <w:tblHeader/>
        </w:trPr>
        <w:tc>
          <w:tcPr>
            <w:tcW w:type="dxa" w:w="11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Ticker</w:t>
            </w:r>
          </w:p>
        </w:tc>
        <w:tc>
          <w:tcPr>
            <w:tcW w:type="dxa" w:w="19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Company</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Function</w:t>
            </w:r>
          </w:p>
        </w:tc>
        <w:tc>
          <w:tcPr>
            <w:tcW w:type="dxa" w:w="50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Position</w:t>
            </w:r>
          </w:p>
        </w:tc>
      </w:tr>
      <w:tr>
        <w:tc>
          <w:tcPr>
            <w:tcW w:type="dxa" w:w="1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SNPS</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Synopsys</w:t>
            </w:r>
          </w:p>
        </w:tc>
        <w:tc>
          <w:tcPr>
            <w:tcW w:type="dxa" w:w="24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EDA #1 + simulation</w:t>
            </w:r>
          </w:p>
        </w:tc>
        <w:tc>
          <w:tcPr>
            <w:tcW w:type="dxa" w:w="5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~35% EDA; +Ansys $35B Jul 25</w:t>
            </w:r>
          </w:p>
        </w:tc>
      </w:tr>
      <w:tr>
        <w:tc>
          <w:tcPr>
            <w:tcW w:type="dxa" w:w="11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CDNS</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Cadence</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EDA #2</w:t>
            </w:r>
          </w:p>
        </w:tc>
        <w:tc>
          <w:tcPr>
            <w:tcW w:type="dxa" w:w="5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~30% EDA</w:t>
            </w:r>
          </w:p>
        </w:tc>
      </w:tr>
      <w:tr>
        <w:tc>
          <w:tcPr>
            <w:tcW w:type="dxa" w:w="1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ARM</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Arm Holdings</w:t>
            </w:r>
          </w:p>
        </w:tc>
        <w:tc>
          <w:tcPr>
            <w:tcW w:type="dxa" w:w="24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CPU IP licensor</w:t>
            </w:r>
          </w:p>
        </w:tc>
        <w:tc>
          <w:tcPr>
            <w:tcW w:type="dxa" w:w="5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Royalties on virtually every AI device</w:t>
            </w:r>
          </w:p>
        </w:tc>
      </w:tr>
    </w:tbl>
    <w:p>
      <w:pPr>
        <w:pStyle w:val="Heading3"/>
        <w:spacing w:after="100" w:before="200"/>
      </w:pPr>
      <w:r>
        <w:rPr>
          <w:b/>
          <w:bCs/>
          <w:color w:val="2E75B6"/>
          <w:sz w:val="22"/>
          <w:szCs w:val="22"/>
        </w:rPr>
        <w:t xml:space="preserve">(b) WFE — Big 5</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1500"/>
        <w:gridCol w:w="5900"/>
      </w:tblGrid>
      <w:tr>
        <w:trPr>
          <w:tblHeader/>
        </w:trPr>
        <w:tc>
          <w:tcPr>
            <w:tcW w:type="dxa" w:w="11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Ticker</w:t>
            </w:r>
          </w:p>
        </w:tc>
        <w:tc>
          <w:tcPr>
            <w:tcW w:type="dxa" w:w="19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Company</w:t>
            </w:r>
          </w:p>
        </w:tc>
        <w:tc>
          <w:tcPr>
            <w:tcW w:type="dxa" w:w="15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WFE Share</w:t>
            </w:r>
          </w:p>
        </w:tc>
        <w:tc>
          <w:tcPr>
            <w:tcW w:type="dxa" w:w="59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Specialty</w:t>
            </w:r>
          </w:p>
        </w:tc>
      </w:tr>
      <w:tr>
        <w:tc>
          <w:tcPr>
            <w:tcW w:type="dxa" w:w="1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ASML</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ASML</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~22%</w:t>
            </w:r>
          </w:p>
        </w:tc>
        <w:tc>
          <w:tcPr>
            <w:tcW w:type="dxa" w:w="5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EUV monopoly</w:t>
            </w:r>
          </w:p>
        </w:tc>
      </w:tr>
      <w:tr>
        <w:tc>
          <w:tcPr>
            <w:tcW w:type="dxa" w:w="11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AMAT</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Applied Materials</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~18%</w:t>
            </w:r>
          </w:p>
        </w:tc>
        <w:tc>
          <w:tcPr>
            <w:tcW w:type="dxa" w:w="5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Broadest: deposition + etch + implant + CMP</w:t>
            </w:r>
          </w:p>
        </w:tc>
      </w:tr>
      <w:tr>
        <w:tc>
          <w:tcPr>
            <w:tcW w:type="dxa" w:w="1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8035.T</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Tokyo Electron</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~13%</w:t>
            </w:r>
          </w:p>
        </w:tc>
        <w:tc>
          <w:tcPr>
            <w:tcW w:type="dxa" w:w="5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Coater/developer + etch</w:t>
            </w:r>
          </w:p>
        </w:tc>
      </w:tr>
      <w:tr>
        <w:tc>
          <w:tcPr>
            <w:tcW w:type="dxa" w:w="11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LRCX</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Lam Research</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~11%</w:t>
            </w:r>
          </w:p>
        </w:tc>
        <w:tc>
          <w:tcPr>
            <w:tcW w:type="dxa" w:w="5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Etch leader; memory equipment #1</w:t>
            </w:r>
          </w:p>
        </w:tc>
      </w:tr>
      <w:tr>
        <w:tc>
          <w:tcPr>
            <w:tcW w:type="dxa" w:w="1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KLAC</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KLA</w:t>
            </w:r>
          </w:p>
        </w:tc>
        <w:tc>
          <w:tcPr>
            <w:tcW w:type="dxa" w:w="1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~7%</w:t>
            </w:r>
          </w:p>
        </w:tc>
        <w:tc>
          <w:tcPr>
            <w:tcW w:type="dxa" w:w="5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Metrology ~50% segment share</w:t>
            </w:r>
          </w:p>
        </w:tc>
      </w:tr>
    </w:tbl>
    <w:p>
      <w:pPr>
        <w:pStyle w:val="Heading3"/>
        <w:spacing w:after="100" w:before="200"/>
      </w:pPr>
      <w:r>
        <w:rPr>
          <w:b/>
          <w:bCs/>
          <w:color w:val="2E75B6"/>
          <w:sz w:val="22"/>
          <w:szCs w:val="22"/>
        </w:rPr>
        <w:t xml:space="preserve">(c) Specialty / Niche Bottlenecks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1700"/>
        <w:gridCol w:w="5700"/>
      </w:tblGrid>
      <w:tr>
        <w:trPr>
          <w:tblHeader/>
        </w:trPr>
        <w:tc>
          <w:tcPr>
            <w:tcW w:type="dxa" w:w="11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Ticker</w:t>
            </w:r>
          </w:p>
        </w:tc>
        <w:tc>
          <w:tcPr>
            <w:tcW w:type="dxa" w:w="19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Company</w:t>
            </w:r>
          </w:p>
        </w:tc>
        <w:tc>
          <w:tcPr>
            <w:tcW w:type="dxa" w:w="17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Function</w:t>
            </w:r>
          </w:p>
        </w:tc>
        <w:tc>
          <w:tcPr>
            <w:tcW w:type="dxa" w:w="57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Why It Matters</w:t>
            </w:r>
          </w:p>
        </w:tc>
      </w:tr>
      <w:tr>
        <w:tc>
          <w:tcPr>
            <w:tcW w:type="dxa" w:w="1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7741.T</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Hoya</w:t>
            </w:r>
          </w:p>
        </w:tc>
        <w:tc>
          <w:tcPr>
            <w:tcW w:type="dxa" w:w="1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EUV photomask blanks</w:t>
            </w:r>
          </w:p>
        </w:tc>
        <w:tc>
          <w:tcPr>
            <w:tcW w:type="dxa" w:w="5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60%+ photomask; 75%+ EUV; only validated High-NA</w:t>
            </w:r>
          </w:p>
        </w:tc>
      </w:tr>
      <w:tr>
        <w:tc>
          <w:tcPr>
            <w:tcW w:type="dxa" w:w="11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042700.KS</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Hanmi Semiconductor</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TC bonders for HBM</w:t>
            </w:r>
          </w:p>
        </w:tc>
        <w:tc>
          <w:tcPr>
            <w:tcW w:type="dxa" w:w="5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71.2% global HBM TC bonder share</w:t>
            </w:r>
          </w:p>
        </w:tc>
      </w:tr>
      <w:tr>
        <w:tc>
          <w:tcPr>
            <w:tcW w:type="dxa" w:w="1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BESI.AS</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BESI</w:t>
            </w:r>
          </w:p>
        </w:tc>
        <w:tc>
          <w:tcPr>
            <w:tcW w:type="dxa" w:w="1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Hybrid + TC bonders</w:t>
            </w:r>
          </w:p>
        </w:tc>
        <w:tc>
          <w:tcPr>
            <w:tcW w:type="dxa" w:w="5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Micron HBM4 sole-source</w:t>
            </w:r>
          </w:p>
        </w:tc>
      </w:tr>
      <w:tr>
        <w:tc>
          <w:tcPr>
            <w:tcW w:type="dxa" w:w="11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6857.T</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Advantest</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Chip testers</w:t>
            </w:r>
          </w:p>
        </w:tc>
        <w:tc>
          <w:tcPr>
            <w:tcW w:type="dxa" w:w="5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Dominant HBM + AI SoC test</w:t>
            </w:r>
          </w:p>
        </w:tc>
      </w:tr>
      <w:tr>
        <w:tc>
          <w:tcPr>
            <w:tcW w:type="dxa" w:w="1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6920.T</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Lasertec</w:t>
            </w:r>
          </w:p>
        </w:tc>
        <w:tc>
          <w:tcPr>
            <w:tcW w:type="dxa" w:w="1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EUV mask inspection</w:t>
            </w:r>
          </w:p>
        </w:tc>
        <w:tc>
          <w:tcPr>
            <w:tcW w:type="dxa" w:w="5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Monopoly</w:t>
            </w:r>
          </w:p>
        </w:tc>
      </w:tr>
      <w:tr>
        <w:tc>
          <w:tcPr>
            <w:tcW w:type="dxa" w:w="11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6146.T</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Disco</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Wafer dicing</w:t>
            </w:r>
          </w:p>
        </w:tc>
        <w:tc>
          <w:tcPr>
            <w:tcW w:type="dxa" w:w="5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Niche back-end monopolist</w:t>
            </w:r>
          </w:p>
        </w:tc>
      </w:tr>
      <w:tr>
        <w:tc>
          <w:tcPr>
            <w:tcW w:type="dxa" w:w="1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Q</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Qnity Electronics</w:t>
            </w:r>
          </w:p>
        </w:tc>
        <w:tc>
          <w:tcPr>
            <w:tcW w:type="dxa" w:w="1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Semi materials</w:t>
            </w:r>
          </w:p>
        </w:tc>
        <w:tc>
          <w:tcPr>
            <w:tcW w:type="dxa" w:w="5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NEW Nov 2025 DuPont spinoff; $4.7B</w:t>
            </w:r>
          </w:p>
        </w:tc>
      </w:tr>
      <w:tr>
        <w:tc>
          <w:tcPr>
            <w:tcW w:type="dxa" w:w="11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4063.T</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Shin-Etsu</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Silicon wafers + photoresist</w:t>
            </w:r>
          </w:p>
        </w:tc>
        <w:tc>
          <w:tcPr>
            <w:tcW w:type="dxa" w:w="5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#1 silicon wafer (~33% share)</w:t>
            </w:r>
          </w:p>
        </w:tc>
      </w:tr>
    </w:tbl>
    <w:p>
      <w:pPr>
        <w:spacing w:after="80" w:before="160"/>
      </w:pPr>
      <w:r>
        <w:rPr>
          <w:b/>
          <w:bCs/>
          <w:color w:val="1F3A5F"/>
          <w:sz w:val="21"/>
          <w:szCs w:val="21"/>
        </w:rPr>
        <w:t xml:space="preserve">How to analyze this layer</w:t>
      </w:r>
    </w:p>
    <w:p>
      <w:pPr>
        <w:spacing w:after="100" w:before="0" w:line="300"/>
        <w:jc w:val="left"/>
      </w:pPr>
      <w:r>
        <w:rPr>
          <w:b w:val="false"/>
          <w:bCs w:val="false"/>
          <w:i w:val="false"/>
          <w:iCs w:val="false"/>
          <w:color w:val="000000"/>
          <w:sz w:val="22"/>
          <w:szCs w:val="22"/>
        </w:rPr>
        <w:t xml:space="preserve">ASML is the most defensible monopoly in the entire AI supply chain — bear case is China exposure (~20-30% of revenue) under US export controls. For Lam Research: highest leverage to HBM capex (memory etch is its sweet spot). KLA: attach rates rise structurally as yields become critical at 3nm/2nm. AMAT: diversified, lower-volatility. For specialty names: track each individual choke point. Hoya's EUV blank share could be challenged by AGC (the only credible #2), but for High-NA EUV blanks Hoya is still the only validated supplier. Hanmi vs BESI vs ASMPT for HBM4 TC bonders is splitting (Hanmi dominates HBM3E; BESI sole-source at Micron HBM4; ASMPT dual-source at SK Hynix). For EDA: track design starts at hyperscalers — every new custom ASIC is a Synopsys or Cadence revenue event.</w:t>
      </w:r>
    </w:p>
    <w:p>
      <w:r>
        <w:br w:type="page"/>
      </w:r>
    </w:p>
    <w:p>
      <w:pPr>
        <w:pStyle w:val="Heading2"/>
        <w:spacing w:after="140" w:before="280"/>
      </w:pPr>
      <w:r>
        <w:rPr>
          <w:b/>
          <w:bCs/>
          <w:color w:val="1F3A5F"/>
          <w:sz w:val="26"/>
          <w:szCs w:val="26"/>
        </w:rPr>
        <w:t xml:space="preserve">4.11 Layer 0 — Power &amp; Cooling</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480"/>
        <w:gridCol w:w="3480"/>
        <w:gridCol w:w="3480"/>
      </w:tblGrid>
      <w:tr>
        <w:tc>
          <w:tcPr>
            <w:tcW w:type="dxa" w:w="3480"/>
            <w:tcBorders>
              <w:top w:val="single" w:color="BFBFBF" w:sz="4"/>
              <w:left w:val="single" w:color="BFBFBF" w:sz="4"/>
              <w:bottom w:val="single" w:color="BFBFBF" w:sz="4"/>
              <w:right w:val="single" w:color="BFBFBF" w:sz="4"/>
            </w:tcBorders>
            <w:shd w:fill="FEECEC" w:val="clear"/>
            <w:tcMar>
              <w:top w:type="dxa" w:w="140"/>
              <w:left w:type="dxa" w:w="160"/>
              <w:bottom w:type="dxa" w:w="140"/>
              <w:right w:type="dxa" w:w="160"/>
            </w:tcMar>
            <w:vAlign w:val="top"/>
          </w:tcPr>
          <w:p>
            <w:pPr>
              <w:spacing w:after="80" w:line="260"/>
            </w:pPr>
            <w:r>
              <w:rPr>
                <w:b/>
                <w:bCs/>
                <w:color w:val="1F3A5F"/>
                <w:sz w:val="20"/>
                <w:szCs w:val="20"/>
              </w:rPr>
              <w:t xml:space="preserve">Bottleneck</w:t>
            </w:r>
          </w:p>
          <w:p>
            <w:pPr>
              <w:spacing w:after="60" w:line="260"/>
            </w:pPr>
            <w:r>
              <w:rPr>
                <w:sz w:val="18"/>
                <w:szCs w:val="18"/>
              </w:rPr>
              <w:t xml:space="preserve">EXTREME (the next bottleneck).</w:t>
            </w:r>
          </w:p>
          <w:p>
            <w:pPr>
              <w:spacing w:after="60" w:line="260"/>
            </w:pPr>
            <w:r>
              <w:rPr>
                <w:sz w:val="18"/>
                <w:szCs w:val="18"/>
              </w:rPr>
              <w:t xml:space="preserve">Grid interconnect queues 7-10 years in key US markets.</w:t>
            </w:r>
          </w:p>
          <w:p>
            <w:pPr>
              <w:spacing w:after="60" w:line="260"/>
            </w:pPr>
            <w:r>
              <w:rPr>
                <w:sz w:val="18"/>
                <w:szCs w:val="18"/>
              </w:rPr>
              <w:t xml:space="preserve">Transformer + switchgear lead times 100+ weeks.</w:t>
            </w:r>
          </w:p>
          <w:p>
            <w:pPr>
              <w:spacing w:after="60" w:line="260"/>
            </w:pPr>
            <w:r>
              <w:rPr>
                <w:sz w:val="18"/>
                <w:szCs w:val="18"/>
              </w:rPr>
              <w:t xml:space="preserve">Resolution: Behind-the-meter (Bloom Energy, EQT gas), SMRs (BWXT BANR), nuclear restarts (Three Mile Island). Slow.</w:t>
            </w:r>
          </w:p>
        </w:tc>
        <w:tc>
          <w:tcPr>
            <w:tcW w:type="dxa" w:w="3480"/>
            <w:tcBorders>
              <w:top w:val="single" w:color="BFBFBF" w:sz="4"/>
              <w:left w:val="single" w:color="BFBFBF" w:sz="4"/>
              <w:bottom w:val="single" w:color="BFBFBF" w:sz="4"/>
              <w:right w:val="single" w:color="BFBFBF" w:sz="4"/>
            </w:tcBorders>
            <w:shd w:fill="EDF4FF" w:val="clear"/>
            <w:tcMar>
              <w:top w:type="dxa" w:w="140"/>
              <w:left w:type="dxa" w:w="160"/>
              <w:bottom w:type="dxa" w:w="140"/>
              <w:right w:type="dxa" w:w="160"/>
            </w:tcMar>
            <w:vAlign w:val="top"/>
          </w:tcPr>
          <w:p>
            <w:pPr>
              <w:spacing w:after="80" w:line="260"/>
            </w:pPr>
            <w:r>
              <w:rPr>
                <w:b/>
                <w:bCs/>
                <w:color w:val="1F3A5F"/>
                <w:sz w:val="20"/>
                <w:szCs w:val="20"/>
              </w:rPr>
              <w:t xml:space="preserve">Market Size</w:t>
            </w:r>
          </w:p>
          <w:p>
            <w:pPr>
              <w:spacing w:after="60" w:line="260"/>
            </w:pPr>
            <w:r>
              <w:rPr>
                <w:sz w:val="18"/>
                <w:szCs w:val="18"/>
              </w:rPr>
              <w:t xml:space="preserve">AI-relevant power &amp; cooling ~$80B in 2026E.</w:t>
            </w:r>
          </w:p>
          <w:p>
            <w:pPr>
              <w:spacing w:after="60" w:line="260"/>
            </w:pPr>
            <w:r>
              <w:rPr>
                <w:sz w:val="18"/>
                <w:szCs w:val="18"/>
              </w:rPr>
              <w:t xml:space="preserve">McKinsey: $5.2T global DC build by 2030; $1.3T (25%) to energizers.</w:t>
            </w:r>
          </w:p>
          <w:p>
            <w:pPr>
              <w:spacing w:after="60" w:line="260"/>
            </w:pPr>
            <w:r>
              <w:rPr>
                <w:sz w:val="18"/>
                <w:szCs w:val="18"/>
              </w:rPr>
              <w:t xml:space="preserve">US DC power demand 15-20% CAGR through 2028.</w:t>
            </w:r>
          </w:p>
          <w:p>
            <w:pPr>
              <w:spacing w:after="60" w:line="260"/>
            </w:pPr>
            <w:r>
              <w:rPr>
                <w:sz w:val="18"/>
                <w:szCs w:val="18"/>
              </w:rPr>
              <w:t xml:space="preserve">HBM/CoWoS growth dwarfed by 10-100x power growth.</w:t>
            </w:r>
          </w:p>
        </w:tc>
        <w:tc>
          <w:tcPr>
            <w:tcW w:type="dxa" w:w="3480"/>
            <w:tcBorders>
              <w:top w:val="single" w:color="BFBFBF" w:sz="4"/>
              <w:left w:val="single" w:color="BFBFBF" w:sz="4"/>
              <w:bottom w:val="single" w:color="BFBFBF" w:sz="4"/>
              <w:right w:val="single" w:color="BFBFBF" w:sz="4"/>
            </w:tcBorders>
            <w:shd w:fill="ECF7EC" w:val="clear"/>
            <w:tcMar>
              <w:top w:type="dxa" w:w="140"/>
              <w:left w:type="dxa" w:w="160"/>
              <w:bottom w:type="dxa" w:w="140"/>
              <w:right w:type="dxa" w:w="160"/>
            </w:tcMar>
            <w:vAlign w:val="top"/>
          </w:tcPr>
          <w:p>
            <w:pPr>
              <w:spacing w:after="80" w:line="260"/>
            </w:pPr>
            <w:r>
              <w:rPr>
                <w:b/>
                <w:bCs/>
                <w:color w:val="1F3A5F"/>
                <w:sz w:val="20"/>
                <w:szCs w:val="20"/>
              </w:rPr>
              <w:t xml:space="preserve">Value Added &amp; Margins</w:t>
            </w:r>
          </w:p>
          <w:p>
            <w:pPr>
              <w:spacing w:after="60" w:line="260"/>
            </w:pPr>
            <w:r>
              <w:rPr>
                <w:sz w:val="18"/>
                <w:szCs w:val="18"/>
              </w:rPr>
              <w:t xml:space="preserve">MEDIUM-HIGH and rising.</w:t>
            </w:r>
          </w:p>
          <w:p>
            <w:pPr>
              <w:spacing w:after="60" w:line="260"/>
            </w:pPr>
            <w:r>
              <w:rPr>
                <w:sz w:val="18"/>
                <w:szCs w:val="18"/>
              </w:rPr>
              <w:t xml:space="preserve">VRT 22% op margin (Q4 25 orders +252%).</w:t>
            </w:r>
          </w:p>
          <w:p>
            <w:pPr>
              <w:spacing w:after="60" w:line="260"/>
            </w:pPr>
            <w:r>
              <w:rPr>
                <w:sz w:val="18"/>
                <w:szCs w:val="18"/>
              </w:rPr>
              <w:t xml:space="preserve">SU.PA 17% op margin diversified.</w:t>
            </w:r>
          </w:p>
          <w:p>
            <w:pPr>
              <w:spacing w:after="60" w:line="260"/>
            </w:pPr>
            <w:r>
              <w:rPr>
                <w:sz w:val="18"/>
                <w:szCs w:val="18"/>
              </w:rPr>
              <w:t xml:space="preserve">CEG 30% op margin (utility-style).</w:t>
            </w:r>
          </w:p>
          <w:p>
            <w:pPr>
              <w:spacing w:after="60" w:line="260"/>
            </w:pPr>
            <w:r>
              <w:rPr>
                <w:sz w:val="18"/>
                <w:szCs w:val="18"/>
              </w:rPr>
              <w:t xml:space="preserve">BE: GAAP profit since Q1 26.</w:t>
            </w:r>
          </w:p>
          <w:p>
            <w:pPr>
              <w:spacing w:after="60" w:line="260"/>
            </w:pPr>
            <w:r>
              <w:rPr>
                <w:sz w:val="18"/>
                <w:szCs w:val="18"/>
              </w:rPr>
              <w:t xml:space="preserve">Multiple suppliers but lead times = pricing power.</w:t>
            </w:r>
          </w:p>
        </w:tc>
      </w:tr>
    </w:tbl>
    <w:p>
      <w:pPr>
        <w:spacing w:after="80" w:before="160"/>
      </w:pPr>
      <w:r>
        <w:rPr>
          <w:b/>
          <w:bCs/>
          <w:color w:val="1F3A5F"/>
          <w:sz w:val="21"/>
          <w:szCs w:val="21"/>
        </w:rPr>
        <w:t xml:space="preserve">What this layer does</w:t>
      </w:r>
    </w:p>
    <w:p>
      <w:pPr>
        <w:spacing w:after="100" w:before="0" w:line="300"/>
        <w:jc w:val="left"/>
      </w:pPr>
      <w:r>
        <w:rPr>
          <w:b w:val="false"/>
          <w:bCs w:val="false"/>
          <w:i w:val="false"/>
          <w:iCs w:val="false"/>
          <w:color w:val="000000"/>
          <w:sz w:val="22"/>
          <w:szCs w:val="22"/>
        </w:rPr>
        <w:t xml:space="preserve">Foundational input layer. Every other layer needs electricity. As AI rack density went 10 kW → 130 kW (Blackwell) → 1 MW (Rubin), the entire DC electrical + cooling stack got rebuilt. Through 2025 the binding constraint was GPU supply; by 2027 it will be electricity.</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BFBFBF" w:sz="4"/>
              <w:left w:val="single" w:color="BFBFBF" w:sz="4"/>
              <w:bottom w:val="single" w:color="BFBFBF" w:sz="4"/>
              <w:right w:val="single" w:color="BFBFBF" w:sz="4"/>
            </w:tcBorders>
            <w:shd w:fill="FFF8E1" w:val="clear"/>
            <w:tcMar>
              <w:top w:type="dxa" w:w="100"/>
              <w:left w:type="dxa" w:w="160"/>
              <w:bottom w:type="dxa" w:w="100"/>
              <w:right w:type="dxa" w:w="160"/>
            </w:tcMar>
          </w:tcPr>
          <w:p>
            <w:pPr>
              <w:spacing w:after="60" w:line="280"/>
            </w:pPr>
            <w:r>
              <w:rPr>
                <w:b/>
                <w:bCs/>
                <w:color w:val="1F3A5F"/>
                <w:sz w:val="20"/>
                <w:szCs w:val="20"/>
              </w:rPr>
              <w:t xml:space="preserve">PPA (Power Purchase Agreement)</w:t>
            </w:r>
            <w:r>
              <w:rPr>
                <w:color w:val="1F3A5F"/>
                <w:sz w:val="20"/>
                <w:szCs w:val="20"/>
              </w:rPr>
              <w:t xml:space="preserve"> — </w:t>
            </w:r>
            <w:r>
              <w:rPr>
                <w:sz w:val="20"/>
                <w:szCs w:val="20"/>
              </w:rPr>
              <w:t xml:space="preserve">Long-term contract where a customer commits to buy electricity from a producer. Major hyperscaler PPAs: Microsoft-Constellation (Three Mile Island restart), Meta-Constellation (Clinton 1,121 MW), AWS-Talen (960 MW PA).</w:t>
            </w:r>
          </w:p>
        </w:tc>
      </w:tr>
      <w:tr>
        <w:tc>
          <w:tcPr>
            <w:tcW w:type="dxa" w:w="10440"/>
            <w:tcBorders>
              <w:top w:val="single" w:color="BFBFBF" w:sz="4"/>
              <w:left w:val="single" w:color="BFBFBF" w:sz="4"/>
              <w:bottom w:val="single" w:color="BFBFBF" w:sz="4"/>
              <w:right w:val="single" w:color="BFBFBF" w:sz="4"/>
            </w:tcBorders>
            <w:shd w:fill="FFF8E1" w:val="clear"/>
            <w:tcMar>
              <w:top w:type="dxa" w:w="100"/>
              <w:left w:type="dxa" w:w="160"/>
              <w:bottom w:type="dxa" w:w="100"/>
              <w:right w:type="dxa" w:w="160"/>
            </w:tcMar>
          </w:tcPr>
          <w:p>
            <w:pPr>
              <w:spacing w:after="60" w:line="280"/>
            </w:pPr>
            <w:r>
              <w:rPr>
                <w:b/>
                <w:bCs/>
                <w:color w:val="1F3A5F"/>
                <w:sz w:val="20"/>
                <w:szCs w:val="20"/>
              </w:rPr>
              <w:t xml:space="preserve">SOFC (Solid Oxide Fuel Cell)</w:t>
            </w:r>
            <w:r>
              <w:rPr>
                <w:color w:val="1F3A5F"/>
                <w:sz w:val="20"/>
                <w:szCs w:val="20"/>
              </w:rPr>
              <w:t xml:space="preserve"> — </w:t>
            </w:r>
            <w:r>
              <w:rPr>
                <w:sz w:val="20"/>
                <w:szCs w:val="20"/>
              </w:rPr>
              <w:t xml:space="preserve">Fuel cell that converts natural gas directly to electricity at ~60% efficiency without combustion. Quiet, low-emission, deploys in 90 days. Bloom Energy is the vertically integrated leader; Ceres Power licenses tech to Doosan + Weichai.</w:t>
            </w:r>
          </w:p>
        </w:tc>
      </w:tr>
      <w:tr>
        <w:tc>
          <w:tcPr>
            <w:tcW w:type="dxa" w:w="10440"/>
            <w:tcBorders>
              <w:top w:val="single" w:color="BFBFBF" w:sz="4"/>
              <w:left w:val="single" w:color="BFBFBF" w:sz="4"/>
              <w:bottom w:val="single" w:color="BFBFBF" w:sz="4"/>
              <w:right w:val="single" w:color="BFBFBF" w:sz="4"/>
            </w:tcBorders>
            <w:shd w:fill="FFF8E1" w:val="clear"/>
            <w:tcMar>
              <w:top w:type="dxa" w:w="100"/>
              <w:left w:type="dxa" w:w="160"/>
              <w:bottom w:type="dxa" w:w="100"/>
              <w:right w:type="dxa" w:w="160"/>
            </w:tcMar>
          </w:tcPr>
          <w:p>
            <w:pPr>
              <w:spacing w:after="60" w:line="280"/>
            </w:pPr>
            <w:r>
              <w:rPr>
                <w:b/>
                <w:bCs/>
                <w:color w:val="1F3A5F"/>
                <w:sz w:val="20"/>
                <w:szCs w:val="20"/>
              </w:rPr>
              <w:t xml:space="preserve">SMR (Small Modular Reactor)</w:t>
            </w:r>
            <w:r>
              <w:rPr>
                <w:color w:val="1F3A5F"/>
                <w:sz w:val="20"/>
                <w:szCs w:val="20"/>
              </w:rPr>
              <w:t xml:space="preserve"> — </w:t>
            </w:r>
            <w:r>
              <w:rPr>
                <w:sz w:val="20"/>
                <w:szCs w:val="20"/>
              </w:rPr>
              <w:t xml:space="preserve">A new generation of nuclear reactor at 50-300 MW per unit (vs 1,000+ MW for traditional). Easier to permit, faster to build. BWXT's BANR design is purpose-built for data centers.</w:t>
            </w:r>
          </w:p>
        </w:tc>
      </w:tr>
      <w:tr>
        <w:tc>
          <w:tcPr>
            <w:tcW w:type="dxa" w:w="10440"/>
            <w:tcBorders>
              <w:top w:val="single" w:color="BFBFBF" w:sz="4"/>
              <w:left w:val="single" w:color="BFBFBF" w:sz="4"/>
              <w:bottom w:val="single" w:color="BFBFBF" w:sz="4"/>
              <w:right w:val="single" w:color="BFBFBF" w:sz="4"/>
            </w:tcBorders>
            <w:shd w:fill="FFF8E1" w:val="clear"/>
            <w:tcMar>
              <w:top w:type="dxa" w:w="100"/>
              <w:left w:type="dxa" w:w="160"/>
              <w:bottom w:type="dxa" w:w="100"/>
              <w:right w:type="dxa" w:w="160"/>
            </w:tcMar>
          </w:tcPr>
          <w:p>
            <w:pPr>
              <w:spacing w:after="60" w:line="280"/>
            </w:pPr>
            <w:r>
              <w:rPr>
                <w:b/>
                <w:bCs/>
                <w:color w:val="1F3A5F"/>
                <w:sz w:val="20"/>
                <w:szCs w:val="20"/>
              </w:rPr>
              <w:t xml:space="preserve">UPS / Switchgear</w:t>
            </w:r>
            <w:r>
              <w:rPr>
                <w:color w:val="1F3A5F"/>
                <w:sz w:val="20"/>
                <w:szCs w:val="20"/>
              </w:rPr>
              <w:t xml:space="preserve"> — </w:t>
            </w:r>
            <w:r>
              <w:rPr>
                <w:sz w:val="20"/>
                <w:szCs w:val="20"/>
              </w:rPr>
              <w:t xml:space="preserve">UPS (Uninterruptible Power Supply) = backup power during outages. Switchgear = distributes electricity inside DC. Schneider Electric is #1 in both.</w:t>
            </w:r>
          </w:p>
        </w:tc>
      </w:tr>
    </w:tbl>
    <w:p>
      <w:pPr>
        <w:spacing w:after="80" w:before="160"/>
      </w:pPr>
      <w:r>
        <w:rPr>
          <w:b/>
          <w:bCs/>
          <w:color w:val="1F3A5F"/>
          <w:sz w:val="21"/>
          <w:szCs w:val="21"/>
        </w:rPr>
        <w:t xml:space="preserve">Who pays whom</w:t>
      </w:r>
    </w:p>
    <w:p>
      <w:pPr>
        <w:spacing w:after="100" w:before="0" w:line="300"/>
        <w:jc w:val="left"/>
      </w:pPr>
      <w:r>
        <w:rPr>
          <w:b w:val="false"/>
          <w:bCs w:val="false"/>
          <w:i w:val="false"/>
          <w:iCs w:val="false"/>
          <w:color w:val="000000"/>
          <w:sz w:val="22"/>
          <w:szCs w:val="22"/>
        </w:rPr>
        <w:t xml:space="preserve">Hyperscalers + DC operators pay electricity producers via PPAs (Constellation, Vistra, Talen, NextEra). Hyperscalers + DC builders pay electrical equipment makers (Schneider, Vertiv, Eaton) for switchgear, UPS, transformers. Cooling specialists (Vertiv, Schneider, Trane, JCI, Daikin) sell chillers + liquid cooling. Backup generation buyers pay fuel-cell specialists (Bloom, FCEL). Nuclear fuel buyers pay uranium miners (Cameco).</w:t>
      </w:r>
    </w:p>
    <w:p>
      <w:pPr>
        <w:spacing w:after="80" w:before="160"/>
      </w:pPr>
      <w:r>
        <w:rPr>
          <w:b/>
          <w:bCs/>
          <w:color w:val="1F3A5F"/>
          <w:sz w:val="21"/>
          <w:szCs w:val="21"/>
        </w:rPr>
        <w:t xml:space="preserve">Sub-segments</w:t>
      </w:r>
    </w:p>
    <w:p>
      <w:pPr>
        <w:pStyle w:val="Heading3"/>
        <w:spacing w:after="100" w:before="200"/>
      </w:pPr>
      <w:r>
        <w:rPr>
          <w:b/>
          <w:bCs/>
          <w:color w:val="2E75B6"/>
          <w:sz w:val="22"/>
          <w:szCs w:val="22"/>
        </w:rPr>
        <w:t xml:space="preserve">(a) Electricity Generation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4200"/>
      </w:tblGrid>
      <w:tr>
        <w:trPr>
          <w:tblHeader/>
        </w:trPr>
        <w:tc>
          <w:tcPr>
            <w:tcW w:type="dxa" w:w="12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Ticker</w:t>
            </w:r>
          </w:p>
        </w:tc>
        <w:tc>
          <w:tcPr>
            <w:tcW w:type="dxa" w:w="20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Company</w:t>
            </w:r>
          </w:p>
        </w:tc>
        <w:tc>
          <w:tcPr>
            <w:tcW w:type="dxa" w:w="20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Position</w:t>
            </w:r>
          </w:p>
        </w:tc>
        <w:tc>
          <w:tcPr>
            <w:tcW w:type="dxa" w:w="42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AI-Linked Deals</w:t>
            </w:r>
          </w:p>
        </w:tc>
      </w:tr>
      <w:tr>
        <w:tc>
          <w:tcPr>
            <w:tcW w:type="dxa" w:w="1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CEG</w:t>
            </w:r>
          </w:p>
        </w:tc>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Constellation Energy</w:t>
            </w:r>
          </w:p>
        </w:tc>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33 GW nuclear (#1 US)</w:t>
            </w:r>
          </w:p>
        </w:tc>
        <w:tc>
          <w:tcPr>
            <w:tcW w:type="dxa" w:w="4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MSFT Three Mile Island; Meta Clinton 1,121 MW</w:t>
            </w:r>
          </w:p>
        </w:tc>
      </w:tr>
      <w:tr>
        <w:tc>
          <w:tcPr>
            <w:tcW w:type="dxa" w:w="1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VST</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Vistra</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44 GW mixed</w:t>
            </w:r>
          </w:p>
        </w:tc>
        <w:tc>
          <w:tcPr>
            <w:tcW w:type="dxa" w:w="4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AWS + Meta PPAs; Comanche Peak</w:t>
            </w:r>
          </w:p>
        </w:tc>
      </w:tr>
      <w:tr>
        <w:tc>
          <w:tcPr>
            <w:tcW w:type="dxa" w:w="1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TLN</w:t>
            </w:r>
          </w:p>
        </w:tc>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Talen Energy</w:t>
            </w:r>
          </w:p>
        </w:tc>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10 GW merchant</w:t>
            </w:r>
          </w:p>
        </w:tc>
        <w:tc>
          <w:tcPr>
            <w:tcW w:type="dxa" w:w="4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AWS 960 MW Pennsylvania</w:t>
            </w:r>
          </w:p>
        </w:tc>
      </w:tr>
      <w:tr>
        <w:tc>
          <w:tcPr>
            <w:tcW w:type="dxa" w:w="1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NEE</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NextEra Energy</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70 GW renewables</w:t>
            </w:r>
          </w:p>
        </w:tc>
        <w:tc>
          <w:tcPr>
            <w:tcW w:type="dxa" w:w="4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Most Google/Meta renewable PPAs</w:t>
            </w:r>
          </w:p>
        </w:tc>
      </w:tr>
      <w:tr>
        <w:tc>
          <w:tcPr>
            <w:tcW w:type="dxa" w:w="1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GEV</w:t>
            </w:r>
          </w:p>
        </w:tc>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GE Vernova</w:t>
            </w:r>
          </w:p>
        </w:tc>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Power equipment OEM</w:t>
            </w:r>
          </w:p>
        </w:tc>
        <w:tc>
          <w:tcPr>
            <w:tcW w:type="dxa" w:w="4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Q1 26 DC orders $2.4B</w:t>
            </w:r>
          </w:p>
        </w:tc>
      </w:tr>
      <w:tr>
        <w:tc>
          <w:tcPr>
            <w:tcW w:type="dxa" w:w="1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BWXT</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BWX Technologies</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SMRs + naval nuclear</w:t>
            </w:r>
          </w:p>
        </w:tc>
        <w:tc>
          <w:tcPr>
            <w:tcW w:type="dxa" w:w="4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$7.3B backlog (+50%); BANR SMR for DC</w:t>
            </w:r>
          </w:p>
        </w:tc>
      </w:tr>
      <w:tr>
        <w:tc>
          <w:tcPr>
            <w:tcW w:type="dxa" w:w="1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CCJ</w:t>
            </w:r>
          </w:p>
        </w:tc>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Cameco</w:t>
            </w:r>
          </w:p>
        </w:tc>
        <w:tc>
          <w:tcPr>
            <w:tcW w:type="dxa" w:w="2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Uranium mining</w:t>
            </w:r>
          </w:p>
        </w:tc>
        <w:tc>
          <w:tcPr>
            <w:tcW w:type="dxa" w:w="4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Nuclear fuel for AI</w:t>
            </w:r>
          </w:p>
        </w:tc>
      </w:tr>
    </w:tbl>
    <w:p>
      <w:pPr>
        <w:pStyle w:val="Heading3"/>
        <w:spacing w:after="100" w:before="200"/>
      </w:pPr>
      <w:r>
        <w:rPr>
          <w:b/>
          <w:bCs/>
          <w:color w:val="2E75B6"/>
          <w:sz w:val="22"/>
          <w:szCs w:val="22"/>
        </w:rPr>
        <w:t xml:space="preserve">(b) Fuel Cells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2300"/>
        <w:gridCol w:w="4000"/>
      </w:tblGrid>
      <w:tr>
        <w:trPr>
          <w:tblHeader/>
        </w:trPr>
        <w:tc>
          <w:tcPr>
            <w:tcW w:type="dxa" w:w="12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Ticker</w:t>
            </w:r>
          </w:p>
        </w:tc>
        <w:tc>
          <w:tcPr>
            <w:tcW w:type="dxa" w:w="19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Company</w:t>
            </w:r>
          </w:p>
        </w:tc>
        <w:tc>
          <w:tcPr>
            <w:tcW w:type="dxa" w:w="23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Technology</w:t>
            </w:r>
          </w:p>
        </w:tc>
        <w:tc>
          <w:tcPr>
            <w:tcW w:type="dxa" w:w="40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AI / DC Disclosure</w:t>
            </w:r>
          </w:p>
        </w:tc>
      </w:tr>
      <w:tr>
        <w:tc>
          <w:tcPr>
            <w:tcW w:type="dxa" w:w="1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BE</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Bloom Energy</w:t>
            </w:r>
          </w:p>
        </w:tc>
        <w:tc>
          <w:tcPr>
            <w:tcW w:type="dxa" w:w="2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SOFC vertically integrated</w:t>
            </w:r>
          </w:p>
        </w:tc>
        <w:tc>
          <w:tcPr>
            <w:tcW w:type="dxa" w:w="4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Oracle 2.8 GW Jupiter; Brookfield $5B; AEP $2.65B; +400% LTM</w:t>
            </w:r>
          </w:p>
        </w:tc>
      </w:tr>
      <w:tr>
        <w:tc>
          <w:tcPr>
            <w:tcW w:type="dxa" w:w="1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CWR.L</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Ceres Power</w:t>
            </w:r>
          </w:p>
        </w:tc>
        <w:tc>
          <w:tcPr>
            <w:tcW w:type="dxa" w:w="2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SOFC licensor (UK)</w:t>
            </w:r>
          </w:p>
        </w:tc>
        <w:tc>
          <w:tcPr>
            <w:tcW w:type="dxa" w:w="4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£45M FY26 contracted; Doosan + Weichai mass production; +237% YTD</w:t>
            </w:r>
          </w:p>
        </w:tc>
      </w:tr>
      <w:tr>
        <w:tc>
          <w:tcPr>
            <w:tcW w:type="dxa" w:w="1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336260.KS</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Doosan Fuel Cell</w:t>
            </w:r>
          </w:p>
        </w:tc>
        <w:tc>
          <w:tcPr>
            <w:tcW w:type="dxa" w:w="2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SOFC mfr (Ceres licensee)</w:t>
            </w:r>
          </w:p>
        </w:tc>
        <w:tc>
          <w:tcPr>
            <w:tcW w:type="dxa" w:w="4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Mass production Jul 2025; first 9 MW commercial Dec 2025</w:t>
            </w:r>
          </w:p>
        </w:tc>
      </w:tr>
      <w:tr>
        <w:tc>
          <w:tcPr>
            <w:tcW w:type="dxa" w:w="1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FCEL</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FuelCell Energy</w:t>
            </w:r>
          </w:p>
        </w:tc>
        <w:tc>
          <w:tcPr>
            <w:tcW w:type="dxa" w:w="2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Molten Carbonate</w:t>
            </w:r>
          </w:p>
        </w:tc>
        <w:tc>
          <w:tcPr>
            <w:tcW w:type="dxa" w:w="4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Q1 26 $30.5M (+61%); 12.5 MW DC power block Mar 2026</w:t>
            </w:r>
          </w:p>
        </w:tc>
      </w:tr>
    </w:tbl>
    <w:p>
      <w:pPr>
        <w:pStyle w:val="Heading3"/>
        <w:spacing w:after="100" w:before="200"/>
      </w:pPr>
      <w:r>
        <w:rPr>
          <w:b/>
          <w:bCs/>
          <w:color w:val="2E75B6"/>
          <w:sz w:val="22"/>
          <w:szCs w:val="22"/>
        </w:rPr>
        <w:t xml:space="preserve">(c) Electrical Equipment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2400"/>
        <w:gridCol w:w="3800"/>
      </w:tblGrid>
      <w:tr>
        <w:trPr>
          <w:tblHeader/>
        </w:trPr>
        <w:tc>
          <w:tcPr>
            <w:tcW w:type="dxa" w:w="13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Ticker</w:t>
            </w:r>
          </w:p>
        </w:tc>
        <w:tc>
          <w:tcPr>
            <w:tcW w:type="dxa" w:w="19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Company</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Position</w:t>
            </w:r>
          </w:p>
        </w:tc>
        <w:tc>
          <w:tcPr>
            <w:tcW w:type="dxa" w:w="38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DC Revenue</w:t>
            </w:r>
          </w:p>
        </w:tc>
      </w:tr>
      <w:tr>
        <w:tc>
          <w:tcPr>
            <w:tcW w:type="dxa" w:w="1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SU.PA</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Schneider Electric</w:t>
            </w:r>
          </w:p>
        </w:tc>
        <w:tc>
          <w:tcPr>
            <w:tcW w:type="dxa" w:w="24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#1 switchgear (~18%) + UPS (15-18%)</w:t>
            </w:r>
          </w:p>
        </w:tc>
        <w:tc>
          <w:tcPr>
            <w:tcW w:type="dxa" w:w="38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~$7.6B DC (24% of group)</w:t>
            </w:r>
          </w:p>
        </w:tc>
      </w:tr>
      <w:tr>
        <w:tc>
          <w:tcPr>
            <w:tcW w:type="dxa" w:w="1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VRT</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Vertiv</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DC power + cooling leader (tied #1 cooling)</w:t>
            </w:r>
          </w:p>
        </w:tc>
        <w:tc>
          <w:tcPr>
            <w:tcW w:type="dxa" w:w="3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$8.1B FY25 (+27%); Q4 25 orders +252% YoY; +270% LTM</w:t>
            </w:r>
          </w:p>
        </w:tc>
      </w:tr>
      <w:tr>
        <w:tc>
          <w:tcPr>
            <w:tcW w:type="dxa" w:w="1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ETN</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Eaton</w:t>
            </w:r>
          </w:p>
        </w:tc>
        <w:tc>
          <w:tcPr>
            <w:tcW w:type="dxa" w:w="24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Switchgear + transformers</w:t>
            </w:r>
          </w:p>
        </w:tc>
        <w:tc>
          <w:tcPr>
            <w:tcW w:type="dxa" w:w="38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~$8B DC growing fast</w:t>
            </w:r>
          </w:p>
        </w:tc>
      </w:tr>
    </w:tbl>
    <w:p>
      <w:pPr>
        <w:pStyle w:val="Heading3"/>
        <w:spacing w:after="100" w:before="200"/>
      </w:pPr>
      <w:r>
        <w:rPr>
          <w:b/>
          <w:bCs/>
          <w:color w:val="2E75B6"/>
          <w:sz w:val="22"/>
          <w:szCs w:val="22"/>
        </w:rPr>
        <w:t xml:space="preserve">(d) Cooling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1900"/>
        <w:gridCol w:w="4300"/>
      </w:tblGrid>
      <w:tr>
        <w:trPr>
          <w:tblHeader/>
        </w:trPr>
        <w:tc>
          <w:tcPr>
            <w:tcW w:type="dxa" w:w="13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Ticker</w:t>
            </w:r>
          </w:p>
        </w:tc>
        <w:tc>
          <w:tcPr>
            <w:tcW w:type="dxa" w:w="19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Company</w:t>
            </w:r>
          </w:p>
        </w:tc>
        <w:tc>
          <w:tcPr>
            <w:tcW w:type="dxa" w:w="19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Position</w:t>
            </w:r>
          </w:p>
        </w:tc>
        <w:tc>
          <w:tcPr>
            <w:tcW w:type="dxa" w:w="43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Notes</w:t>
            </w:r>
          </w:p>
        </w:tc>
      </w:tr>
      <w:tr>
        <w:tc>
          <w:tcPr>
            <w:tcW w:type="dxa" w:w="1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VRT</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Vertiv</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Tied #1</w:t>
            </w:r>
          </w:p>
        </w:tc>
        <w:tc>
          <w:tcPr>
            <w:tcW w:type="dxa" w:w="4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Liebert + 360AI w/ NVIDIA</w:t>
            </w:r>
          </w:p>
        </w:tc>
      </w:tr>
      <w:tr>
        <w:tc>
          <w:tcPr>
            <w:tcW w:type="dxa" w:w="1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SU.PA</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Schneider Electric</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Tied #1 (~7.5%)</w:t>
            </w:r>
          </w:p>
        </w:tc>
        <w:tc>
          <w:tcPr>
            <w:tcW w:type="dxa" w:w="4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Motivair (immersion)</w:t>
            </w:r>
          </w:p>
        </w:tc>
      </w:tr>
      <w:tr>
        <w:tc>
          <w:tcPr>
            <w:tcW w:type="dxa" w:w="1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JCI</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Johnson Controls</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Top 3</w:t>
            </w:r>
          </w:p>
        </w:tc>
        <w:tc>
          <w:tcPr>
            <w:tcW w:type="dxa" w:w="4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YORK chillers; Accelsius</w:t>
            </w:r>
          </w:p>
        </w:tc>
      </w:tr>
      <w:tr>
        <w:tc>
          <w:tcPr>
            <w:tcW w:type="dxa" w:w="1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TT</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Trane</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Top 5</w:t>
            </w:r>
          </w:p>
        </w:tc>
        <w:tc>
          <w:tcPr>
            <w:tcW w:type="dxa" w:w="4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Chillers + AI thermal</w:t>
            </w:r>
          </w:p>
        </w:tc>
      </w:tr>
      <w:tr>
        <w:tc>
          <w:tcPr>
            <w:tcW w:type="dxa" w:w="1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6367.T</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Daikin</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AI DC cooling pure-play</w:t>
            </w:r>
          </w:p>
        </w:tc>
        <w:tc>
          <w:tcPr>
            <w:tcW w:type="dxa" w:w="4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FY30 NA DC ~$2B target; DDC + Chilldyne 2025</w:t>
            </w:r>
          </w:p>
        </w:tc>
      </w:tr>
    </w:tbl>
    <w:p>
      <w:pPr>
        <w:spacing w:after="80" w:before="160"/>
      </w:pPr>
      <w:r>
        <w:rPr>
          <w:b/>
          <w:bCs/>
          <w:color w:val="1F3A5F"/>
          <w:sz w:val="21"/>
          <w:szCs w:val="21"/>
        </w:rPr>
        <w:t xml:space="preserve">How to analyze this layer</w:t>
      </w:r>
    </w:p>
    <w:p>
      <w:pPr>
        <w:spacing w:after="100" w:before="0" w:line="300"/>
        <w:jc w:val="left"/>
      </w:pPr>
      <w:r>
        <w:rPr>
          <w:b w:val="false"/>
          <w:bCs w:val="false"/>
          <w:i w:val="false"/>
          <w:iCs w:val="false"/>
          <w:color w:val="000000"/>
          <w:sz w:val="22"/>
          <w:szCs w:val="22"/>
        </w:rPr>
        <w:t xml:space="preserve">Power has become 'the new GPU' — multi-year lead times on transformers, switchgear, and generators make this the most supply-constrained layer outside chips. Generation: CEG/VST/TLN are 'AI electricity' plays — nuclear baseload is the only generation source large enough and reliable enough for 24/7 GPU training. BWXT BANR SMR commercial proof-of-concept in next 18 months = major catalyst. Electrical: Schneider is diversified #1 (lower volatility); Vertiv is highest-conviction AI pure-play but valuation demanding (+270% LTM). Cooling: Vertiv/Schneider tied #1; Daikin is under-followed Japanese pure-play. Fuel cells: BE only one with present-day profitability; CWR.L and FCEL at ~20x sales — size positions accordingly. Customer concentration risk dominant for BE (Oracle ~40% of backlog).</w:t>
      </w:r>
    </w:p>
    <w:p>
      <w:r>
        <w:br w:type="page"/>
      </w:r>
    </w:p>
    <w:p>
      <w:pPr>
        <w:pStyle w:val="Heading1"/>
        <w:spacing w:after="200" w:before="360"/>
      </w:pPr>
      <w:r>
        <w:rPr>
          <w:b/>
          <w:bCs/>
          <w:color w:val="1F3A5F"/>
          <w:sz w:val="32"/>
          <w:szCs w:val="32"/>
        </w:rPr>
        <w:t xml:space="preserve">5. Key Risks &amp; Debates</w:t>
      </w:r>
    </w:p>
    <w:p>
      <w:pPr>
        <w:pStyle w:val="Heading2"/>
        <w:spacing w:after="140" w:before="280"/>
      </w:pPr>
      <w:r>
        <w:rPr>
          <w:b/>
          <w:bCs/>
          <w:color w:val="1F3A5F"/>
          <w:sz w:val="26"/>
          <w:szCs w:val="26"/>
        </w:rPr>
        <w:t xml:space="preserve">5.1 Revenue-to-Capex Gap</w:t>
      </w:r>
    </w:p>
    <w:p>
      <w:pPr>
        <w:spacing w:after="100" w:before="0" w:line="300"/>
        <w:jc w:val="left"/>
      </w:pPr>
      <w:r>
        <w:rPr>
          <w:b w:val="false"/>
          <w:bCs w:val="false"/>
          <w:i w:val="false"/>
          <w:iCs w:val="false"/>
          <w:color w:val="000000"/>
          <w:sz w:val="22"/>
          <w:szCs w:val="22"/>
        </w:rPr>
        <w:t xml:space="preserve">$725B 2026 capex vs ~$100B LLM ARR + ~$70B hyperscaler AI revenue ≈ 4-5x. Backlog ($460B Google, $627B MSFT RPO) is the bull case.</w:t>
      </w:r>
    </w:p>
    <w:p>
      <w:pPr>
        <w:pStyle w:val="Heading2"/>
        <w:spacing w:after="140" w:before="280"/>
      </w:pPr>
      <w:r>
        <w:rPr>
          <w:b/>
          <w:bCs/>
          <w:color w:val="1F3A5F"/>
          <w:sz w:val="26"/>
          <w:szCs w:val="26"/>
        </w:rPr>
        <w:t xml:space="preserve">5.2 Circular Financing</w:t>
      </w:r>
    </w:p>
    <w:p>
      <w:pPr>
        <w:spacing w:after="100" w:before="0" w:line="300"/>
        <w:jc w:val="left"/>
      </w:pPr>
      <w:r>
        <w:rPr>
          <w:b w:val="false"/>
          <w:bCs w:val="false"/>
          <w:i w:val="false"/>
          <w:iCs w:val="false"/>
          <w:color w:val="000000"/>
          <w:sz w:val="22"/>
          <w:szCs w:val="22"/>
        </w:rPr>
        <w:t xml:space="preserve">Detailed in Section 7. NVIDIA → OpenAI/Anthropic/CoreWeave → NVIDIA chips loop now exceeds $150B in announced flows. SEC does not require separate disclosure.</w:t>
      </w:r>
    </w:p>
    <w:p>
      <w:pPr>
        <w:pStyle w:val="Heading2"/>
        <w:spacing w:after="140" w:before="280"/>
      </w:pPr>
      <w:r>
        <w:rPr>
          <w:b/>
          <w:bCs/>
          <w:color w:val="1F3A5F"/>
          <w:sz w:val="26"/>
          <w:szCs w:val="26"/>
        </w:rPr>
        <w:t xml:space="preserve">5.3 Hyperscaler ASIC Substitution</w:t>
      </w:r>
    </w:p>
    <w:p>
      <w:pPr>
        <w:spacing w:after="100" w:before="0" w:line="300"/>
        <w:jc w:val="left"/>
      </w:pPr>
      <w:r>
        <w:rPr>
          <w:b w:val="false"/>
          <w:bCs w:val="false"/>
          <w:i w:val="false"/>
          <w:iCs w:val="false"/>
          <w:color w:val="000000"/>
          <w:sz w:val="22"/>
          <w:szCs w:val="22"/>
        </w:rPr>
        <w:t xml:space="preserve">Google TPUs, AWS Trainium ($20B run rate), Meta MTIA, Microsoft Maia in production. AVGO custom alone ~$28B.</w:t>
      </w:r>
    </w:p>
    <w:p>
      <w:pPr>
        <w:pStyle w:val="Heading2"/>
        <w:spacing w:after="140" w:before="280"/>
      </w:pPr>
      <w:r>
        <w:rPr>
          <w:b/>
          <w:bCs/>
          <w:color w:val="1F3A5F"/>
          <w:sz w:val="26"/>
          <w:szCs w:val="26"/>
        </w:rPr>
        <w:t xml:space="preserve">5.4 Power &amp; Buildout Delays</w:t>
      </w:r>
    </w:p>
    <w:p>
      <w:pPr>
        <w:spacing w:after="100" w:before="0" w:line="300"/>
        <w:jc w:val="left"/>
      </w:pPr>
      <w:r>
        <w:rPr>
          <w:b w:val="false"/>
          <w:bCs w:val="false"/>
          <w:i w:val="false"/>
          <w:iCs w:val="false"/>
          <w:color w:val="000000"/>
          <w:sz w:val="22"/>
          <w:szCs w:val="22"/>
        </w:rPr>
        <w:t xml:space="preserve">Bernstein's Rasgon: bottleneck is 'physical inability to accept delivery because buildings aren't ready.' Grid queues 7-10 years.</w:t>
      </w:r>
    </w:p>
    <w:p>
      <w:pPr>
        <w:pStyle w:val="Heading2"/>
        <w:spacing w:after="140" w:before="280"/>
      </w:pPr>
      <w:r>
        <w:rPr>
          <w:b/>
          <w:bCs/>
          <w:color w:val="1F3A5F"/>
          <w:sz w:val="26"/>
          <w:szCs w:val="26"/>
        </w:rPr>
        <w:t xml:space="preserve">5.5 Storage Cycle Risk</w:t>
      </w:r>
    </w:p>
    <w:p>
      <w:pPr>
        <w:spacing w:after="100" w:before="0" w:line="300"/>
        <w:jc w:val="left"/>
      </w:pPr>
      <w:r>
        <w:rPr>
          <w:b w:val="false"/>
          <w:bCs w:val="false"/>
          <w:i w:val="false"/>
          <w:iCs w:val="false"/>
          <w:color w:val="000000"/>
          <w:sz w:val="22"/>
          <w:szCs w:val="22"/>
        </w:rPr>
        <w:t xml:space="preserve">SNDK +492% YTD, STX +600% LTM, WDC +850% LTM. 78% GM in NAND historically unsustainable.</w:t>
      </w:r>
    </w:p>
    <w:p>
      <w:pPr>
        <w:pStyle w:val="Heading2"/>
        <w:spacing w:after="140" w:before="280"/>
      </w:pPr>
      <w:r>
        <w:rPr>
          <w:b/>
          <w:bCs/>
          <w:color w:val="1F3A5F"/>
          <w:sz w:val="26"/>
          <w:szCs w:val="26"/>
        </w:rPr>
        <w:t xml:space="preserve">5.6 Optics Cycle Risk</w:t>
      </w:r>
    </w:p>
    <w:p>
      <w:pPr>
        <w:spacing w:after="100" w:before="0" w:line="300"/>
        <w:jc w:val="left"/>
      </w:pPr>
      <w:r>
        <w:rPr>
          <w:b w:val="false"/>
          <w:bCs w:val="false"/>
          <w:i w:val="false"/>
          <w:iCs w:val="false"/>
          <w:color w:val="000000"/>
          <w:sz w:val="22"/>
          <w:szCs w:val="22"/>
        </w:rPr>
        <w:t xml:space="preserve">LITE +1,474% LTM, AAOI +934% LTM. P/E 308x on LITE.</w:t>
      </w:r>
    </w:p>
    <w:p>
      <w:pPr>
        <w:pStyle w:val="Heading2"/>
        <w:spacing w:after="140" w:before="280"/>
      </w:pPr>
      <w:r>
        <w:rPr>
          <w:b/>
          <w:bCs/>
          <w:color w:val="1F3A5F"/>
          <w:sz w:val="26"/>
          <w:szCs w:val="26"/>
        </w:rPr>
        <w:t xml:space="preserve">5.7 Taiwan / Geopolitics</w:t>
      </w:r>
    </w:p>
    <w:p>
      <w:pPr>
        <w:spacing w:after="100" w:before="0" w:line="300"/>
        <w:jc w:val="left"/>
      </w:pPr>
      <w:r>
        <w:rPr>
          <w:b w:val="false"/>
          <w:bCs w:val="false"/>
          <w:i w:val="false"/>
          <w:iCs w:val="false"/>
          <w:color w:val="000000"/>
          <w:sz w:val="22"/>
          <w:szCs w:val="22"/>
        </w:rPr>
        <w:t xml:space="preserve">TSM = all leading-edge AI silicon. Hoya = 75% EUV mask blanks. Single-country tail risk.</w:t>
      </w:r>
    </w:p>
    <w:p>
      <w:pPr>
        <w:pStyle w:val="Heading2"/>
        <w:spacing w:after="140" w:before="280"/>
      </w:pPr>
      <w:r>
        <w:rPr>
          <w:b/>
          <w:bCs/>
          <w:color w:val="1F3A5F"/>
          <w:sz w:val="26"/>
          <w:szCs w:val="26"/>
        </w:rPr>
        <w:t xml:space="preserve">5.8 Funding &amp; FCF</w:t>
      </w:r>
    </w:p>
    <w:p>
      <w:pPr>
        <w:spacing w:after="100" w:before="0" w:line="300"/>
        <w:jc w:val="left"/>
      </w:pPr>
      <w:r>
        <w:rPr>
          <w:b w:val="false"/>
          <w:bCs w:val="false"/>
          <w:i w:val="false"/>
          <w:iCs w:val="false"/>
          <w:color w:val="000000"/>
          <w:sz w:val="22"/>
          <w:szCs w:val="22"/>
        </w:rPr>
        <w:t xml:space="preserve">BofA: 2026 hyperscaler capex consumes 94% of OCF after dividends vs 40% 10-yr average.</w:t>
      </w:r>
    </w:p>
    <w:p>
      <w:r>
        <w:br w:type="page"/>
      </w:r>
    </w:p>
    <w:p>
      <w:pPr>
        <w:pStyle w:val="Heading1"/>
        <w:spacing w:after="200" w:before="360"/>
      </w:pPr>
      <w:r>
        <w:rPr>
          <w:b/>
          <w:bCs/>
          <w:color w:val="1F3A5F"/>
          <w:sz w:val="32"/>
          <w:szCs w:val="32"/>
        </w:rPr>
        <w:t xml:space="preserve">6. Core Coverage Matrix (~63 Names)</w:t>
      </w:r>
    </w:p>
    <w:p>
      <w:pPr>
        <w:spacing w:after="100" w:before="0" w:line="300"/>
        <w:jc w:val="left"/>
      </w:pPr>
      <w:r>
        <w:rPr>
          <w:b w:val="false"/>
          <w:bCs w:val="false"/>
          <w:i w:val="false"/>
          <w:iCs w:val="false"/>
          <w:color w:val="000000"/>
          <w:sz w:val="22"/>
          <w:szCs w:val="22"/>
        </w:rPr>
        <w:t xml:space="preserve">Focused investable universe. Full ticker list with Yahoo Finance symbols available as separate CSV.</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700"/>
        <w:gridCol w:w="5560"/>
      </w:tblGrid>
      <w:tr>
        <w:trPr>
          <w:tblHeader/>
        </w:trPr>
        <w:tc>
          <w:tcPr>
            <w:tcW w:type="dxa" w:w="13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Ticker</w:t>
            </w:r>
          </w:p>
        </w:tc>
        <w:tc>
          <w:tcPr>
            <w:tcW w:type="dxa" w:w="19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Company</w:t>
            </w:r>
          </w:p>
        </w:tc>
        <w:tc>
          <w:tcPr>
            <w:tcW w:type="dxa" w:w="7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Layer</w:t>
            </w:r>
          </w:p>
        </w:tc>
        <w:tc>
          <w:tcPr>
            <w:tcW w:type="dxa" w:w="556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Why Core</w:t>
            </w:r>
          </w:p>
        </w:tc>
      </w:tr>
      <w:tr>
        <w:tc>
          <w:tcPr>
            <w:tcW w:type="dxa" w:w="1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NVDA</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NVIDIA</w:t>
            </w:r>
          </w:p>
        </w:tc>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L4</w:t>
            </w:r>
          </w:p>
        </w:tc>
        <w:tc>
          <w:tcPr>
            <w:tcW w:type="dxa" w:w="55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$194B FY26 DC; 73% GM; 86-90% AI accel share</w:t>
            </w:r>
          </w:p>
        </w:tc>
      </w:tr>
      <w:tr>
        <w:tc>
          <w:tcPr>
            <w:tcW w:type="dxa" w:w="1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TSM</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TSMC</w:t>
            </w:r>
          </w:p>
        </w:tc>
        <w:tc>
          <w:tcPr>
            <w:tcW w:type="dxa" w:w="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L2</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70% foundry; sole CoWoS; 66% GM</w:t>
            </w:r>
          </w:p>
        </w:tc>
      </w:tr>
      <w:tr>
        <w:tc>
          <w:tcPr>
            <w:tcW w:type="dxa" w:w="1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ASML</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ASML</w:t>
            </w:r>
          </w:p>
        </w:tc>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L1</w:t>
            </w:r>
          </w:p>
        </w:tc>
        <w:tc>
          <w:tcPr>
            <w:tcW w:type="dxa" w:w="55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EUV monopoly; 51% GM</w:t>
            </w:r>
          </w:p>
        </w:tc>
      </w:tr>
      <w:tr>
        <w:tc>
          <w:tcPr>
            <w:tcW w:type="dxa" w:w="1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AVGO</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Broadcom</w:t>
            </w:r>
          </w:p>
        </w:tc>
        <w:tc>
          <w:tcPr>
            <w:tcW w:type="dxa" w:w="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L4+L6</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Custom ASIC ~$28B AI; 50% op margin</w:t>
            </w:r>
          </w:p>
        </w:tc>
      </w:tr>
      <w:tr>
        <w:tc>
          <w:tcPr>
            <w:tcW w:type="dxa" w:w="1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AMD</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AMD</w:t>
            </w:r>
          </w:p>
        </w:tc>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L4</w:t>
            </w:r>
          </w:p>
        </w:tc>
        <w:tc>
          <w:tcPr>
            <w:tcW w:type="dxa" w:w="55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OpenAI 6 GW + 10% warrant</w:t>
            </w:r>
          </w:p>
        </w:tc>
      </w:tr>
      <w:tr>
        <w:tc>
          <w:tcPr>
            <w:tcW w:type="dxa" w:w="1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MU</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Micron</w:t>
            </w:r>
          </w:p>
        </w:tc>
        <w:tc>
          <w:tcPr>
            <w:tcW w:type="dxa" w:w="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L3</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21% HBM + 26% DRAM</w:t>
            </w:r>
          </w:p>
        </w:tc>
      </w:tr>
      <w:tr>
        <w:tc>
          <w:tcPr>
            <w:tcW w:type="dxa" w:w="1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005930.KS</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Samsung</w:t>
            </w:r>
          </w:p>
        </w:tc>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L3+L2</w:t>
            </w:r>
          </w:p>
        </w:tc>
        <w:tc>
          <w:tcPr>
            <w:tcW w:type="dxa" w:w="55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22% HBM; 33% DRAM</w:t>
            </w:r>
          </w:p>
        </w:tc>
      </w:tr>
      <w:tr>
        <w:tc>
          <w:tcPr>
            <w:tcW w:type="dxa" w:w="1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000660.KS</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SK Hynix</w:t>
            </w:r>
          </w:p>
        </w:tc>
        <w:tc>
          <w:tcPr>
            <w:tcW w:type="dxa" w:w="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L3</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57% HBM; 58% op margin Q4 25</w:t>
            </w:r>
          </w:p>
        </w:tc>
      </w:tr>
      <w:tr>
        <w:tc>
          <w:tcPr>
            <w:tcW w:type="dxa" w:w="1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SNDK</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Sandisk</w:t>
            </w:r>
          </w:p>
        </w:tc>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L3</w:t>
            </w:r>
          </w:p>
        </w:tc>
        <w:tc>
          <w:tcPr>
            <w:tcW w:type="dxa" w:w="55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+492% YTD; 78% GM</w:t>
            </w:r>
          </w:p>
        </w:tc>
      </w:tr>
      <w:tr>
        <w:tc>
          <w:tcPr>
            <w:tcW w:type="dxa" w:w="1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WDC</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Western Digital</w:t>
            </w:r>
          </w:p>
        </w:tc>
        <w:tc>
          <w:tcPr>
            <w:tcW w:type="dxa" w:w="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L3</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+850% LTM</w:t>
            </w:r>
          </w:p>
        </w:tc>
      </w:tr>
      <w:tr>
        <w:tc>
          <w:tcPr>
            <w:tcW w:type="dxa" w:w="1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STX</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Seagate</w:t>
            </w:r>
          </w:p>
        </w:tc>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L3</w:t>
            </w:r>
          </w:p>
        </w:tc>
        <w:tc>
          <w:tcPr>
            <w:tcW w:type="dxa" w:w="55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+600% LTM</w:t>
            </w:r>
          </w:p>
        </w:tc>
      </w:tr>
      <w:tr>
        <w:tc>
          <w:tcPr>
            <w:tcW w:type="dxa" w:w="1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MSFT</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Microsoft</w:t>
            </w:r>
          </w:p>
        </w:tc>
        <w:tc>
          <w:tcPr>
            <w:tcW w:type="dxa" w:w="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L8+L9+L10</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Azure ~50% op margin; 27% OpenAI</w:t>
            </w:r>
          </w:p>
        </w:tc>
      </w:tr>
      <w:tr>
        <w:tc>
          <w:tcPr>
            <w:tcW w:type="dxa" w:w="1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GOOGL</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Alphabet</w:t>
            </w:r>
          </w:p>
        </w:tc>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L8+L9+L10</w:t>
            </w:r>
          </w:p>
        </w:tc>
        <w:tc>
          <w:tcPr>
            <w:tcW w:type="dxa" w:w="55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Cloud +63%; Gemini 12%</w:t>
            </w:r>
          </w:p>
        </w:tc>
      </w:tr>
      <w:tr>
        <w:tc>
          <w:tcPr>
            <w:tcW w:type="dxa" w:w="1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AMZN</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Amazon</w:t>
            </w:r>
          </w:p>
        </w:tc>
        <w:tc>
          <w:tcPr>
            <w:tcW w:type="dxa" w:w="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L4+L8</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AWS 30%; Anthropic anchor</w:t>
            </w:r>
          </w:p>
        </w:tc>
      </w:tr>
      <w:tr>
        <w:tc>
          <w:tcPr>
            <w:tcW w:type="dxa" w:w="1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META</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Meta</w:t>
            </w:r>
          </w:p>
        </w:tc>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L4+L10</w:t>
            </w:r>
          </w:p>
        </w:tc>
        <w:tc>
          <w:tcPr>
            <w:tcW w:type="dxa" w:w="55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1st-party AI; MTIA; Corning $6B</w:t>
            </w:r>
          </w:p>
        </w:tc>
      </w:tr>
      <w:tr>
        <w:tc>
          <w:tcPr>
            <w:tcW w:type="dxa" w:w="1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ORCL</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Oracle</w:t>
            </w:r>
          </w:p>
        </w:tc>
        <w:tc>
          <w:tcPr>
            <w:tcW w:type="dxa" w:w="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L8</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Stargate $300B</w:t>
            </w:r>
          </w:p>
        </w:tc>
      </w:tr>
      <w:tr>
        <w:tc>
          <w:tcPr>
            <w:tcW w:type="dxa" w:w="1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CRWV</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CoreWeave</w:t>
            </w:r>
          </w:p>
        </w:tc>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L8</w:t>
            </w:r>
          </w:p>
        </w:tc>
        <w:tc>
          <w:tcPr>
            <w:tcW w:type="dxa" w:w="55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$22.4B OpenAI; NVDA $2B equity</w:t>
            </w:r>
          </w:p>
        </w:tc>
      </w:tr>
      <w:tr>
        <w:tc>
          <w:tcPr>
            <w:tcW w:type="dxa" w:w="1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NBIS</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Nebius</w:t>
            </w:r>
          </w:p>
        </w:tc>
        <w:tc>
          <w:tcPr>
            <w:tcW w:type="dxa" w:w="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L8</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NVIDIA $2B equity</w:t>
            </w:r>
          </w:p>
        </w:tc>
      </w:tr>
      <w:tr>
        <w:tc>
          <w:tcPr>
            <w:tcW w:type="dxa" w:w="1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IREN</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IREN</w:t>
            </w:r>
          </w:p>
        </w:tc>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L8</w:t>
            </w:r>
          </w:p>
        </w:tc>
        <w:tc>
          <w:tcPr>
            <w:tcW w:type="dxa" w:w="55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MSFT $9.7B anchor</w:t>
            </w:r>
          </w:p>
        </w:tc>
      </w:tr>
      <w:tr>
        <w:tc>
          <w:tcPr>
            <w:tcW w:type="dxa" w:w="1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WULF</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TeraWulf</w:t>
            </w:r>
          </w:p>
        </w:tc>
        <w:tc>
          <w:tcPr>
            <w:tcW w:type="dxa" w:w="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L8</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$12.8B HPC</w:t>
            </w:r>
          </w:p>
        </w:tc>
      </w:tr>
      <w:tr>
        <w:tc>
          <w:tcPr>
            <w:tcW w:type="dxa" w:w="1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HUT</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Hut 8</w:t>
            </w:r>
          </w:p>
        </w:tc>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L8</w:t>
            </w:r>
          </w:p>
        </w:tc>
        <w:tc>
          <w:tcPr>
            <w:tcW w:type="dxa" w:w="55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$7B Google/Fluidstack</w:t>
            </w:r>
          </w:p>
        </w:tc>
      </w:tr>
      <w:tr>
        <w:tc>
          <w:tcPr>
            <w:tcW w:type="dxa" w:w="1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CIFR</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Cipher Mining</w:t>
            </w:r>
          </w:p>
        </w:tc>
        <w:tc>
          <w:tcPr>
            <w:tcW w:type="dxa" w:w="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L8</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$5.5B AWS</w:t>
            </w:r>
          </w:p>
        </w:tc>
      </w:tr>
      <w:tr>
        <w:tc>
          <w:tcPr>
            <w:tcW w:type="dxa" w:w="1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EQIX</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Equinix</w:t>
            </w:r>
          </w:p>
        </w:tc>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L7</w:t>
            </w:r>
          </w:p>
        </w:tc>
        <w:tc>
          <w:tcPr>
            <w:tcW w:type="dxa" w:w="55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$9.2B; 49% GM; 51% EBITDA margin</w:t>
            </w:r>
          </w:p>
        </w:tc>
      </w:tr>
      <w:tr>
        <w:tc>
          <w:tcPr>
            <w:tcW w:type="dxa" w:w="1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DLR</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Digital Realty</w:t>
            </w:r>
          </w:p>
        </w:tc>
        <w:tc>
          <w:tcPr>
            <w:tcW w:type="dxa" w:w="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L7</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$6.1B; #1 wholesale</w:t>
            </w:r>
          </w:p>
        </w:tc>
      </w:tr>
      <w:tr>
        <w:tc>
          <w:tcPr>
            <w:tcW w:type="dxa" w:w="1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PWR</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Quanta Services</w:t>
            </w:r>
          </w:p>
        </w:tc>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L7+L0</w:t>
            </w:r>
          </w:p>
        </w:tc>
        <w:tc>
          <w:tcPr>
            <w:tcW w:type="dxa" w:w="55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Largest US DC contractor</w:t>
            </w:r>
          </w:p>
        </w:tc>
      </w:tr>
      <w:tr>
        <w:tc>
          <w:tcPr>
            <w:tcW w:type="dxa" w:w="1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FIX</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Comfort Systems</w:t>
            </w:r>
          </w:p>
        </w:tc>
        <w:tc>
          <w:tcPr>
            <w:tcW w:type="dxa" w:w="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L7</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Mid-cap DC contractor</w:t>
            </w:r>
          </w:p>
        </w:tc>
      </w:tr>
      <w:tr>
        <w:tc>
          <w:tcPr>
            <w:tcW w:type="dxa" w:w="1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ANET</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Arista</w:t>
            </w:r>
          </w:p>
        </w:tc>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L6</w:t>
            </w:r>
          </w:p>
        </w:tc>
        <w:tc>
          <w:tcPr>
            <w:tcW w:type="dxa" w:w="55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19% DC switch; 41% op margin</w:t>
            </w:r>
          </w:p>
        </w:tc>
      </w:tr>
      <w:tr>
        <w:tc>
          <w:tcPr>
            <w:tcW w:type="dxa" w:w="1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NOK</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Nokia</w:t>
            </w:r>
          </w:p>
        </w:tc>
        <w:tc>
          <w:tcPr>
            <w:tcW w:type="dxa" w:w="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L6</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NVIDIA $1B stake; AI-RAN</w:t>
            </w:r>
          </w:p>
        </w:tc>
      </w:tr>
      <w:tr>
        <w:tc>
          <w:tcPr>
            <w:tcW w:type="dxa" w:w="1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MRVL</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Marvell</w:t>
            </w:r>
          </w:p>
        </w:tc>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L4+L6</w:t>
            </w:r>
          </w:p>
        </w:tc>
        <w:tc>
          <w:tcPr>
            <w:tcW w:type="dxa" w:w="55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AWS custom + optics</w:t>
            </w:r>
          </w:p>
        </w:tc>
      </w:tr>
      <w:tr>
        <w:tc>
          <w:tcPr>
            <w:tcW w:type="dxa" w:w="1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CBRS</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Cerebras</w:t>
            </w:r>
          </w:p>
        </w:tc>
        <w:tc>
          <w:tcPr>
            <w:tcW w:type="dxa" w:w="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L4</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May 2026 IPO; $10B OpenAI</w:t>
            </w:r>
          </w:p>
        </w:tc>
      </w:tr>
      <w:tr>
        <w:tc>
          <w:tcPr>
            <w:tcW w:type="dxa" w:w="1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LITE</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Lumentum</w:t>
            </w:r>
          </w:p>
        </w:tc>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L6</w:t>
            </w:r>
          </w:p>
        </w:tc>
        <w:tc>
          <w:tcPr>
            <w:tcW w:type="dxa" w:w="55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+1,474% LTM; NVDA $2B; 32% op margin</w:t>
            </w:r>
          </w:p>
        </w:tc>
      </w:tr>
      <w:tr>
        <w:tc>
          <w:tcPr>
            <w:tcW w:type="dxa" w:w="1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COHR</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Coherent</w:t>
            </w:r>
          </w:p>
        </w:tc>
        <w:tc>
          <w:tcPr>
            <w:tcW w:type="dxa" w:w="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L6</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+97% YTD; NVDA $2B</w:t>
            </w:r>
          </w:p>
        </w:tc>
      </w:tr>
      <w:tr>
        <w:tc>
          <w:tcPr>
            <w:tcW w:type="dxa" w:w="1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GLW</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Corning</w:t>
            </w:r>
          </w:p>
        </w:tc>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L6</w:t>
            </w:r>
          </w:p>
        </w:tc>
        <w:tc>
          <w:tcPr>
            <w:tcW w:type="dxa" w:w="55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Meta $6B fiber deal</w:t>
            </w:r>
          </w:p>
        </w:tc>
      </w:tr>
      <w:tr>
        <w:tc>
          <w:tcPr>
            <w:tcW w:type="dxa" w:w="1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DELL</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Dell</w:t>
            </w:r>
          </w:p>
        </w:tc>
        <w:tc>
          <w:tcPr>
            <w:tcW w:type="dxa" w:w="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L5</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AI server $25B FY26; 22% GM</w:t>
            </w:r>
          </w:p>
        </w:tc>
      </w:tr>
      <w:tr>
        <w:tc>
          <w:tcPr>
            <w:tcW w:type="dxa" w:w="1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SMCI</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Supermicro</w:t>
            </w:r>
          </w:p>
        </w:tc>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L5</w:t>
            </w:r>
          </w:p>
        </w:tc>
        <w:tc>
          <w:tcPr>
            <w:tcW w:type="dxa" w:w="55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9.5% server share; ~10% GM</w:t>
            </w:r>
          </w:p>
        </w:tc>
      </w:tr>
      <w:tr>
        <w:tc>
          <w:tcPr>
            <w:tcW w:type="dxa" w:w="1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2317.TW</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Foxconn</w:t>
            </w:r>
          </w:p>
        </w:tc>
        <w:tc>
          <w:tcPr>
            <w:tcW w:type="dxa" w:w="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L5</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Largest ODM; 5-7% GM AI servers</w:t>
            </w:r>
          </w:p>
        </w:tc>
      </w:tr>
      <w:tr>
        <w:tc>
          <w:tcPr>
            <w:tcW w:type="dxa" w:w="1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2308.TW</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Delta Electronics</w:t>
            </w:r>
          </w:p>
        </w:tc>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L5</w:t>
            </w:r>
          </w:p>
        </w:tc>
        <w:tc>
          <w:tcPr>
            <w:tcW w:type="dxa" w:w="55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#1 DC PSU</w:t>
            </w:r>
          </w:p>
        </w:tc>
      </w:tr>
      <w:tr>
        <w:tc>
          <w:tcPr>
            <w:tcW w:type="dxa" w:w="1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MPWR</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Monolithic Power</w:t>
            </w:r>
          </w:p>
        </w:tc>
        <w:tc>
          <w:tcPr>
            <w:tcW w:type="dxa" w:w="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L4</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GPU power mgmt</w:t>
            </w:r>
          </w:p>
        </w:tc>
      </w:tr>
      <w:tr>
        <w:tc>
          <w:tcPr>
            <w:tcW w:type="dxa" w:w="1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SNPS</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Synopsys</w:t>
            </w:r>
          </w:p>
        </w:tc>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L1</w:t>
            </w:r>
          </w:p>
        </w:tc>
        <w:tc>
          <w:tcPr>
            <w:tcW w:type="dxa" w:w="55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EDA #1; 35% op margin</w:t>
            </w:r>
          </w:p>
        </w:tc>
      </w:tr>
      <w:tr>
        <w:tc>
          <w:tcPr>
            <w:tcW w:type="dxa" w:w="1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CDNS</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Cadence</w:t>
            </w:r>
          </w:p>
        </w:tc>
        <w:tc>
          <w:tcPr>
            <w:tcW w:type="dxa" w:w="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L1</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EDA #2</w:t>
            </w:r>
          </w:p>
        </w:tc>
      </w:tr>
      <w:tr>
        <w:tc>
          <w:tcPr>
            <w:tcW w:type="dxa" w:w="1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ARM</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Arm Holdings</w:t>
            </w:r>
          </w:p>
        </w:tc>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L1</w:t>
            </w:r>
          </w:p>
        </w:tc>
        <w:tc>
          <w:tcPr>
            <w:tcW w:type="dxa" w:w="55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CPU IP</w:t>
            </w:r>
          </w:p>
        </w:tc>
      </w:tr>
      <w:tr>
        <w:tc>
          <w:tcPr>
            <w:tcW w:type="dxa" w:w="1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AMAT</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Applied Materials</w:t>
            </w:r>
          </w:p>
        </w:tc>
        <w:tc>
          <w:tcPr>
            <w:tcW w:type="dxa" w:w="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L1</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Broadest WFE</w:t>
            </w:r>
          </w:p>
        </w:tc>
      </w:tr>
      <w:tr>
        <w:tc>
          <w:tcPr>
            <w:tcW w:type="dxa" w:w="1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LRCX</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Lam Research</w:t>
            </w:r>
          </w:p>
        </w:tc>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L1</w:t>
            </w:r>
          </w:p>
        </w:tc>
        <w:tc>
          <w:tcPr>
            <w:tcW w:type="dxa" w:w="55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Etch #1</w:t>
            </w:r>
          </w:p>
        </w:tc>
      </w:tr>
      <w:tr>
        <w:tc>
          <w:tcPr>
            <w:tcW w:type="dxa" w:w="1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KLAC</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KLA</w:t>
            </w:r>
          </w:p>
        </w:tc>
        <w:tc>
          <w:tcPr>
            <w:tcW w:type="dxa" w:w="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L1</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Metrology ~50%; 50% GM</w:t>
            </w:r>
          </w:p>
        </w:tc>
      </w:tr>
      <w:tr>
        <w:tc>
          <w:tcPr>
            <w:tcW w:type="dxa" w:w="1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8035.T</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Tokyo Electron</w:t>
            </w:r>
          </w:p>
        </w:tc>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L1</w:t>
            </w:r>
          </w:p>
        </w:tc>
        <w:tc>
          <w:tcPr>
            <w:tcW w:type="dxa" w:w="55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Coater/developer</w:t>
            </w:r>
          </w:p>
        </w:tc>
      </w:tr>
      <w:tr>
        <w:tc>
          <w:tcPr>
            <w:tcW w:type="dxa" w:w="1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6857.T</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Advantest</w:t>
            </w:r>
          </w:p>
        </w:tc>
        <w:tc>
          <w:tcPr>
            <w:tcW w:type="dxa" w:w="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L1</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HBM tester</w:t>
            </w:r>
          </w:p>
        </w:tc>
      </w:tr>
      <w:tr>
        <w:tc>
          <w:tcPr>
            <w:tcW w:type="dxa" w:w="1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6920.T</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Lasertec</w:t>
            </w:r>
          </w:p>
        </w:tc>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L1</w:t>
            </w:r>
          </w:p>
        </w:tc>
        <w:tc>
          <w:tcPr>
            <w:tcW w:type="dxa" w:w="55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EUV mask inspection</w:t>
            </w:r>
          </w:p>
        </w:tc>
      </w:tr>
      <w:tr>
        <w:tc>
          <w:tcPr>
            <w:tcW w:type="dxa" w:w="1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6146.T</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Disco</w:t>
            </w:r>
          </w:p>
        </w:tc>
        <w:tc>
          <w:tcPr>
            <w:tcW w:type="dxa" w:w="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L1</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Wafer dicing</w:t>
            </w:r>
          </w:p>
        </w:tc>
      </w:tr>
      <w:tr>
        <w:tc>
          <w:tcPr>
            <w:tcW w:type="dxa" w:w="1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042700.KS</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Hanmi Semiconductor</w:t>
            </w:r>
          </w:p>
        </w:tc>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L1</w:t>
            </w:r>
          </w:p>
        </w:tc>
        <w:tc>
          <w:tcPr>
            <w:tcW w:type="dxa" w:w="55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71% TC bonder; 44% op margin</w:t>
            </w:r>
          </w:p>
        </w:tc>
      </w:tr>
      <w:tr>
        <w:tc>
          <w:tcPr>
            <w:tcW w:type="dxa" w:w="1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BESI.AS</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BESI</w:t>
            </w:r>
          </w:p>
        </w:tc>
        <w:tc>
          <w:tcPr>
            <w:tcW w:type="dxa" w:w="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L1</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Micron HBM4 sole-source</w:t>
            </w:r>
          </w:p>
        </w:tc>
      </w:tr>
      <w:tr>
        <w:tc>
          <w:tcPr>
            <w:tcW w:type="dxa" w:w="1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7741.T</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Hoya</w:t>
            </w:r>
          </w:p>
        </w:tc>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L1</w:t>
            </w:r>
          </w:p>
        </w:tc>
        <w:tc>
          <w:tcPr>
            <w:tcW w:type="dxa" w:w="55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60%+ photomask; 75%+ EUV</w:t>
            </w:r>
          </w:p>
        </w:tc>
      </w:tr>
      <w:tr>
        <w:tc>
          <w:tcPr>
            <w:tcW w:type="dxa" w:w="1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4063.T</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Shin-Etsu</w:t>
            </w:r>
          </w:p>
        </w:tc>
        <w:tc>
          <w:tcPr>
            <w:tcW w:type="dxa" w:w="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L1</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#1 silicon wafer</w:t>
            </w:r>
          </w:p>
        </w:tc>
      </w:tr>
      <w:tr>
        <w:tc>
          <w:tcPr>
            <w:tcW w:type="dxa" w:w="1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Q</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Qnity Electronics</w:t>
            </w:r>
          </w:p>
        </w:tc>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L1</w:t>
            </w:r>
          </w:p>
        </w:tc>
        <w:tc>
          <w:tcPr>
            <w:tcW w:type="dxa" w:w="55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NEW Nov 2025</w:t>
            </w:r>
          </w:p>
        </w:tc>
      </w:tr>
      <w:tr>
        <w:tc>
          <w:tcPr>
            <w:tcW w:type="dxa" w:w="1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VRT</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Vertiv</w:t>
            </w:r>
          </w:p>
        </w:tc>
        <w:tc>
          <w:tcPr>
            <w:tcW w:type="dxa" w:w="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L0</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+270% LTM; 22% op margin</w:t>
            </w:r>
          </w:p>
        </w:tc>
      </w:tr>
      <w:tr>
        <w:tc>
          <w:tcPr>
            <w:tcW w:type="dxa" w:w="1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SU.PA</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Schneider Electric</w:t>
            </w:r>
          </w:p>
        </w:tc>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L0</w:t>
            </w:r>
          </w:p>
        </w:tc>
        <w:tc>
          <w:tcPr>
            <w:tcW w:type="dxa" w:w="55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#1 switchgear/UPS/cooling; 17% op margin</w:t>
            </w:r>
          </w:p>
        </w:tc>
      </w:tr>
      <w:tr>
        <w:tc>
          <w:tcPr>
            <w:tcW w:type="dxa" w:w="1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ETN</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Eaton</w:t>
            </w:r>
          </w:p>
        </w:tc>
        <w:tc>
          <w:tcPr>
            <w:tcW w:type="dxa" w:w="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L0</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Switchgear + transformers</w:t>
            </w:r>
          </w:p>
        </w:tc>
      </w:tr>
      <w:tr>
        <w:tc>
          <w:tcPr>
            <w:tcW w:type="dxa" w:w="1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6367.T</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Daikin</w:t>
            </w:r>
          </w:p>
        </w:tc>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L0</w:t>
            </w:r>
          </w:p>
        </w:tc>
        <w:tc>
          <w:tcPr>
            <w:tcW w:type="dxa" w:w="55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AI DC cooling target $2B FY30</w:t>
            </w:r>
          </w:p>
        </w:tc>
      </w:tr>
      <w:tr>
        <w:tc>
          <w:tcPr>
            <w:tcW w:type="dxa" w:w="1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JCI</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Johnson Controls</w:t>
            </w:r>
          </w:p>
        </w:tc>
        <w:tc>
          <w:tcPr>
            <w:tcW w:type="dxa" w:w="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L0</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YORK chillers</w:t>
            </w:r>
          </w:p>
        </w:tc>
      </w:tr>
      <w:tr>
        <w:tc>
          <w:tcPr>
            <w:tcW w:type="dxa" w:w="1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TT</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Trane</w:t>
            </w:r>
          </w:p>
        </w:tc>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L0</w:t>
            </w:r>
          </w:p>
        </w:tc>
        <w:tc>
          <w:tcPr>
            <w:tcW w:type="dxa" w:w="55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Chillers</w:t>
            </w:r>
          </w:p>
        </w:tc>
      </w:tr>
      <w:tr>
        <w:tc>
          <w:tcPr>
            <w:tcW w:type="dxa" w:w="1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GEV</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GE Vernova</w:t>
            </w:r>
          </w:p>
        </w:tc>
        <w:tc>
          <w:tcPr>
            <w:tcW w:type="dxa" w:w="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L0</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Diversified power infra</w:t>
            </w:r>
          </w:p>
        </w:tc>
      </w:tr>
      <w:tr>
        <w:tc>
          <w:tcPr>
            <w:tcW w:type="dxa" w:w="1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BE</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Bloom Energy</w:t>
            </w:r>
          </w:p>
        </w:tc>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L0</w:t>
            </w:r>
          </w:p>
        </w:tc>
        <w:tc>
          <w:tcPr>
            <w:tcW w:type="dxa" w:w="55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Oracle 2.8 GW Jupiter</w:t>
            </w:r>
          </w:p>
        </w:tc>
      </w:tr>
      <w:tr>
        <w:tc>
          <w:tcPr>
            <w:tcW w:type="dxa" w:w="1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CWR.L</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Ceres Power</w:t>
            </w:r>
          </w:p>
        </w:tc>
        <w:tc>
          <w:tcPr>
            <w:tcW w:type="dxa" w:w="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L0</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SOFC licensor; +237% YTD</w:t>
            </w:r>
          </w:p>
        </w:tc>
      </w:tr>
      <w:tr>
        <w:tc>
          <w:tcPr>
            <w:tcW w:type="dxa" w:w="1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336260.KS</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Doosan Fuel Cell</w:t>
            </w:r>
          </w:p>
        </w:tc>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L0</w:t>
            </w:r>
          </w:p>
        </w:tc>
        <w:tc>
          <w:tcPr>
            <w:tcW w:type="dxa" w:w="55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Ceres licensee</w:t>
            </w:r>
          </w:p>
        </w:tc>
      </w:tr>
      <w:tr>
        <w:tc>
          <w:tcPr>
            <w:tcW w:type="dxa" w:w="1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FCEL</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FuelCell Energy</w:t>
            </w:r>
          </w:p>
        </w:tc>
        <w:tc>
          <w:tcPr>
            <w:tcW w:type="dxa" w:w="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L0</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1.5 GW DC pipeline</w:t>
            </w:r>
          </w:p>
        </w:tc>
      </w:tr>
      <w:tr>
        <w:tc>
          <w:tcPr>
            <w:tcW w:type="dxa" w:w="1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BWXT</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BWX Technologies</w:t>
            </w:r>
          </w:p>
        </w:tc>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L0</w:t>
            </w:r>
          </w:p>
        </w:tc>
        <w:tc>
          <w:tcPr>
            <w:tcW w:type="dxa" w:w="55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BANR SMR; $7.3B backlog</w:t>
            </w:r>
          </w:p>
        </w:tc>
      </w:tr>
      <w:tr>
        <w:tc>
          <w:tcPr>
            <w:tcW w:type="dxa" w:w="1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CEG</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Constellation Energy</w:t>
            </w:r>
          </w:p>
        </w:tc>
        <w:tc>
          <w:tcPr>
            <w:tcW w:type="dxa" w:w="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L0</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33 GW nuclear; 30% op margin</w:t>
            </w:r>
          </w:p>
        </w:tc>
      </w:tr>
      <w:tr>
        <w:tc>
          <w:tcPr>
            <w:tcW w:type="dxa" w:w="1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VST</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Vistra</w:t>
            </w:r>
          </w:p>
        </w:tc>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L0</w:t>
            </w:r>
          </w:p>
        </w:tc>
        <w:tc>
          <w:tcPr>
            <w:tcW w:type="dxa" w:w="55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44 GW</w:t>
            </w:r>
          </w:p>
        </w:tc>
      </w:tr>
      <w:tr>
        <w:tc>
          <w:tcPr>
            <w:tcW w:type="dxa" w:w="1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TLN</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Talen Energy</w:t>
            </w:r>
          </w:p>
        </w:tc>
        <w:tc>
          <w:tcPr>
            <w:tcW w:type="dxa" w:w="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L0</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AWS 960 MW PA</w:t>
            </w:r>
          </w:p>
        </w:tc>
      </w:tr>
      <w:tr>
        <w:tc>
          <w:tcPr>
            <w:tcW w:type="dxa" w:w="1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NEE</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NextEra</w:t>
            </w:r>
          </w:p>
        </w:tc>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L0</w:t>
            </w:r>
          </w:p>
        </w:tc>
        <w:tc>
          <w:tcPr>
            <w:tcW w:type="dxa" w:w="556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70 GW renewables</w:t>
            </w:r>
          </w:p>
        </w:tc>
      </w:tr>
      <w:tr>
        <w:tc>
          <w:tcPr>
            <w:tcW w:type="dxa" w:w="1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CCJ</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Cameco</w:t>
            </w:r>
          </w:p>
        </w:tc>
        <w:tc>
          <w:tcPr>
            <w:tcW w:type="dxa" w:w="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L0</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Uranium</w:t>
            </w:r>
          </w:p>
        </w:tc>
      </w:tr>
    </w:tbl>
    <w:p>
      <w:r>
        <w:br w:type="page"/>
      </w:r>
    </w:p>
    <w:p>
      <w:pPr>
        <w:pStyle w:val="Heading1"/>
        <w:spacing w:after="200" w:before="360"/>
      </w:pPr>
      <w:r>
        <w:rPr>
          <w:b/>
          <w:bCs/>
          <w:color w:val="1F3A5F"/>
          <w:sz w:val="32"/>
          <w:szCs w:val="32"/>
        </w:rPr>
        <w:t xml:space="preserve">7. The AI Deal Web — Investment &amp; Compute Contract Network</w:t>
      </w:r>
    </w:p>
    <w:p>
      <w:pPr>
        <w:spacing w:after="100" w:before="0" w:line="300"/>
        <w:jc w:val="left"/>
      </w:pPr>
      <w:r>
        <w:rPr>
          <w:b w:val="false"/>
          <w:bCs w:val="false"/>
          <w:i w:val="false"/>
          <w:iCs w:val="false"/>
          <w:color w:val="000000"/>
          <w:sz w:val="22"/>
          <w:szCs w:val="22"/>
        </w:rPr>
        <w:t xml:space="preserve">The deal web between hyperscalers, foundation-model companies, and NVIDIA has become a defining feature of this cycle. Three patterns dominate: (1) hyperscalers take equity stakes in LLM companies, which commit to multi-year cloud purchases; (2) NVIDIA invests in its own customers; (3) chip competitors use equity warrants alongside chip-supply contracts.</w:t>
      </w:r>
    </w:p>
    <w:p>
      <w:pPr>
        <w:spacing w:after="100" w:before="0" w:line="300"/>
        <w:jc w:val="left"/>
      </w:pPr>
      <w:r>
        <w:rPr>
          <w:b w:val="false"/>
          <w:bCs w:val="false"/>
          <w:i w:val="false"/>
          <w:iCs w:val="false"/>
          <w:color w:val="000000"/>
          <w:sz w:val="22"/>
          <w:szCs w:val="22"/>
        </w:rPr>
        <w:t xml:space="preserve">Visualisation: see the companion HTML file ai_deal_network.html for the interactive layered network diagram.</w:t>
      </w:r>
    </w:p>
    <w:p>
      <w:pPr>
        <w:pStyle w:val="Heading2"/>
        <w:spacing w:after="140" w:before="280"/>
      </w:pPr>
      <w:r>
        <w:rPr>
          <w:b/>
          <w:bCs/>
          <w:color w:val="1F3A5F"/>
          <w:sz w:val="26"/>
          <w:szCs w:val="26"/>
        </w:rPr>
        <w:t xml:space="preserve">7.1 OpenAI's Deal Stack</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900"/>
        <w:gridCol w:w="5440"/>
      </w:tblGrid>
      <w:tr>
        <w:trPr>
          <w:tblHeader/>
        </w:trPr>
        <w:tc>
          <w:tcPr>
            <w:tcW w:type="dxa" w:w="18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Counterparty</w:t>
            </w:r>
          </w:p>
        </w:tc>
        <w:tc>
          <w:tcPr>
            <w:tcW w:type="dxa" w:w="13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Type</w:t>
            </w:r>
          </w:p>
        </w:tc>
        <w:tc>
          <w:tcPr>
            <w:tcW w:type="dxa" w:w="19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Amount</w:t>
            </w:r>
          </w:p>
        </w:tc>
        <w:tc>
          <w:tcPr>
            <w:tcW w:type="dxa" w:w="544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Terms</w:t>
            </w:r>
          </w:p>
        </w:tc>
      </w:tr>
      <w:tr>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Microsoft</w:t>
            </w:r>
          </w:p>
        </w:tc>
        <w:tc>
          <w:tcPr>
            <w:tcW w:type="dxa" w:w="1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Equity (held)</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$13B invested → 27% = $135B</w:t>
            </w:r>
          </w:p>
        </w:tc>
        <w:tc>
          <w:tcPr>
            <w:tcW w:type="dxa" w:w="544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PBC restructure Oct 28 2025; MSFT IP rights to 2032 + Azure API exclusivity</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Microsoft</w:t>
            </w:r>
          </w:p>
        </w:tc>
        <w:tc>
          <w:tcPr>
            <w:tcW w:type="dxa" w:w="1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Compute</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$250B Azure</w:t>
            </w:r>
          </w:p>
        </w:tc>
        <w:tc>
          <w:tcPr>
            <w:tcW w:type="dxa" w:w="54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MSFT no longer right-of-first-refusal</w:t>
            </w:r>
          </w:p>
        </w:tc>
      </w:tr>
      <w:tr>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NVIDIA</w:t>
            </w:r>
          </w:p>
        </w:tc>
        <w:tc>
          <w:tcPr>
            <w:tcW w:type="dxa" w:w="1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Equity</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Up to $100B (LOI)</w:t>
            </w:r>
          </w:p>
        </w:tc>
        <w:tc>
          <w:tcPr>
            <w:tcW w:type="dxa" w:w="544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10 GW; still LOI Dec 2025</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NVIDIA</w:t>
            </w:r>
          </w:p>
        </w:tc>
        <w:tc>
          <w:tcPr>
            <w:tcW w:type="dxa" w:w="1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Chips</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10 GW (4-5M GPUs)</w:t>
            </w:r>
          </w:p>
        </w:tc>
        <w:tc>
          <w:tcPr>
            <w:tcW w:type="dxa" w:w="54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Vera Rubin; first GW H2 2026</w:t>
            </w:r>
          </w:p>
        </w:tc>
      </w:tr>
      <w:tr>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AMD</w:t>
            </w:r>
          </w:p>
        </w:tc>
        <w:tc>
          <w:tcPr>
            <w:tcW w:type="dxa" w:w="1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Equity warrant</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160M shares (~10% AMD)</w:t>
            </w:r>
          </w:p>
        </w:tc>
        <w:tc>
          <w:tcPr>
            <w:tcW w:type="dxa" w:w="544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Warrant $0.01/share; vests up to $600 share</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AMD</w:t>
            </w:r>
          </w:p>
        </w:tc>
        <w:tc>
          <w:tcPr>
            <w:tcW w:type="dxa" w:w="1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Chips</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6 GW MI450 + future</w:t>
            </w:r>
          </w:p>
        </w:tc>
        <w:tc>
          <w:tcPr>
            <w:tcW w:type="dxa" w:w="54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First 1 GW H2 2026</w:t>
            </w:r>
          </w:p>
        </w:tc>
      </w:tr>
      <w:tr>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Oracle (Stargate)</w:t>
            </w:r>
          </w:p>
        </w:tc>
        <w:tc>
          <w:tcPr>
            <w:tcW w:type="dxa" w:w="1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Compute</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$300B / 5 yr</w:t>
            </w:r>
          </w:p>
        </w:tc>
        <w:tc>
          <w:tcPr>
            <w:tcW w:type="dxa" w:w="544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Begins 2027; Abilene TX + 5 new sites</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Amazon</w:t>
            </w:r>
          </w:p>
        </w:tc>
        <w:tc>
          <w:tcPr>
            <w:tcW w:type="dxa" w:w="1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Compute</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$38B / 7 yr</w:t>
            </w:r>
          </w:p>
        </w:tc>
        <w:tc>
          <w:tcPr>
            <w:tcW w:type="dxa" w:w="54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First OpenAI-AWS deal Nov 3 2025</w:t>
            </w:r>
          </w:p>
        </w:tc>
      </w:tr>
      <w:tr>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Broadcom</w:t>
            </w:r>
          </w:p>
        </w:tc>
        <w:tc>
          <w:tcPr>
            <w:tcW w:type="dxa" w:w="1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Custom silicon</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10 GW custom AI</w:t>
            </w:r>
          </w:p>
        </w:tc>
        <w:tc>
          <w:tcPr>
            <w:tcW w:type="dxa" w:w="544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Through 2030</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CoreWeave</w:t>
            </w:r>
          </w:p>
        </w:tc>
        <w:tc>
          <w:tcPr>
            <w:tcW w:type="dxa" w:w="1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Compute</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$22.4B total</w:t>
            </w:r>
          </w:p>
        </w:tc>
        <w:tc>
          <w:tcPr>
            <w:tcW w:type="dxa" w:w="54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Multiple 2024-25</w:t>
            </w:r>
          </w:p>
        </w:tc>
      </w:tr>
      <w:tr>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Cerebras</w:t>
            </w:r>
          </w:p>
        </w:tc>
        <w:tc>
          <w:tcPr>
            <w:tcW w:type="dxa" w:w="1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Compute</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$10B / 750 MW</w:t>
            </w:r>
          </w:p>
        </w:tc>
        <w:tc>
          <w:tcPr>
            <w:tcW w:type="dxa" w:w="544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Via AWS Bedrock partnership</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SoftBank + MGX (Stargate JV)</w:t>
            </w:r>
          </w:p>
        </w:tc>
        <w:tc>
          <w:tcPr>
            <w:tcW w:type="dxa" w:w="1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JV equity</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Up to $500B target</w:t>
            </w:r>
          </w:p>
        </w:tc>
        <w:tc>
          <w:tcPr>
            <w:tcW w:type="dxa" w:w="54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10 GW; Feb 2026 reports of disputes</w:t>
            </w:r>
          </w:p>
        </w:tc>
      </w:tr>
    </w:tbl>
    <w:p>
      <w:pPr>
        <w:pStyle w:val="Heading2"/>
        <w:spacing w:after="140" w:before="280"/>
      </w:pPr>
      <w:r>
        <w:rPr>
          <w:b/>
          <w:bCs/>
          <w:color w:val="1F3A5F"/>
          <w:sz w:val="26"/>
          <w:szCs w:val="26"/>
        </w:rPr>
        <w:t xml:space="preserve">7.2 Anthropic's Deal Stack</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900"/>
        <w:gridCol w:w="5440"/>
      </w:tblGrid>
      <w:tr>
        <w:trPr>
          <w:tblHeader/>
        </w:trPr>
        <w:tc>
          <w:tcPr>
            <w:tcW w:type="dxa" w:w="18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Counterparty</w:t>
            </w:r>
          </w:p>
        </w:tc>
        <w:tc>
          <w:tcPr>
            <w:tcW w:type="dxa" w:w="13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Type</w:t>
            </w:r>
          </w:p>
        </w:tc>
        <w:tc>
          <w:tcPr>
            <w:tcW w:type="dxa" w:w="19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Amount</w:t>
            </w:r>
          </w:p>
        </w:tc>
        <w:tc>
          <w:tcPr>
            <w:tcW w:type="dxa" w:w="544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Terms</w:t>
            </w:r>
          </w:p>
        </w:tc>
      </w:tr>
      <w:tr>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Amazon</w:t>
            </w:r>
          </w:p>
        </w:tc>
        <w:tc>
          <w:tcPr>
            <w:tcW w:type="dxa" w:w="1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Equity</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$8B + $13B + $25B (Apr 26) = $46B+</w:t>
            </w:r>
          </w:p>
        </w:tc>
        <w:tc>
          <w:tcPr>
            <w:tcW w:type="dxa" w:w="544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Project Rainier Indiana 1M+ Trainium2</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Amazon</w:t>
            </w:r>
          </w:p>
        </w:tc>
        <w:tc>
          <w:tcPr>
            <w:tcW w:type="dxa" w:w="1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Compute</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&gt;$100B / 10 yr</w:t>
            </w:r>
          </w:p>
        </w:tc>
        <w:tc>
          <w:tcPr>
            <w:tcW w:type="dxa" w:w="54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Trainium2/3 + GPU; 5 GW build</w:t>
            </w:r>
          </w:p>
        </w:tc>
      </w:tr>
      <w:tr>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Google</w:t>
            </w:r>
          </w:p>
        </w:tc>
        <w:tc>
          <w:tcPr>
            <w:tcW w:type="dxa" w:w="1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Equity</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$3B (14% stake)</w:t>
            </w:r>
          </w:p>
        </w:tc>
        <w:tc>
          <w:tcPr>
            <w:tcW w:type="dxa" w:w="544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$2B 2023 + $1B Jan 2025</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Google</w:t>
            </w:r>
          </w:p>
        </w:tc>
        <w:tc>
          <w:tcPr>
            <w:tcW w:type="dxa" w:w="1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Compute</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Tens of $B for 1M TPUs</w:t>
            </w:r>
          </w:p>
        </w:tc>
        <w:tc>
          <w:tcPr>
            <w:tcW w:type="dxa" w:w="54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Ironwood 7th gen; 1+ GW</w:t>
            </w:r>
          </w:p>
        </w:tc>
      </w:tr>
      <w:tr>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Microsoft</w:t>
            </w:r>
          </w:p>
        </w:tc>
        <w:tc>
          <w:tcPr>
            <w:tcW w:type="dxa" w:w="1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Equity</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$5B (up to $10B)</w:t>
            </w:r>
          </w:p>
        </w:tc>
        <w:tc>
          <w:tcPr>
            <w:tcW w:type="dxa" w:w="544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First MSFT investment in Anthropic</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Microsoft</w:t>
            </w:r>
          </w:p>
        </w:tc>
        <w:tc>
          <w:tcPr>
            <w:tcW w:type="dxa" w:w="1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Compute</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$30B Azure + 1 GW</w:t>
            </w:r>
          </w:p>
        </w:tc>
        <w:tc>
          <w:tcPr>
            <w:tcW w:type="dxa" w:w="54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Grace Blackwell + Vera Rubin</w:t>
            </w:r>
          </w:p>
        </w:tc>
      </w:tr>
      <w:tr>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NVIDIA</w:t>
            </w:r>
          </w:p>
        </w:tc>
        <w:tc>
          <w:tcPr>
            <w:tcW w:type="dxa" w:w="1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Equity</w:t>
            </w:r>
          </w:p>
        </w:tc>
        <w:tc>
          <w:tcPr>
            <w:tcW w:type="dxa" w:w="1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Up to $10B</w:t>
            </w:r>
          </w:p>
        </w:tc>
        <w:tc>
          <w:tcPr>
            <w:tcW w:type="dxa" w:w="544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Joint w/ MSFT Nov 2025</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Broadcom</w:t>
            </w:r>
          </w:p>
        </w:tc>
        <w:tc>
          <w:tcPr>
            <w:tcW w:type="dxa" w:w="1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Custom silicon expansion</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Multi-gigawatt</w:t>
            </w:r>
          </w:p>
        </w:tc>
        <w:tc>
          <w:tcPr>
            <w:tcW w:type="dxa" w:w="54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Confirmed Apr 2026</w:t>
            </w:r>
          </w:p>
        </w:tc>
      </w:tr>
    </w:tbl>
    <w:p>
      <w:pPr>
        <w:pStyle w:val="Heading2"/>
        <w:spacing w:after="140" w:before="280"/>
      </w:pPr>
      <w:r>
        <w:rPr>
          <w:b/>
          <w:bCs/>
          <w:color w:val="1F3A5F"/>
          <w:sz w:val="26"/>
          <w:szCs w:val="26"/>
        </w:rPr>
        <w:t xml:space="preserve">7.3 NVIDIA's Investment Portfolio — 'AI Banker'</w:t>
      </w:r>
    </w:p>
    <w:p>
      <w:pPr>
        <w:spacing w:after="100" w:before="0" w:line="300"/>
        <w:jc w:val="left"/>
      </w:pPr>
      <w:r>
        <w:rPr>
          <w:b w:val="false"/>
          <w:bCs w:val="false"/>
          <w:i w:val="false"/>
          <w:iCs w:val="false"/>
          <w:color w:val="000000"/>
          <w:sz w:val="22"/>
          <w:szCs w:val="22"/>
        </w:rPr>
        <w:t xml:space="preserve">Non-marketable equity grew $3.4B (Jan 25) → $22.25B (Jan 26). 67 venture rounds in 2025. 2026 YTD $40B+.</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2100"/>
        <w:gridCol w:w="3700"/>
      </w:tblGrid>
      <w:tr>
        <w:trPr>
          <w:tblHeader/>
        </w:trPr>
        <w:tc>
          <w:tcPr>
            <w:tcW w:type="dxa" w:w="22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Target</w:t>
            </w:r>
          </w:p>
        </w:tc>
        <w:tc>
          <w:tcPr>
            <w:tcW w:type="dxa" w:w="8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Ticker</w:t>
            </w:r>
          </w:p>
        </w:tc>
        <w:tc>
          <w:tcPr>
            <w:tcW w:type="dxa" w:w="21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Amount</w:t>
            </w:r>
          </w:p>
        </w:tc>
        <w:tc>
          <w:tcPr>
            <w:tcW w:type="dxa" w:w="37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Purpose</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OpenAI</w:t>
            </w:r>
          </w:p>
        </w:tc>
        <w:tc>
          <w:tcPr>
            <w:tcW w:type="dxa" w:w="8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Private</w:t>
            </w:r>
          </w:p>
        </w:tc>
        <w:tc>
          <w:tcPr>
            <w:tcW w:type="dxa" w:w="2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Up to $100B (LOI)</w:t>
            </w:r>
          </w:p>
        </w:tc>
        <w:tc>
          <w:tcPr>
            <w:tcW w:type="dxa" w:w="3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10 GW deployment</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Anthropic</w:t>
            </w:r>
          </w:p>
        </w:tc>
        <w:tc>
          <w:tcPr>
            <w:tcW w:type="dxa" w:w="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Private</w:t>
            </w:r>
          </w:p>
        </w:tc>
        <w:tc>
          <w:tcPr>
            <w:tcW w:type="dxa" w:w="21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Up to $10B</w:t>
            </w:r>
          </w:p>
        </w:tc>
        <w:tc>
          <w:tcPr>
            <w:tcW w:type="dxa" w:w="3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Joint w/ MSFT</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xAI</w:t>
            </w:r>
          </w:p>
        </w:tc>
        <w:tc>
          <w:tcPr>
            <w:tcW w:type="dxa" w:w="8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Private</w:t>
            </w:r>
          </w:p>
        </w:tc>
        <w:tc>
          <w:tcPr>
            <w:tcW w:type="dxa" w:w="2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$2B+ (multiple rounds)</w:t>
            </w:r>
          </w:p>
        </w:tc>
        <w:tc>
          <w:tcPr>
            <w:tcW w:type="dxa" w:w="3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$6B Dec 24 + $20B Jan 26</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Intel</w:t>
            </w:r>
          </w:p>
        </w:tc>
        <w:tc>
          <w:tcPr>
            <w:tcW w:type="dxa" w:w="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INTC</w:t>
            </w:r>
          </w:p>
        </w:tc>
        <w:tc>
          <w:tcPr>
            <w:tcW w:type="dxa" w:w="21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$5B (now ~$25B+)</w:t>
            </w:r>
          </w:p>
        </w:tc>
        <w:tc>
          <w:tcPr>
            <w:tcW w:type="dxa" w:w="3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Strategic stake 2024</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CoreWeave</w:t>
            </w:r>
          </w:p>
        </w:tc>
        <w:tc>
          <w:tcPr>
            <w:tcW w:type="dxa" w:w="8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CRWV</w:t>
            </w:r>
          </w:p>
        </w:tc>
        <w:tc>
          <w:tcPr>
            <w:tcW w:type="dxa" w:w="2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$2B + $6B services</w:t>
            </w:r>
          </w:p>
        </w:tc>
        <w:tc>
          <w:tcPr>
            <w:tcW w:type="dxa" w:w="3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5+ GW AI factories by 2030</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Nebius</w:t>
            </w:r>
          </w:p>
        </w:tc>
        <w:tc>
          <w:tcPr>
            <w:tcW w:type="dxa" w:w="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NBIS</w:t>
            </w:r>
          </w:p>
        </w:tc>
        <w:tc>
          <w:tcPr>
            <w:tcW w:type="dxa" w:w="21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$2B</w:t>
            </w:r>
          </w:p>
        </w:tc>
        <w:tc>
          <w:tcPr>
            <w:tcW w:type="dxa" w:w="3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AI cloud, fleet management</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Nokia</w:t>
            </w:r>
          </w:p>
        </w:tc>
        <w:tc>
          <w:tcPr>
            <w:tcW w:type="dxa" w:w="8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NOK</w:t>
            </w:r>
          </w:p>
        </w:tc>
        <w:tc>
          <w:tcPr>
            <w:tcW w:type="dxa" w:w="2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$1B (2.9%)</w:t>
            </w:r>
          </w:p>
        </w:tc>
        <w:tc>
          <w:tcPr>
            <w:tcW w:type="dxa" w:w="3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AI-RAN partnership</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Lumentum</w:t>
            </w:r>
          </w:p>
        </w:tc>
        <w:tc>
          <w:tcPr>
            <w:tcW w:type="dxa" w:w="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LITE</w:t>
            </w:r>
          </w:p>
        </w:tc>
        <w:tc>
          <w:tcPr>
            <w:tcW w:type="dxa" w:w="21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$2B</w:t>
            </w:r>
          </w:p>
        </w:tc>
        <w:tc>
          <w:tcPr>
            <w:tcW w:type="dxa" w:w="3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1.6T optics + EML + OCS</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Coherent</w:t>
            </w:r>
          </w:p>
        </w:tc>
        <w:tc>
          <w:tcPr>
            <w:tcW w:type="dxa" w:w="8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COHR</w:t>
            </w:r>
          </w:p>
        </w:tc>
        <w:tc>
          <w:tcPr>
            <w:tcW w:type="dxa" w:w="2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$2B</w:t>
            </w:r>
          </w:p>
        </w:tc>
        <w:tc>
          <w:tcPr>
            <w:tcW w:type="dxa" w:w="3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Transceivers + SiPho</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Marvell</w:t>
            </w:r>
          </w:p>
        </w:tc>
        <w:tc>
          <w:tcPr>
            <w:tcW w:type="dxa" w:w="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MRVL</w:t>
            </w:r>
          </w:p>
        </w:tc>
        <w:tc>
          <w:tcPr>
            <w:tcW w:type="dxa" w:w="21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$2B</w:t>
            </w:r>
          </w:p>
        </w:tc>
        <w:tc>
          <w:tcPr>
            <w:tcW w:type="dxa" w:w="3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Optical DSPs + custom silicon</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Synopsys</w:t>
            </w:r>
          </w:p>
        </w:tc>
        <w:tc>
          <w:tcPr>
            <w:tcW w:type="dxa" w:w="8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SNPS</w:t>
            </w:r>
          </w:p>
        </w:tc>
        <w:tc>
          <w:tcPr>
            <w:tcW w:type="dxa" w:w="2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$2B</w:t>
            </w:r>
          </w:p>
        </w:tc>
        <w:tc>
          <w:tcPr>
            <w:tcW w:type="dxa" w:w="3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Chip design EDA + IP</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Corning + IREN</w:t>
            </w:r>
          </w:p>
        </w:tc>
        <w:tc>
          <w:tcPr>
            <w:tcW w:type="dxa" w:w="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GLW, IREN</w:t>
            </w:r>
          </w:p>
        </w:tc>
        <w:tc>
          <w:tcPr>
            <w:tcW w:type="dxa" w:w="21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$5.3B combined</w:t>
            </w:r>
          </w:p>
        </w:tc>
        <w:tc>
          <w:tcPr>
            <w:tcW w:type="dxa" w:w="3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Fiber + neocloud</w:t>
            </w:r>
          </w:p>
        </w:tc>
      </w:tr>
    </w:tbl>
    <w:p>
      <w:pPr>
        <w:pStyle w:val="Heading2"/>
        <w:spacing w:after="140" w:before="280"/>
      </w:pPr>
      <w:r>
        <w:rPr>
          <w:b/>
          <w:bCs/>
          <w:color w:val="1F3A5F"/>
          <w:sz w:val="26"/>
          <w:szCs w:val="26"/>
        </w:rPr>
        <w:t xml:space="preserve">7.4 The Circular Financing Debate</w:t>
      </w:r>
    </w:p>
    <w:p>
      <w:pPr>
        <w:spacing w:after="100" w:before="0" w:line="300"/>
        <w:jc w:val="left"/>
      </w:pPr>
      <w:r>
        <w:rPr>
          <w:b w:val="false"/>
          <w:bCs w:val="false"/>
          <w:i w:val="false"/>
          <w:iCs w:val="false"/>
          <w:color w:val="000000"/>
          <w:sz w:val="22"/>
          <w:szCs w:val="22"/>
        </w:rPr>
        <w:t xml:space="preserve">'Round-tripping' = vendor invests cash in customer; customer uses cash to buy vendor's products. Counts as both investment AND revenue. Not illegal; SEC doesn't require separate disclosure. Estimated cross-flows between NVIDIA + hyperscalers + OpenAI + Anthropic + neoclouds: $340B+ equity + $700B+ compute commitments.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900"/>
        <w:gridCol w:w="2300"/>
        <w:gridCol w:w="2700"/>
        <w:gridCol w:w="1300"/>
      </w:tblGrid>
      <w:tr>
        <w:trPr>
          <w:tblHeader/>
        </w:trPr>
        <w:tc>
          <w:tcPr>
            <w:tcW w:type="dxa" w:w="29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Cycle</w:t>
            </w:r>
          </w:p>
        </w:tc>
        <w:tc>
          <w:tcPr>
            <w:tcW w:type="dxa" w:w="23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Step 1</w:t>
            </w:r>
          </w:p>
        </w:tc>
        <w:tc>
          <w:tcPr>
            <w:tcW w:type="dxa" w:w="27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Step 2</w:t>
            </w:r>
          </w:p>
        </w:tc>
        <w:tc>
          <w:tcPr>
            <w:tcW w:type="dxa" w:w="1300"/>
            <w:tcBorders>
              <w:top w:val="single" w:color="BFBFBF" w:sz="4"/>
              <w:left w:val="single" w:color="BFBFBF" w:sz="4"/>
              <w:bottom w:val="single" w:color="BFBFBF" w:sz="4"/>
              <w:right w:val="single" w:color="BFBFBF" w:sz="4"/>
            </w:tcBorders>
            <w:shd w:fill="1F3A5F" w:val="clear"/>
            <w:tcMar>
              <w:top w:type="dxa" w:w="100"/>
              <w:left w:type="dxa" w:w="120"/>
              <w:bottom w:type="dxa" w:w="100"/>
              <w:right w:type="dxa" w:w="120"/>
            </w:tcMar>
            <w:vAlign w:val="center"/>
          </w:tcPr>
          <w:p>
            <w:pPr>
              <w:jc w:val="left"/>
            </w:pPr>
            <w:r>
              <w:rPr>
                <w:b/>
                <w:bCs/>
                <w:color w:val="FFFFFF"/>
                <w:sz w:val="19"/>
                <w:szCs w:val="19"/>
              </w:rPr>
              <w:t xml:space="preserve">Size</w:t>
            </w:r>
          </w:p>
        </w:tc>
      </w:tr>
      <w:tr>
        <w:tc>
          <w:tcPr>
            <w:tcW w:type="dxa" w:w="2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NVDA → OpenAI → NVDA chips</w:t>
            </w:r>
          </w:p>
        </w:tc>
        <w:tc>
          <w:tcPr>
            <w:tcW w:type="dxa" w:w="2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NVDA $100B in OpenAI</w:t>
            </w:r>
          </w:p>
        </w:tc>
        <w:tc>
          <w:tcPr>
            <w:tcW w:type="dxa" w:w="2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OpenAI 10 GW NVDA chips</w:t>
            </w:r>
          </w:p>
        </w:tc>
        <w:tc>
          <w:tcPr>
            <w:tcW w:type="dxa" w:w="1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~$100B</w:t>
            </w:r>
          </w:p>
        </w:tc>
      </w:tr>
      <w:tr>
        <w:tc>
          <w:tcPr>
            <w:tcW w:type="dxa" w:w="2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NVDA → CRWV → NVDA chips</w:t>
            </w:r>
          </w:p>
        </w:tc>
        <w:tc>
          <w:tcPr>
            <w:tcW w:type="dxa" w:w="2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NVDA $2B in CRWV</w:t>
            </w:r>
          </w:p>
        </w:tc>
        <w:tc>
          <w:tcPr>
            <w:tcW w:type="dxa" w:w="2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~70%+ of CRWV opex is NVDA</w:t>
            </w:r>
          </w:p>
        </w:tc>
        <w:tc>
          <w:tcPr>
            <w:tcW w:type="dxa" w:w="1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$2B + $6B services</w:t>
            </w:r>
          </w:p>
        </w:tc>
      </w:tr>
      <w:tr>
        <w:tc>
          <w:tcPr>
            <w:tcW w:type="dxa" w:w="2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NVDA → Anthropic → NVDA via Azure</w:t>
            </w:r>
          </w:p>
        </w:tc>
        <w:tc>
          <w:tcPr>
            <w:tcW w:type="dxa" w:w="2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NVDA $10B in Anthropic</w:t>
            </w:r>
          </w:p>
        </w:tc>
        <w:tc>
          <w:tcPr>
            <w:tcW w:type="dxa" w:w="2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Anthropic $30B Azure on Vera Rubin</w:t>
            </w:r>
          </w:p>
        </w:tc>
        <w:tc>
          <w:tcPr>
            <w:tcW w:type="dxa" w:w="1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$10B → ~$20B+</w:t>
            </w:r>
          </w:p>
        </w:tc>
      </w:tr>
      <w:tr>
        <w:tc>
          <w:tcPr>
            <w:tcW w:type="dxa" w:w="2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AMD → OpenAI → AMD chips</w:t>
            </w:r>
          </w:p>
        </w:tc>
        <w:tc>
          <w:tcPr>
            <w:tcW w:type="dxa" w:w="2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AMD warrant (160M @ $0.01)</w:t>
            </w:r>
          </w:p>
        </w:tc>
        <w:tc>
          <w:tcPr>
            <w:tcW w:type="dxa" w:w="2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OpenAI 6 GW MI450</w:t>
            </w:r>
          </w:p>
        </w:tc>
        <w:tc>
          <w:tcPr>
            <w:tcW w:type="dxa" w:w="1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~$35B chip rev</w:t>
            </w:r>
          </w:p>
        </w:tc>
      </w:tr>
      <w:tr>
        <w:tc>
          <w:tcPr>
            <w:tcW w:type="dxa" w:w="2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MSFT → OpenAI → Azure/NVDA</w:t>
            </w:r>
          </w:p>
        </w:tc>
        <w:tc>
          <w:tcPr>
            <w:tcW w:type="dxa" w:w="2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MSFT $13B → 27% stake $135B</w:t>
            </w:r>
          </w:p>
        </w:tc>
        <w:tc>
          <w:tcPr>
            <w:tcW w:type="dxa" w:w="2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OpenAI $250B Azure</w:t>
            </w:r>
          </w:p>
        </w:tc>
        <w:tc>
          <w:tcPr>
            <w:tcW w:type="dxa" w:w="1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b w:val="false"/>
                <w:bCs w:val="false"/>
                <w:color w:val="000000"/>
                <w:sz w:val="19"/>
                <w:szCs w:val="19"/>
              </w:rPr>
              <w:t xml:space="preserve">$250B</w:t>
            </w:r>
          </w:p>
        </w:tc>
      </w:tr>
      <w:tr>
        <w:tc>
          <w:tcPr>
            <w:tcW w:type="dxa" w:w="2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AMZN → Anthropic → AWS</w:t>
            </w:r>
          </w:p>
        </w:tc>
        <w:tc>
          <w:tcPr>
            <w:tcW w:type="dxa" w:w="2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AMZN $46B in Anthropic</w:t>
            </w:r>
          </w:p>
        </w:tc>
        <w:tc>
          <w:tcPr>
            <w:tcW w:type="dxa" w:w="2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Anthropic $100B AWS</w:t>
            </w:r>
          </w:p>
        </w:tc>
        <w:tc>
          <w:tcPr>
            <w:tcW w:type="dxa" w:w="1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vAlign w:val="center"/>
          </w:tcPr>
          <w:p>
            <w:pPr>
              <w:jc w:val="left"/>
            </w:pPr>
            <w:r>
              <w:rPr>
                <w:b w:val="false"/>
                <w:bCs w:val="false"/>
                <w:color w:val="000000"/>
                <w:sz w:val="19"/>
                <w:szCs w:val="19"/>
              </w:rPr>
              <w:t xml:space="preserve">$100B</w:t>
            </w:r>
          </w:p>
        </w:tc>
      </w:tr>
    </w:tbl>
    <w:p>
      <w:r>
        <w:br w:type="page"/>
      </w:r>
    </w:p>
    <w:p>
      <w:pPr>
        <w:pStyle w:val="Heading1"/>
        <w:spacing w:after="200" w:before="360"/>
      </w:pPr>
      <w:r>
        <w:rPr>
          <w:b/>
          <w:bCs/>
          <w:color w:val="1F3A5F"/>
          <w:sz w:val="32"/>
          <w:szCs w:val="32"/>
        </w:rPr>
        <w:t xml:space="preserve">8. Key Data Points to Track</w:t>
      </w:r>
    </w:p>
    <w:p>
      <w:pPr>
        <w:pStyle w:val="ListParagraph"/>
        <w:numPr>
          <w:ilvl w:val="0"/>
          <w:numId w:val="2"/>
        </w:numPr>
        <w:spacing w:after="80" w:line="300"/>
      </w:pPr>
      <w:r>
        <w:rPr>
          <w:sz w:val="22"/>
          <w:szCs w:val="22"/>
        </w:rPr>
        <w:t xml:space="preserve">Hyperscaler quarterly capex prints — leading indicator.</w:t>
      </w:r>
    </w:p>
    <w:p>
      <w:pPr>
        <w:pStyle w:val="ListParagraph"/>
        <w:numPr>
          <w:ilvl w:val="0"/>
          <w:numId w:val="2"/>
        </w:numPr>
        <w:spacing w:after="80" w:line="300"/>
      </w:pPr>
      <w:r>
        <w:rPr>
          <w:sz w:val="22"/>
          <w:szCs w:val="22"/>
        </w:rPr>
        <w:t xml:space="preserve">NVIDIA quarterly DC revenue + guidance + 10-K disclosure of non-marketable equity.</w:t>
      </w:r>
    </w:p>
    <w:p>
      <w:pPr>
        <w:pStyle w:val="ListParagraph"/>
        <w:numPr>
          <w:ilvl w:val="0"/>
          <w:numId w:val="2"/>
        </w:numPr>
        <w:spacing w:after="80" w:line="300"/>
      </w:pPr>
      <w:r>
        <w:rPr>
          <w:sz w:val="22"/>
          <w:szCs w:val="22"/>
        </w:rPr>
        <w:t xml:space="preserve">TSMC monthly revenue + capex/CoWoS commentary.</w:t>
      </w:r>
    </w:p>
    <w:p>
      <w:pPr>
        <w:pStyle w:val="ListParagraph"/>
        <w:numPr>
          <w:ilvl w:val="0"/>
          <w:numId w:val="2"/>
        </w:numPr>
        <w:spacing w:after="80" w:line="300"/>
      </w:pPr>
      <w:r>
        <w:rPr>
          <w:sz w:val="22"/>
          <w:szCs w:val="22"/>
        </w:rPr>
        <w:t xml:space="preserve">SK Hynix / Micron / Samsung HBM mix and pricing.</w:t>
      </w:r>
    </w:p>
    <w:p>
      <w:pPr>
        <w:pStyle w:val="ListParagraph"/>
        <w:numPr>
          <w:ilvl w:val="0"/>
          <w:numId w:val="2"/>
        </w:numPr>
        <w:spacing w:after="80" w:line="300"/>
      </w:pPr>
      <w:r>
        <w:rPr>
          <w:sz w:val="22"/>
          <w:szCs w:val="22"/>
        </w:rPr>
        <w:t xml:space="preserve">Sandisk / WDC / STX capacity, contract pricing, GM trajectory.</w:t>
      </w:r>
    </w:p>
    <w:p>
      <w:pPr>
        <w:pStyle w:val="ListParagraph"/>
        <w:numPr>
          <w:ilvl w:val="0"/>
          <w:numId w:val="2"/>
        </w:numPr>
        <w:spacing w:after="80" w:line="300"/>
      </w:pPr>
      <w:r>
        <w:rPr>
          <w:sz w:val="22"/>
          <w:szCs w:val="22"/>
        </w:rPr>
        <w:t xml:space="preserve">Lumentum / Coherent / Corning shipment + LTA disclosures.</w:t>
      </w:r>
    </w:p>
    <w:p>
      <w:pPr>
        <w:pStyle w:val="ListParagraph"/>
        <w:numPr>
          <w:ilvl w:val="0"/>
          <w:numId w:val="2"/>
        </w:numPr>
        <w:spacing w:after="80" w:line="300"/>
      </w:pPr>
      <w:r>
        <w:rPr>
          <w:sz w:val="22"/>
          <w:szCs w:val="22"/>
        </w:rPr>
        <w:t xml:space="preserve">Microsoft RPO + AI run rate; Google Cloud backlog.</w:t>
      </w:r>
    </w:p>
    <w:p>
      <w:pPr>
        <w:pStyle w:val="ListParagraph"/>
        <w:numPr>
          <w:ilvl w:val="0"/>
          <w:numId w:val="2"/>
        </w:numPr>
        <w:spacing w:after="80" w:line="300"/>
      </w:pPr>
      <w:r>
        <w:rPr>
          <w:sz w:val="22"/>
          <w:szCs w:val="22"/>
        </w:rPr>
        <w:t xml:space="preserve">Bloom Energy backlog + production capacity.</w:t>
      </w:r>
    </w:p>
    <w:p>
      <w:pPr>
        <w:pStyle w:val="ListParagraph"/>
        <w:numPr>
          <w:ilvl w:val="0"/>
          <w:numId w:val="2"/>
        </w:numPr>
        <w:spacing w:after="80" w:line="300"/>
      </w:pPr>
      <w:r>
        <w:rPr>
          <w:sz w:val="22"/>
          <w:szCs w:val="22"/>
        </w:rPr>
        <w:t xml:space="preserve">Cursor ARR; OpenAI / Anthropic ARR disclosures.</w:t>
      </w:r>
    </w:p>
    <w:p>
      <w:pPr>
        <w:pStyle w:val="ListParagraph"/>
        <w:numPr>
          <w:ilvl w:val="0"/>
          <w:numId w:val="2"/>
        </w:numPr>
        <w:spacing w:after="80" w:line="300"/>
      </w:pPr>
      <w:r>
        <w:rPr>
          <w:sz w:val="22"/>
          <w:szCs w:val="22"/>
        </w:rPr>
        <w:t xml:space="preserve">Counterpoint quarterly HBM/DRAM/LLM share.</w:t>
      </w:r>
    </w:p>
    <w:p>
      <w:pPr>
        <w:pStyle w:val="ListParagraph"/>
        <w:numPr>
          <w:ilvl w:val="0"/>
          <w:numId w:val="2"/>
        </w:numPr>
        <w:spacing w:after="80" w:line="300"/>
      </w:pPr>
      <w:r>
        <w:rPr>
          <w:sz w:val="22"/>
          <w:szCs w:val="22"/>
        </w:rPr>
        <w:t xml:space="preserve">Ex-miner Q1/Q2 prints — HPC vs BTC revenue mix.</w:t>
      </w:r>
    </w:p>
    <w:p>
      <w:pPr>
        <w:pStyle w:val="ListParagraph"/>
        <w:numPr>
          <w:ilvl w:val="0"/>
          <w:numId w:val="2"/>
        </w:numPr>
        <w:spacing w:after="80" w:line="300"/>
      </w:pPr>
      <w:r>
        <w:rPr>
          <w:sz w:val="22"/>
          <w:szCs w:val="22"/>
        </w:rPr>
        <w:t xml:space="preserve">Dell'Oro / IDC quarterly Ethernet switch + server + DC power trackers.</w:t>
      </w:r>
    </w:p>
    <w:p>
      <w:pPr>
        <w:pStyle w:val="ListParagraph"/>
        <w:numPr>
          <w:ilvl w:val="0"/>
          <w:numId w:val="2"/>
        </w:numPr>
        <w:spacing w:after="80" w:line="300"/>
      </w:pPr>
      <w:r>
        <w:rPr>
          <w:sz w:val="22"/>
          <w:szCs w:val="22"/>
        </w:rPr>
        <w:t xml:space="preserve">Stargate execution milestones.</w:t>
      </w:r>
    </w:p>
    <w:p>
      <w:pPr>
        <w:pStyle w:val="ListParagraph"/>
        <w:numPr>
          <w:ilvl w:val="0"/>
          <w:numId w:val="2"/>
        </w:numPr>
        <w:spacing w:after="80" w:line="300"/>
      </w:pPr>
      <w:r>
        <w:rPr>
          <w:sz w:val="22"/>
          <w:szCs w:val="22"/>
        </w:rPr>
        <w:t xml:space="preserve">OpenAI/AMD warrant vesting tranches.</w:t>
      </w:r>
    </w:p>
    <w:p>
      <w:pPr>
        <w:pStyle w:val="ListParagraph"/>
        <w:numPr>
          <w:ilvl w:val="0"/>
          <w:numId w:val="2"/>
        </w:numPr>
        <w:spacing w:after="80" w:line="300"/>
      </w:pPr>
      <w:r>
        <w:rPr>
          <w:sz w:val="22"/>
          <w:szCs w:val="22"/>
        </w:rPr>
        <w:t xml:space="preserve">OpenAI/NVIDIA LOI → definitive agreement signing.</w:t>
      </w:r>
    </w:p>
    <w:p>
      <w:pPr>
        <w:pStyle w:val="ListParagraph"/>
        <w:numPr>
          <w:ilvl w:val="0"/>
          <w:numId w:val="2"/>
        </w:numPr>
        <w:spacing w:after="80" w:line="300"/>
      </w:pPr>
      <w:r>
        <w:rPr>
          <w:sz w:val="22"/>
          <w:szCs w:val="22"/>
        </w:rPr>
        <w:t xml:space="preserve">Nokia AI-RAN quarterly Cloud &amp; AI + T-Mobile pilot.</w:t>
      </w:r>
    </w:p>
    <w:p>
      <w:pPr>
        <w:pStyle w:val="ListParagraph"/>
        <w:numPr>
          <w:ilvl w:val="0"/>
          <w:numId w:val="2"/>
        </w:numPr>
        <w:spacing w:after="80" w:line="300"/>
      </w:pPr>
      <w:r>
        <w:rPr>
          <w:sz w:val="22"/>
          <w:szCs w:val="22"/>
        </w:rPr>
        <w:t xml:space="preserve">Doosan Fuel Cell DC commercial wins.</w:t>
      </w:r>
    </w:p>
    <w:p>
      <w:r>
        <w:br w:type="page"/>
      </w:r>
    </w:p>
    <w:p>
      <w:pPr>
        <w:pStyle w:val="Heading1"/>
        <w:spacing w:after="200" w:before="360"/>
      </w:pPr>
      <w:r>
        <w:rPr>
          <w:b/>
          <w:bCs/>
          <w:color w:val="1F3A5F"/>
          <w:sz w:val="32"/>
          <w:szCs w:val="32"/>
        </w:rPr>
        <w:t xml:space="preserve">9. Companion Files</w:t>
      </w:r>
    </w:p>
    <w:p>
      <w:pPr>
        <w:spacing w:after="100" w:before="0" w:line="300"/>
        <w:jc w:val="left"/>
      </w:pPr>
      <w:r>
        <w:rPr>
          <w:b w:val="false"/>
          <w:bCs w:val="false"/>
          <w:i w:val="false"/>
          <w:iCs w:val="false"/>
          <w:color w:val="000000"/>
          <w:sz w:val="22"/>
          <w:szCs w:val="22"/>
        </w:rPr>
        <w:t xml:space="preserve">Two standalone files alongside this report:</w:t>
      </w:r>
    </w:p>
    <w:p>
      <w:pPr>
        <w:pStyle w:val="Heading2"/>
        <w:spacing w:after="140" w:before="280"/>
      </w:pPr>
      <w:r>
        <w:rPr>
          <w:b/>
          <w:bCs/>
          <w:color w:val="1F3A5F"/>
          <w:sz w:val="26"/>
          <w:szCs w:val="26"/>
        </w:rPr>
        <w:t xml:space="preserve">9.1 Interactive Network Diagram (LAYERED, updated v9)</w:t>
      </w:r>
    </w:p>
    <w:p>
      <w:pPr>
        <w:spacing w:after="100" w:before="0" w:line="300"/>
        <w:jc w:val="left"/>
      </w:pPr>
      <w:r>
        <w:rPr>
          <w:b w:val="false"/>
          <w:bCs w:val="false"/>
          <w:i w:val="false"/>
          <w:iCs w:val="false"/>
          <w:color w:val="000000"/>
          <w:sz w:val="22"/>
          <w:szCs w:val="22"/>
        </w:rPr>
        <w:t xml:space="preserve">File: ai_deal_network.html — open in any modern browser.</w:t>
      </w:r>
    </w:p>
    <w:p>
      <w:pPr>
        <w:pStyle w:val="ListParagraph"/>
        <w:numPr>
          <w:ilvl w:val="0"/>
          <w:numId w:val="2"/>
        </w:numPr>
        <w:spacing w:after="80" w:line="300"/>
      </w:pPr>
      <w:r>
        <w:rPr>
          <w:sz w:val="22"/>
          <w:szCs w:val="22"/>
        </w:rPr>
        <w:t xml:space="preserve">LAYERED top-to-bottom layout: LLMs at top, hyperscalers second, chipmakers third, foundry/equipment at bottom</w:t>
      </w:r>
    </w:p>
    <w:p>
      <w:pPr>
        <w:pStyle w:val="ListParagraph"/>
        <w:numPr>
          <w:ilvl w:val="0"/>
          <w:numId w:val="2"/>
        </w:numPr>
        <w:spacing w:after="80" w:line="300"/>
      </w:pPr>
      <w:r>
        <w:rPr>
          <w:sz w:val="22"/>
          <w:szCs w:val="22"/>
        </w:rPr>
        <w:t xml:space="preserve">This means you can see BOTH the network connections (lines) AND the value-chain layering (vertical position)</w:t>
      </w:r>
    </w:p>
    <w:p>
      <w:pPr>
        <w:pStyle w:val="ListParagraph"/>
        <w:numPr>
          <w:ilvl w:val="0"/>
          <w:numId w:val="2"/>
        </w:numPr>
        <w:spacing w:after="80" w:line="300"/>
      </w:pPr>
      <w:r>
        <w:rPr>
          <w:sz w:val="22"/>
          <w:szCs w:val="22"/>
        </w:rPr>
        <w:t xml:space="preserve">Color-coded edges: green = equity, red = compute, orange = chip supply</w:t>
      </w:r>
    </w:p>
    <w:p>
      <w:pPr>
        <w:pStyle w:val="ListParagraph"/>
        <w:numPr>
          <w:ilvl w:val="0"/>
          <w:numId w:val="2"/>
        </w:numPr>
        <w:spacing w:after="80" w:line="300"/>
      </w:pPr>
      <w:r>
        <w:rPr>
          <w:sz w:val="22"/>
          <w:szCs w:val="22"/>
        </w:rPr>
        <w:t xml:space="preserve">Click any node for entity profile + all deals</w:t>
      </w:r>
    </w:p>
    <w:p>
      <w:pPr>
        <w:pStyle w:val="ListParagraph"/>
        <w:numPr>
          <w:ilvl w:val="0"/>
          <w:numId w:val="2"/>
        </w:numPr>
        <w:spacing w:after="80" w:line="300"/>
      </w:pPr>
      <w:r>
        <w:rPr>
          <w:sz w:val="22"/>
          <w:szCs w:val="22"/>
        </w:rPr>
        <w:t xml:space="preserve">Filter by deal type and entity category</w:t>
      </w:r>
    </w:p>
    <w:p>
      <w:pPr>
        <w:pStyle w:val="ListParagraph"/>
        <w:numPr>
          <w:ilvl w:val="0"/>
          <w:numId w:val="2"/>
        </w:numPr>
        <w:spacing w:after="80" w:line="300"/>
      </w:pPr>
      <w:r>
        <w:rPr>
          <w:sz w:val="22"/>
          <w:szCs w:val="22"/>
        </w:rPr>
        <w:t xml:space="preserve">Drag to reposition; scroll to zoom</w:t>
      </w:r>
    </w:p>
    <w:p>
      <w:pPr>
        <w:pStyle w:val="Heading2"/>
        <w:spacing w:after="140" w:before="280"/>
      </w:pPr>
      <w:r>
        <w:rPr>
          <w:b/>
          <w:bCs/>
          <w:color w:val="1F3A5F"/>
          <w:sz w:val="26"/>
          <w:szCs w:val="26"/>
        </w:rPr>
        <w:t xml:space="preserve">9.2 Ticker CSV for yfinance</w:t>
      </w:r>
    </w:p>
    <w:p>
      <w:pPr>
        <w:spacing w:after="100" w:before="0" w:line="300"/>
        <w:jc w:val="left"/>
      </w:pPr>
      <w:r>
        <w:rPr>
          <w:b w:val="false"/>
          <w:bCs w:val="false"/>
          <w:i w:val="false"/>
          <w:iCs w:val="false"/>
          <w:color w:val="000000"/>
          <w:sz w:val="22"/>
          <w:szCs w:val="22"/>
        </w:rPr>
        <w:t xml:space="preserve">File: ai_supply_chain_tickers.csv — Yahoo Finance-compatible tickers by layer.</w:t>
      </w:r>
    </w:p>
    <w:p>
      <w:r>
        <w:br w:type="page"/>
      </w:r>
    </w:p>
    <w:p>
      <w:pPr>
        <w:pStyle w:val="Heading1"/>
        <w:spacing w:after="200" w:before="360"/>
      </w:pPr>
      <w:r>
        <w:rPr>
          <w:b/>
          <w:bCs/>
          <w:color w:val="1F3A5F"/>
          <w:sz w:val="32"/>
          <w:szCs w:val="32"/>
        </w:rPr>
        <w:t xml:space="preserve">Disclaimer</w:t>
      </w:r>
    </w:p>
    <w:p>
      <w:pPr>
        <w:spacing w:after="100" w:before="0" w:line="300"/>
        <w:jc w:val="left"/>
      </w:pPr>
      <w:r>
        <w:rPr>
          <w:b w:val="false"/>
          <w:bCs w:val="false"/>
          <w:i w:val="false"/>
          <w:iCs w:val="false"/>
          <w:color w:val="595959"/>
          <w:sz w:val="18"/>
          <w:szCs w:val="18"/>
        </w:rPr>
        <w:t xml:space="preserve">Information synthesis for educational and research purposes; not investment advice. All figures are estimates from publicly available company filings, third-party research and trade press as of May 2026, subject to revision.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AI Supply Chain v9 — Equity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AI Supply Chain v9</dc:title>
  <dc:creator>Equity Research</dc:creator>
  <cp:lastModifiedBy>Un-named</cp:lastModifiedBy>
  <cp:revision>1</cp:revision>
  <dcterms:created xsi:type="dcterms:W3CDTF">2026-05-26T02:16:57.228Z</dcterms:created>
  <dcterms:modified xsi:type="dcterms:W3CDTF">2026-05-26T02:16:57.244Z</dcterms:modified>
</cp:coreProperties>
</file>

<file path=docProps/custom.xml><?xml version="1.0" encoding="utf-8"?>
<Properties xmlns="http://schemas.openxmlformats.org/officeDocument/2006/custom-properties" xmlns:vt="http://schemas.openxmlformats.org/officeDocument/2006/docPropsVTypes"/>
</file>